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6EE8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PROCÈS-VERBAL DES DÉCISIONS DE L'ASSEMBLÉE GÉNÉRALE  </w:t>
      </w:r>
    </w:p>
    <w:p w14:paraId="1A6C8C2E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DE LA SOCIÉTÉ SAS INNOVATECH SAS au capital de 50000 EUR €  </w:t>
      </w:r>
    </w:p>
    <w:p w14:paraId="514A88A4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Siège social : 3 Boulevard Tech, Lille  </w:t>
      </w:r>
    </w:p>
    <w:p w14:paraId="59F822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1F5887E5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Le 25/06/2024, au siège social.  </w:t>
      </w:r>
    </w:p>
    <w:p w14:paraId="226225A0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L'assemblée générale ordinaire annuelle s'est réunie pour approuver les comptes de l'exercice clos le 31/12/2023.</w:t>
      </w:r>
    </w:p>
    <w:p w14:paraId="2A4A1EE7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78904B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PREMIÈRE RÉSOLUTION – Approbation des comptes annuels  </w:t>
      </w:r>
    </w:p>
    <w:p w14:paraId="529DED5A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L'Assemblée Générale approuve les comptes annuels de l'exercice clos le 31/12/2023 ainsi que les opérations y afférentes.  </w:t>
      </w:r>
    </w:p>
    <w:p w14:paraId="0FA7657F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Quitus est donné au Président pour sa gestion.  </w:t>
      </w:r>
    </w:p>
    <w:p w14:paraId="23ED7DC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Il est rappelé que les réserves antérieures s'élèvent à 60000 €.  </w:t>
      </w:r>
    </w:p>
    <w:p w14:paraId="68FED717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La proposition d’affectation du résultat présentée est : Distribution de 50% du bénéfice, le reste aux réserves.</w:t>
      </w:r>
    </w:p>
    <w:p w14:paraId="138E761C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5B55C1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DEUXIÈME RÉSOLUTION – Affectation du résultat  </w:t>
      </w:r>
    </w:p>
    <w:p w14:paraId="03DDCD61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L'exercice se solde par un résultat net de 120000 €.  </w:t>
      </w:r>
    </w:p>
    <w:p w14:paraId="6F1CA7E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L’Assemblée décide d’affecter le résultat comme suit :  </w:t>
      </w:r>
    </w:p>
    <w:p w14:paraId="396316F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Affectation aux réserves : 60000 €  </w:t>
      </w:r>
    </w:p>
    <w:p w14:paraId="297438A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 xml:space="preserve">- Dividendes : 60000 €  </w:t>
      </w:r>
    </w:p>
    <w:p w14:paraId="6AAF1AD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- Report à nouveau : 0 €</w:t>
      </w:r>
    </w:p>
    <w:p w14:paraId="5AA67E34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40447CA3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TROISIÈME RÉSOLUTION – Pouvoirs  </w:t>
      </w:r>
    </w:p>
    <w:p w14:paraId="1E6E5AB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Pouvoirs sont donnés pour l'accomplissement des formalités légales.</w:t>
      </w:r>
    </w:p>
    <w:p w14:paraId="0A9A4492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5B4549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>
        <w:t>Fait au siège social, le 25/06/2024.</w:t>
      </w:r>
    </w:p>
    <w:p w14:paraId="0C29BF8F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3F11EC7E" w14:textId="38A68EC4" w:rsidR="007942BF" w:rsidRPr="00177D88" w:rsidRDefault="00177D88" w:rsidP="00177D88"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Signatures :</w:t>
      </w:r>
    </w:p>
    <w:sectPr w:rsidR="007942BF" w:rsidRPr="00177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34019">
    <w:abstractNumId w:val="8"/>
  </w:num>
  <w:num w:numId="2" w16cid:durableId="1808669691">
    <w:abstractNumId w:val="6"/>
  </w:num>
  <w:num w:numId="3" w16cid:durableId="1028990379">
    <w:abstractNumId w:val="5"/>
  </w:num>
  <w:num w:numId="4" w16cid:durableId="1336148025">
    <w:abstractNumId w:val="4"/>
  </w:num>
  <w:num w:numId="5" w16cid:durableId="6373222">
    <w:abstractNumId w:val="7"/>
  </w:num>
  <w:num w:numId="6" w16cid:durableId="344719561">
    <w:abstractNumId w:val="3"/>
  </w:num>
  <w:num w:numId="7" w16cid:durableId="2009362108">
    <w:abstractNumId w:val="2"/>
  </w:num>
  <w:num w:numId="8" w16cid:durableId="1022584092">
    <w:abstractNumId w:val="1"/>
  </w:num>
  <w:num w:numId="9" w16cid:durableId="8775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FF"/>
    <w:rsid w:val="0015074B"/>
    <w:rsid w:val="00177D88"/>
    <w:rsid w:val="0029639D"/>
    <w:rsid w:val="00326F90"/>
    <w:rsid w:val="00573741"/>
    <w:rsid w:val="007942BF"/>
    <w:rsid w:val="009279ED"/>
    <w:rsid w:val="00973AC6"/>
    <w:rsid w:val="009E09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DBAFA"/>
  <w14:defaultImageDpi w14:val="300"/>
  <w15:docId w15:val="{B206417B-9FD5-6D4D-8578-998CC418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DABADIE Raphael</cp:lastModifiedBy>
  <cp:revision>4</cp:revision>
  <dcterms:created xsi:type="dcterms:W3CDTF">2013-12-23T23:15:00Z</dcterms:created>
  <dcterms:modified xsi:type="dcterms:W3CDTF">2025-05-16T09:29:00Z</dcterms:modified>
  <cp:category/>
</cp:coreProperties>
</file>