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1A9" w:rsidRPr="00E801A9" w:rsidRDefault="00E801A9" w:rsidP="00E801A9">
      <w:pPr>
        <w:shd w:val="clear" w:color="auto" w:fill="FFFFFF"/>
        <w:spacing w:after="120" w:line="240" w:lineRule="auto"/>
        <w:rPr>
          <w:rFonts w:ascii="Segoe UI" w:eastAsia="Times New Roman" w:hAnsi="Segoe UI" w:cs="Segoe UI"/>
          <w:b/>
          <w:bCs/>
          <w:color w:val="00B050"/>
          <w:sz w:val="27"/>
          <w:szCs w:val="27"/>
        </w:rPr>
      </w:pPr>
      <w:r w:rsidRPr="00E801A9">
        <w:rPr>
          <w:rFonts w:ascii="Segoe UI" w:eastAsia="Times New Roman" w:hAnsi="Segoe UI" w:cs="Segoe UI"/>
          <w:b/>
          <w:bCs/>
          <w:color w:val="00B050"/>
          <w:sz w:val="27"/>
          <w:szCs w:val="27"/>
        </w:rPr>
        <w:t>There are different types of cloning vectors. Some commonly used cloning vectors are:</w:t>
      </w:r>
    </w:p>
    <w:p w:rsidR="00E801A9" w:rsidRPr="00E801A9" w:rsidRDefault="00E801A9" w:rsidP="00E801A9">
      <w:pPr>
        <w:numPr>
          <w:ilvl w:val="0"/>
          <w:numId w:val="1"/>
        </w:numPr>
        <w:shd w:val="clear" w:color="auto" w:fill="FFFFFF"/>
        <w:spacing w:after="0" w:line="240" w:lineRule="auto"/>
        <w:ind w:left="195"/>
        <w:rPr>
          <w:rFonts w:ascii="Segoe UI" w:eastAsia="Times New Roman" w:hAnsi="Segoe UI" w:cs="Segoe UI"/>
          <w:color w:val="000000"/>
          <w:sz w:val="27"/>
          <w:szCs w:val="27"/>
        </w:rPr>
      </w:pPr>
      <w:r w:rsidRPr="00E801A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none" w:sz="0" w:space="0" w:color="auto" w:frame="1"/>
        </w:rPr>
        <w:t>Plasmids</w:t>
      </w:r>
      <w:r w:rsidRPr="00E801A9">
        <w:rPr>
          <w:rFonts w:ascii="Segoe UI" w:eastAsia="Times New Roman" w:hAnsi="Segoe UI" w:cs="Segoe UI"/>
          <w:color w:val="000000"/>
          <w:sz w:val="27"/>
          <w:szCs w:val="27"/>
        </w:rPr>
        <w:t> are circular, autonomously replicating DNA molecules widely used as cloning vectors. They can hold DNA inserts of sizes up to around 15 kb. </w:t>
      </w:r>
    </w:p>
    <w:p w:rsidR="00E801A9" w:rsidRPr="00E801A9" w:rsidRDefault="00E801A9" w:rsidP="00E801A9">
      <w:pPr>
        <w:numPr>
          <w:ilvl w:val="0"/>
          <w:numId w:val="1"/>
        </w:numPr>
        <w:shd w:val="clear" w:color="auto" w:fill="FFFFFF"/>
        <w:spacing w:after="0" w:line="240" w:lineRule="auto"/>
        <w:ind w:left="195"/>
        <w:rPr>
          <w:rFonts w:ascii="Segoe UI" w:eastAsia="Times New Roman" w:hAnsi="Segoe UI" w:cs="Segoe UI"/>
          <w:color w:val="000000"/>
          <w:sz w:val="27"/>
          <w:szCs w:val="27"/>
        </w:rPr>
      </w:pPr>
      <w:r w:rsidRPr="00E801A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none" w:sz="0" w:space="0" w:color="auto" w:frame="1"/>
        </w:rPr>
        <w:t>Bacteriophages</w:t>
      </w:r>
      <w:r w:rsidRPr="00E801A9">
        <w:rPr>
          <w:rFonts w:ascii="Segoe UI" w:eastAsia="Times New Roman" w:hAnsi="Segoe UI" w:cs="Segoe UI"/>
          <w:color w:val="000000"/>
          <w:sz w:val="27"/>
          <w:szCs w:val="27"/>
        </w:rPr>
        <w:t>, also known as phages, are viruses that infect bacteria. Bacteriophages like lambda (λ) and M13 are often used as cloning vectors. </w:t>
      </w:r>
    </w:p>
    <w:p w:rsidR="00E801A9" w:rsidRPr="00E801A9" w:rsidRDefault="00E801A9" w:rsidP="00E801A9">
      <w:pPr>
        <w:numPr>
          <w:ilvl w:val="0"/>
          <w:numId w:val="1"/>
        </w:numPr>
        <w:shd w:val="clear" w:color="auto" w:fill="FFFFFF"/>
        <w:spacing w:after="0" w:line="240" w:lineRule="auto"/>
        <w:ind w:left="195"/>
        <w:rPr>
          <w:rFonts w:ascii="Segoe UI" w:eastAsia="Times New Roman" w:hAnsi="Segoe UI" w:cs="Segoe UI"/>
          <w:color w:val="000000"/>
          <w:sz w:val="27"/>
          <w:szCs w:val="27"/>
        </w:rPr>
      </w:pPr>
      <w:proofErr w:type="spellStart"/>
      <w:r w:rsidRPr="00E801A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none" w:sz="0" w:space="0" w:color="auto" w:frame="1"/>
        </w:rPr>
        <w:t>Cosmids</w:t>
      </w:r>
      <w:proofErr w:type="spellEnd"/>
      <w:r w:rsidRPr="00E801A9">
        <w:rPr>
          <w:rFonts w:ascii="Segoe UI" w:eastAsia="Times New Roman" w:hAnsi="Segoe UI" w:cs="Segoe UI"/>
          <w:color w:val="000000"/>
          <w:sz w:val="27"/>
          <w:szCs w:val="27"/>
        </w:rPr>
        <w:t> are hybrid vectors that combine the characteristics of both plasmids and bacteriophages. They are more stable than regular plasmids.</w:t>
      </w:r>
    </w:p>
    <w:p w:rsidR="00E801A9" w:rsidRDefault="00E801A9" w:rsidP="00E801A9">
      <w:pPr>
        <w:numPr>
          <w:ilvl w:val="0"/>
          <w:numId w:val="1"/>
        </w:numPr>
        <w:shd w:val="clear" w:color="auto" w:fill="FFFFFF"/>
        <w:spacing w:after="0" w:line="240" w:lineRule="auto"/>
        <w:ind w:left="195"/>
        <w:rPr>
          <w:rFonts w:ascii="Segoe UI" w:eastAsia="Times New Roman" w:hAnsi="Segoe UI" w:cs="Segoe UI"/>
          <w:color w:val="000000"/>
          <w:sz w:val="27"/>
          <w:szCs w:val="27"/>
        </w:rPr>
      </w:pPr>
      <w:r w:rsidRPr="00E801A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none" w:sz="0" w:space="0" w:color="auto" w:frame="1"/>
        </w:rPr>
        <w:t>Bacterial artificial chromosomes (BACs)</w:t>
      </w:r>
      <w:r w:rsidRPr="00E801A9">
        <w:rPr>
          <w:rFonts w:ascii="Segoe UI" w:eastAsia="Times New Roman" w:hAnsi="Segoe UI" w:cs="Segoe UI"/>
          <w:color w:val="000000"/>
          <w:sz w:val="27"/>
          <w:szCs w:val="27"/>
        </w:rPr>
        <w:t> are large cloning vectors used for cloning DNA sequences in bacterial cells and they can hold DNA segments up to 350 kb. </w:t>
      </w:r>
    </w:p>
    <w:p w:rsidR="003174C4" w:rsidRDefault="003174C4" w:rsidP="003174C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3174C4" w:rsidRPr="003174C4" w:rsidRDefault="003174C4" w:rsidP="003174C4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FF0000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FF0000"/>
          <w:sz w:val="27"/>
          <w:szCs w:val="27"/>
        </w:rPr>
        <w:t xml:space="preserve">     </w:t>
      </w:r>
      <w:r w:rsidRPr="003174C4">
        <w:rPr>
          <w:rFonts w:ascii="Segoe UI" w:eastAsia="Times New Roman" w:hAnsi="Segoe UI" w:cs="Segoe UI"/>
          <w:b/>
          <w:bCs/>
          <w:color w:val="FF0000"/>
          <w:sz w:val="27"/>
          <w:szCs w:val="27"/>
        </w:rPr>
        <w:t>How Restriction enzymes produce sticky ends</w:t>
      </w:r>
    </w:p>
    <w:p w:rsidR="003174C4" w:rsidRDefault="003174C4" w:rsidP="003174C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3C45B105" wp14:editId="5C6E68D7">
            <wp:extent cx="5731510" cy="2768760"/>
            <wp:effectExtent l="0" t="0" r="2540" b="0"/>
            <wp:docPr id="1" name="Picture 1" descr="Restriction enzy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triction enzym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FF1" w:rsidRDefault="004D7FF1" w:rsidP="004D7FF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4D7FF1" w:rsidRPr="004D7FF1" w:rsidRDefault="004D7FF1" w:rsidP="004D7FF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/>
          <w:sz w:val="27"/>
          <w:szCs w:val="27"/>
        </w:rPr>
      </w:pPr>
      <w:r w:rsidRPr="004D7FF1">
        <w:rPr>
          <w:rFonts w:ascii="Segoe UI" w:eastAsia="Times New Roman" w:hAnsi="Segoe UI" w:cs="Segoe UI"/>
          <w:b/>
          <w:bCs/>
          <w:color w:val="00B050"/>
          <w:sz w:val="27"/>
          <w:szCs w:val="27"/>
        </w:rPr>
        <w:t>How Electroporation Works</w:t>
      </w:r>
    </w:p>
    <w:p w:rsidR="004D7FF1" w:rsidRPr="004D7FF1" w:rsidRDefault="004D7FF1" w:rsidP="004D7FF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4D7FF1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Preparation</w:t>
      </w:r>
      <w:r w:rsidRPr="004D7FF1">
        <w:rPr>
          <w:rFonts w:ascii="Segoe UI" w:eastAsia="Times New Roman" w:hAnsi="Segoe UI" w:cs="Segoe UI"/>
          <w:color w:val="000000"/>
          <w:sz w:val="27"/>
          <w:szCs w:val="27"/>
        </w:rPr>
        <w:t>: Cells are suspended in an electrolyte solution, along with the substance (e.g., DNA plasmid) intended to be introduced.</w:t>
      </w:r>
    </w:p>
    <w:p w:rsidR="004D7FF1" w:rsidRPr="004D7FF1" w:rsidRDefault="004D7FF1" w:rsidP="004D7FF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4D7FF1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Application of Electrical Pulse</w:t>
      </w:r>
      <w:r w:rsidRPr="004D7FF1">
        <w:rPr>
          <w:rFonts w:ascii="Segoe UI" w:eastAsia="Times New Roman" w:hAnsi="Segoe UI" w:cs="Segoe UI"/>
          <w:color w:val="000000"/>
          <w:sz w:val="27"/>
          <w:szCs w:val="27"/>
        </w:rPr>
        <w:t>: An electric field is applied through electrodes in a controlled manner. This pulse momentarily disrupts the lipid bilayer of the cell membrane.</w:t>
      </w:r>
    </w:p>
    <w:p w:rsidR="004D7FF1" w:rsidRPr="004D7FF1" w:rsidRDefault="004D7FF1" w:rsidP="004D7FF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4D7FF1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Formation of Pores</w:t>
      </w:r>
      <w:r w:rsidRPr="004D7FF1">
        <w:rPr>
          <w:rFonts w:ascii="Segoe UI" w:eastAsia="Times New Roman" w:hAnsi="Segoe UI" w:cs="Segoe UI"/>
          <w:color w:val="000000"/>
          <w:sz w:val="27"/>
          <w:szCs w:val="27"/>
        </w:rPr>
        <w:t xml:space="preserve">: The electric field induces the formation of temporary </w:t>
      </w:r>
      <w:proofErr w:type="spellStart"/>
      <w:r w:rsidRPr="004D7FF1">
        <w:rPr>
          <w:rFonts w:ascii="Segoe UI" w:eastAsia="Times New Roman" w:hAnsi="Segoe UI" w:cs="Segoe UI"/>
          <w:color w:val="000000"/>
          <w:sz w:val="27"/>
          <w:szCs w:val="27"/>
        </w:rPr>
        <w:t>nanopores</w:t>
      </w:r>
      <w:proofErr w:type="spellEnd"/>
      <w:r w:rsidRPr="004D7FF1">
        <w:rPr>
          <w:rFonts w:ascii="Segoe UI" w:eastAsia="Times New Roman" w:hAnsi="Segoe UI" w:cs="Segoe UI"/>
          <w:color w:val="000000"/>
          <w:sz w:val="27"/>
          <w:szCs w:val="27"/>
        </w:rPr>
        <w:t xml:space="preserve"> in the membrane, making it permeable to macromolecules.</w:t>
      </w:r>
    </w:p>
    <w:p w:rsidR="004D7FF1" w:rsidRPr="004D7FF1" w:rsidRDefault="004D7FF1" w:rsidP="004D7FF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4D7FF1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lastRenderedPageBreak/>
        <w:t>Uptake of Molecules</w:t>
      </w:r>
      <w:r w:rsidRPr="004D7FF1">
        <w:rPr>
          <w:rFonts w:ascii="Segoe UI" w:eastAsia="Times New Roman" w:hAnsi="Segoe UI" w:cs="Segoe UI"/>
          <w:color w:val="000000"/>
          <w:sz w:val="27"/>
          <w:szCs w:val="27"/>
        </w:rPr>
        <w:t>: Molecules in the surrounding medium (e.g., DNA or drug particles) can then pass through the pores and enter the cell.</w:t>
      </w:r>
    </w:p>
    <w:p w:rsidR="004D7FF1" w:rsidRDefault="004D7FF1" w:rsidP="004D7FF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  <w:r w:rsidRPr="004D7FF1">
        <w:rPr>
          <w:rFonts w:ascii="Segoe UI" w:eastAsia="Times New Roman" w:hAnsi="Segoe UI" w:cs="Segoe UI"/>
          <w:b/>
          <w:bCs/>
          <w:color w:val="000000"/>
          <w:sz w:val="27"/>
          <w:szCs w:val="27"/>
        </w:rPr>
        <w:t>Resealing</w:t>
      </w:r>
      <w:r w:rsidRPr="004D7FF1">
        <w:rPr>
          <w:rFonts w:ascii="Segoe UI" w:eastAsia="Times New Roman" w:hAnsi="Segoe UI" w:cs="Segoe UI"/>
          <w:color w:val="000000"/>
          <w:sz w:val="27"/>
          <w:szCs w:val="27"/>
        </w:rPr>
        <w:t>: After the pulse, the cell membrane quickly reseals itself, trapping the introduced molecules inside.</w:t>
      </w:r>
    </w:p>
    <w:p w:rsidR="004D7FF1" w:rsidRDefault="004D7FF1" w:rsidP="004D7FF1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4D7FF1" w:rsidRPr="004D7FF1" w:rsidRDefault="004D7FF1" w:rsidP="004D7FF1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4D7FF1" w:rsidRPr="004D7FF1" w:rsidRDefault="004D7FF1" w:rsidP="004D7FF1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color w:val="813588"/>
          <w:sz w:val="32"/>
          <w:szCs w:val="32"/>
        </w:rPr>
      </w:pPr>
      <w:r w:rsidRPr="004D7FF1">
        <w:rPr>
          <w:rFonts w:ascii="Arial" w:eastAsia="Times New Roman" w:hAnsi="Arial" w:cs="Arial"/>
          <w:color w:val="813588"/>
          <w:sz w:val="32"/>
          <w:szCs w:val="32"/>
        </w:rPr>
        <w:t>Types of PCR</w:t>
      </w:r>
    </w:p>
    <w:p w:rsidR="004D7FF1" w:rsidRPr="004D7FF1" w:rsidRDefault="004D7FF1" w:rsidP="004D7FF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D7FF1">
        <w:rPr>
          <w:rFonts w:ascii="Arial" w:eastAsia="Times New Roman" w:hAnsi="Arial" w:cs="Arial"/>
          <w:color w:val="333333"/>
          <w:sz w:val="21"/>
          <w:szCs w:val="21"/>
        </w:rPr>
        <w:t>PCR is of the following types:</w:t>
      </w:r>
    </w:p>
    <w:p w:rsidR="004D7FF1" w:rsidRPr="004D7FF1" w:rsidRDefault="004D7FF1" w:rsidP="004D7FF1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813588"/>
          <w:sz w:val="29"/>
          <w:szCs w:val="29"/>
        </w:rPr>
      </w:pPr>
      <w:r w:rsidRPr="004D7FF1">
        <w:rPr>
          <w:rFonts w:ascii="Arial" w:eastAsia="Times New Roman" w:hAnsi="Arial" w:cs="Arial"/>
          <w:color w:val="813588"/>
          <w:sz w:val="29"/>
          <w:szCs w:val="29"/>
        </w:rPr>
        <w:t>Real-time PCR</w:t>
      </w:r>
    </w:p>
    <w:p w:rsidR="004D7FF1" w:rsidRPr="004D7FF1" w:rsidRDefault="004D7FF1" w:rsidP="004D7FF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D7FF1">
        <w:rPr>
          <w:rFonts w:ascii="Arial" w:eastAsia="Times New Roman" w:hAnsi="Arial" w:cs="Arial"/>
          <w:color w:val="333333"/>
          <w:sz w:val="21"/>
          <w:szCs w:val="21"/>
        </w:rPr>
        <w:t>In this type, the DNA amplification is detected in real-time with the help of a fluorescent reporter. The signal strength of the fluorescent reporter is directly proportional to the number of amplified DNA molecules.</w:t>
      </w:r>
    </w:p>
    <w:p w:rsidR="004D7FF1" w:rsidRPr="004D7FF1" w:rsidRDefault="004D7FF1" w:rsidP="004D7FF1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813588"/>
          <w:sz w:val="29"/>
          <w:szCs w:val="29"/>
        </w:rPr>
      </w:pPr>
      <w:r w:rsidRPr="004D7FF1">
        <w:rPr>
          <w:rFonts w:ascii="Arial" w:eastAsia="Times New Roman" w:hAnsi="Arial" w:cs="Arial"/>
          <w:color w:val="813588"/>
          <w:sz w:val="29"/>
          <w:szCs w:val="29"/>
        </w:rPr>
        <w:t>Nested PCR</w:t>
      </w:r>
    </w:p>
    <w:p w:rsidR="004D7FF1" w:rsidRPr="004D7FF1" w:rsidRDefault="004D7FF1" w:rsidP="004D7FF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D7FF1">
        <w:rPr>
          <w:rFonts w:ascii="Arial" w:eastAsia="Times New Roman" w:hAnsi="Arial" w:cs="Arial"/>
          <w:color w:val="333333"/>
          <w:sz w:val="21"/>
          <w:szCs w:val="21"/>
        </w:rPr>
        <w:t>This was designed to improve sensitivity and specificity. They reduce the non-specific binding of products due to the amplification of unexpected primer binding sites.</w:t>
      </w:r>
    </w:p>
    <w:p w:rsidR="004D7FF1" w:rsidRPr="004D7FF1" w:rsidRDefault="004D7FF1" w:rsidP="004D7FF1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813588"/>
          <w:sz w:val="29"/>
          <w:szCs w:val="29"/>
        </w:rPr>
      </w:pPr>
      <w:r w:rsidRPr="004D7FF1">
        <w:rPr>
          <w:rFonts w:ascii="Arial" w:eastAsia="Times New Roman" w:hAnsi="Arial" w:cs="Arial"/>
          <w:color w:val="813588"/>
          <w:sz w:val="29"/>
          <w:szCs w:val="29"/>
        </w:rPr>
        <w:t>Multiplex PCR</w:t>
      </w:r>
    </w:p>
    <w:p w:rsidR="004D7FF1" w:rsidRPr="004D7FF1" w:rsidRDefault="004D7FF1" w:rsidP="004D7FF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D7FF1">
        <w:rPr>
          <w:rFonts w:ascii="Arial" w:eastAsia="Times New Roman" w:hAnsi="Arial" w:cs="Arial"/>
          <w:color w:val="333333"/>
          <w:sz w:val="21"/>
          <w:szCs w:val="21"/>
        </w:rPr>
        <w:t>This is used for the amplification of multiple targets in a single PCR experiment. It amplifies many different DNA sequences simultaneously.</w:t>
      </w:r>
    </w:p>
    <w:p w:rsidR="004D7FF1" w:rsidRPr="004D7FF1" w:rsidRDefault="004D7FF1" w:rsidP="004D7FF1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813588"/>
          <w:sz w:val="29"/>
          <w:szCs w:val="29"/>
        </w:rPr>
      </w:pPr>
      <w:r w:rsidRPr="004D7FF1">
        <w:rPr>
          <w:rFonts w:ascii="Arial" w:eastAsia="Times New Roman" w:hAnsi="Arial" w:cs="Arial"/>
          <w:color w:val="813588"/>
          <w:sz w:val="29"/>
          <w:szCs w:val="29"/>
        </w:rPr>
        <w:t>Quantitative PCR</w:t>
      </w:r>
    </w:p>
    <w:p w:rsidR="004D7FF1" w:rsidRPr="004D7FF1" w:rsidRDefault="004D7FF1" w:rsidP="004D7FF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D7FF1">
        <w:rPr>
          <w:rFonts w:ascii="Arial" w:eastAsia="Times New Roman" w:hAnsi="Arial" w:cs="Arial"/>
          <w:color w:val="333333"/>
          <w:sz w:val="21"/>
          <w:szCs w:val="21"/>
        </w:rPr>
        <w:t>It uses the DNA amplification linearity to detect, characterize and quantify a known sequence in a sample.</w:t>
      </w:r>
    </w:p>
    <w:p w:rsidR="004D7FF1" w:rsidRPr="004D7FF1" w:rsidRDefault="004D7FF1" w:rsidP="004D7FF1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813588"/>
          <w:sz w:val="29"/>
          <w:szCs w:val="29"/>
        </w:rPr>
      </w:pPr>
      <w:r w:rsidRPr="004D7FF1">
        <w:rPr>
          <w:rFonts w:ascii="Arial" w:eastAsia="Times New Roman" w:hAnsi="Arial" w:cs="Arial"/>
          <w:color w:val="813588"/>
          <w:sz w:val="29"/>
          <w:szCs w:val="29"/>
        </w:rPr>
        <w:t>Arbitrary Primed PCR</w:t>
      </w:r>
    </w:p>
    <w:p w:rsidR="004D7FF1" w:rsidRPr="004D7FF1" w:rsidRDefault="004D7FF1" w:rsidP="004D7FF1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4D7FF1">
        <w:rPr>
          <w:rFonts w:ascii="Arial" w:eastAsia="Times New Roman" w:hAnsi="Arial" w:cs="Arial"/>
          <w:color w:val="333333"/>
          <w:sz w:val="21"/>
          <w:szCs w:val="21"/>
        </w:rPr>
        <w:t>It is a DNA fingerprinting technique based on PCR. It uses primers the DNA sequence of which is chosen arbitrarily.</w:t>
      </w:r>
    </w:p>
    <w:p w:rsidR="004D7FF1" w:rsidRPr="00E801A9" w:rsidRDefault="004D7FF1" w:rsidP="004D7FF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</w:rPr>
      </w:pPr>
    </w:p>
    <w:p w:rsidR="00805D9D" w:rsidRPr="00805D9D" w:rsidRDefault="00805D9D" w:rsidP="00805D9D">
      <w:pPr>
        <w:rPr>
          <w:b/>
          <w:bCs/>
          <w:color w:val="FF0000"/>
        </w:rPr>
      </w:pPr>
      <w:r w:rsidRPr="00805D9D">
        <w:rPr>
          <w:b/>
          <w:bCs/>
          <w:color w:val="FF0000"/>
        </w:rPr>
        <w:t>Affinity Chromatography: Principle, Step and Uses</w:t>
      </w:r>
    </w:p>
    <w:p w:rsidR="00805D9D" w:rsidRPr="00805D9D" w:rsidRDefault="00805D9D" w:rsidP="00805D9D">
      <w:r w:rsidRPr="00805D9D">
        <w:t>March 31, 2025 by </w:t>
      </w:r>
      <w:hyperlink r:id="rId6" w:tooltip="View all posts by Anjali Rawal" w:history="1">
        <w:r w:rsidRPr="00805D9D">
          <w:rPr>
            <w:rStyle w:val="Hyperlink"/>
          </w:rPr>
          <w:t xml:space="preserve">Anjali </w:t>
        </w:r>
        <w:proofErr w:type="spellStart"/>
        <w:r w:rsidRPr="00805D9D">
          <w:rPr>
            <w:rStyle w:val="Hyperlink"/>
          </w:rPr>
          <w:t>Rawal</w:t>
        </w:r>
        <w:proofErr w:type="spellEnd"/>
      </w:hyperlink>
    </w:p>
    <w:p w:rsidR="00805D9D" w:rsidRPr="00805D9D" w:rsidRDefault="00805D9D" w:rsidP="00805D9D">
      <w:hyperlink r:id="rId7" w:history="1">
        <w:r w:rsidRPr="00805D9D">
          <w:rPr>
            <w:rStyle w:val="Hyperlink"/>
          </w:rPr>
          <w:t>Chromatography</w:t>
        </w:r>
      </w:hyperlink>
      <w:r w:rsidRPr="00805D9D">
        <w:t> is a widely used laboratory technique for the separation of components in a mixture based on their differential interactions with the stationary phase.  This technique aids in the identification and purification of components and is applicable for both qualitative and quantitative analysis. </w:t>
      </w:r>
    </w:p>
    <w:p w:rsidR="00805D9D" w:rsidRPr="00805D9D" w:rsidRDefault="00805D9D" w:rsidP="00805D9D">
      <w:r w:rsidRPr="00805D9D">
        <w:rPr>
          <w:b/>
          <w:bCs/>
        </w:rPr>
        <w:t xml:space="preserve">Affinity chromatography is a </w:t>
      </w:r>
      <w:r w:rsidRPr="00805D9D">
        <w:rPr>
          <w:b/>
          <w:bCs/>
          <w:color w:val="00B050"/>
        </w:rPr>
        <w:t>type of liquid chromatography</w:t>
      </w:r>
      <w:r w:rsidRPr="00805D9D">
        <w:rPr>
          <w:b/>
          <w:bCs/>
        </w:rPr>
        <w:t>, which utilizes the reversible biological interaction (affinity) between components in the mobile phase and a solid stationary phase for separation.</w:t>
      </w:r>
    </w:p>
    <w:p w:rsidR="00805D9D" w:rsidRPr="00805D9D" w:rsidRDefault="00805D9D" w:rsidP="00805D9D">
      <w:pPr>
        <w:numPr>
          <w:ilvl w:val="0"/>
          <w:numId w:val="3"/>
        </w:numPr>
      </w:pPr>
      <w:r w:rsidRPr="00805D9D">
        <w:lastRenderedPageBreak/>
        <w:t xml:space="preserve">It was discovered by Pedro </w:t>
      </w:r>
      <w:proofErr w:type="spellStart"/>
      <w:r w:rsidRPr="00805D9D">
        <w:t>Cuatrecasas</w:t>
      </w:r>
      <w:proofErr w:type="spellEnd"/>
      <w:r w:rsidRPr="00805D9D">
        <w:t xml:space="preserve"> and Meir </w:t>
      </w:r>
      <w:proofErr w:type="spellStart"/>
      <w:r w:rsidRPr="00805D9D">
        <w:t>Wilcheck</w:t>
      </w:r>
      <w:proofErr w:type="spellEnd"/>
      <w:r w:rsidRPr="00805D9D">
        <w:t xml:space="preserve"> in 1968. </w:t>
      </w:r>
    </w:p>
    <w:p w:rsidR="00805D9D" w:rsidRPr="00805D9D" w:rsidRDefault="00805D9D" w:rsidP="00805D9D">
      <w:pPr>
        <w:numPr>
          <w:ilvl w:val="0"/>
          <w:numId w:val="3"/>
        </w:numPr>
      </w:pPr>
      <w:r w:rsidRPr="00805D9D">
        <w:t>Affinity chromatography falls under the broader category of </w:t>
      </w:r>
      <w:hyperlink r:id="rId8" w:history="1">
        <w:r w:rsidRPr="00805D9D">
          <w:rPr>
            <w:rStyle w:val="Hyperlink"/>
          </w:rPr>
          <w:t>adsorption chromatography</w:t>
        </w:r>
      </w:hyperlink>
      <w:r w:rsidRPr="00805D9D">
        <w:t>.  However, it is highly specific and selective in comparison to adsorption chromatography. </w:t>
      </w:r>
    </w:p>
    <w:p w:rsidR="00805D9D" w:rsidRPr="00805D9D" w:rsidRDefault="00805D9D" w:rsidP="00805D9D">
      <w:pPr>
        <w:numPr>
          <w:ilvl w:val="0"/>
          <w:numId w:val="3"/>
        </w:numPr>
      </w:pPr>
      <w:r w:rsidRPr="00805D9D">
        <w:t>In affinity chromatography, the adsorption process is elective and specific, relying on the binding affinity between target biomolecules and a ligand immobilized on the solid support matrix.</w:t>
      </w:r>
    </w:p>
    <w:p w:rsidR="00805D9D" w:rsidRPr="00805D9D" w:rsidRDefault="00805D9D" w:rsidP="00805D9D">
      <w:pPr>
        <w:numPr>
          <w:ilvl w:val="0"/>
          <w:numId w:val="3"/>
        </w:numPr>
      </w:pPr>
      <w:r w:rsidRPr="00805D9D">
        <w:t xml:space="preserve">It enables the </w:t>
      </w:r>
      <w:r w:rsidRPr="00805D9D">
        <w:rPr>
          <w:color w:val="00B050"/>
        </w:rPr>
        <w:t xml:space="preserve">purification of target biomolecules </w:t>
      </w:r>
      <w:r w:rsidRPr="00805D9D">
        <w:t>(often a protein) based on their biological structure and function.</w:t>
      </w:r>
    </w:p>
    <w:p w:rsidR="00805D9D" w:rsidRPr="00805D9D" w:rsidRDefault="00805D9D" w:rsidP="00805D9D">
      <w:pPr>
        <w:numPr>
          <w:ilvl w:val="0"/>
          <w:numId w:val="3"/>
        </w:numPr>
      </w:pPr>
      <w:r w:rsidRPr="00805D9D">
        <w:t>Some ligand-target interactions include enzyme-substrate, enzyme-inhibitor, antibody-antigen, lectin-glycoprotein, etc. </w:t>
      </w:r>
    </w:p>
    <w:p w:rsidR="00805D9D" w:rsidRPr="00805D9D" w:rsidRDefault="00805D9D" w:rsidP="00805D9D">
      <w:pPr>
        <w:numPr>
          <w:ilvl w:val="0"/>
          <w:numId w:val="3"/>
        </w:numPr>
      </w:pPr>
      <w:r w:rsidRPr="00805D9D">
        <w:t xml:space="preserve">Ligands obtained from biological sources </w:t>
      </w:r>
      <w:r w:rsidRPr="00805D9D">
        <w:rPr>
          <w:b/>
          <w:bCs/>
          <w:color w:val="7030A0"/>
        </w:rPr>
        <w:t>include antibodies, enzymes, proteins</w:t>
      </w:r>
      <w:r w:rsidRPr="00805D9D">
        <w:t xml:space="preserve">, glycoproteins, and others. Synthetic ligands used are metal chelates, </w:t>
      </w:r>
      <w:proofErr w:type="spellStart"/>
      <w:r w:rsidRPr="00805D9D">
        <w:t>boronates</w:t>
      </w:r>
      <w:proofErr w:type="spellEnd"/>
      <w:r w:rsidRPr="00805D9D">
        <w:t>, biomimetic dyes, etc.  </w:t>
      </w:r>
    </w:p>
    <w:p w:rsidR="00805D9D" w:rsidRPr="00805D9D" w:rsidRDefault="00805D9D" w:rsidP="00805D9D">
      <w:pPr>
        <w:numPr>
          <w:ilvl w:val="0"/>
          <w:numId w:val="3"/>
        </w:numPr>
      </w:pPr>
      <w:r w:rsidRPr="00805D9D">
        <w:t xml:space="preserve">Prepacked columns such as </w:t>
      </w:r>
      <w:proofErr w:type="spellStart"/>
      <w:r w:rsidRPr="00805D9D">
        <w:t>HiTrap</w:t>
      </w:r>
      <w:proofErr w:type="spellEnd"/>
      <w:r w:rsidRPr="00805D9D">
        <w:t xml:space="preserve">, </w:t>
      </w:r>
      <w:proofErr w:type="spellStart"/>
      <w:r w:rsidRPr="00805D9D">
        <w:t>HiPrep</w:t>
      </w:r>
      <w:proofErr w:type="spellEnd"/>
      <w:r w:rsidRPr="00805D9D">
        <w:t>, etc., are commercially available, facilitating rapid optimization.</w:t>
      </w:r>
    </w:p>
    <w:p w:rsidR="003F7169" w:rsidRDefault="00852C97">
      <w:r>
        <w:rPr>
          <w:noProof/>
        </w:rPr>
        <w:drawing>
          <wp:inline distT="0" distB="0" distL="0" distR="0" wp14:anchorId="16558757" wp14:editId="0822B6B3">
            <wp:extent cx="5731510" cy="3010696"/>
            <wp:effectExtent l="0" t="0" r="2540" b="0"/>
            <wp:docPr id="2" name="Picture 2" descr="https://1.bp.blogspot.com/-Z8FNRMYXpdY/Xrb3WM_ibiI/AAAAAAAACKg/xBcgnqW7AAsb2Q03fPsFD-ad6QRiIEcIgCLcBGAsYHQ/w1200-h630-p-k-no-nu/affinity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1.bp.blogspot.com/-Z8FNRMYXpdY/Xrb3WM_ibiI/AAAAAAAACKg/xBcgnqW7AAsb2Q03fPsFD-ad6QRiIEcIgCLcBGAsYHQ/w1200-h630-p-k-no-nu/affinity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71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F6F3F"/>
    <w:multiLevelType w:val="multilevel"/>
    <w:tmpl w:val="0F42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9D40FC"/>
    <w:multiLevelType w:val="multilevel"/>
    <w:tmpl w:val="657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FE469F"/>
    <w:multiLevelType w:val="multilevel"/>
    <w:tmpl w:val="F06C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1A9"/>
    <w:rsid w:val="00274ACF"/>
    <w:rsid w:val="003174C4"/>
    <w:rsid w:val="004D7FF1"/>
    <w:rsid w:val="005D2230"/>
    <w:rsid w:val="00754DC2"/>
    <w:rsid w:val="00805D9D"/>
    <w:rsid w:val="00852C97"/>
    <w:rsid w:val="00E8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E0C3"/>
  <w15:chartTrackingRefBased/>
  <w15:docId w15:val="{682F2C13-E018-4136-B9E5-9F7F2BBF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5D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1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77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23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28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benotes.com/adsorption-chromatograph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crobenotes.com/chromatography-principle-types-and-applic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benotes.com/author/anjali-rawal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6</cp:revision>
  <dcterms:created xsi:type="dcterms:W3CDTF">2025-11-10T11:13:00Z</dcterms:created>
  <dcterms:modified xsi:type="dcterms:W3CDTF">2025-11-10T13:46:00Z</dcterms:modified>
</cp:coreProperties>
</file>