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A6F73"/>
          <w:sz w:val="24"/>
        </w:rPr>
        <w:t>T3N Agent Build Challenge</w:t>
      </w:r>
    </w:p>
    <w:p>
      <w:pPr>
        <w:pStyle w:val="Title"/>
        <w:jc w:val="center"/>
      </w:pPr>
      <w:r>
        <w:t>Confidential Invoice</w:t>
        <w:br/>
        <w:t>Approval Agent</w:t>
      </w:r>
    </w:p>
    <w:p>
      <w:pPr>
        <w:jc w:val="center"/>
      </w:pPr>
      <w:r>
        <w:rPr>
          <w:i/>
          <w:color w:val="475569"/>
          <w:sz w:val="24"/>
        </w:rPr>
        <w:t>A T3N TEE agent for privacy preserving enterprise invoice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color w:val="2A6F73"/>
                <w:sz w:val="19"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4D"/>
                <w:sz w:val="19"/>
              </w:rPr>
              <w:t>Confidential Invoice Approval Agent</w:t>
            </w:r>
          </w:p>
        </w:tc>
      </w:tr>
      <w:tr>
        <w:tc>
          <w:tcPr>
            <w:tcW w:type="dxa" w:w="504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color w:val="2A6F73"/>
                <w:sz w:val="19"/>
              </w:rPr>
              <w:t>Network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4D"/>
                <w:sz w:val="19"/>
              </w:rPr>
              <w:t>T3N testnet</w:t>
            </w:r>
          </w:p>
        </w:tc>
      </w:tr>
      <w:tr>
        <w:tc>
          <w:tcPr>
            <w:tcW w:type="dxa" w:w="504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color w:val="2A6F73"/>
                <w:sz w:val="19"/>
              </w:rPr>
              <w:t>Contract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4D"/>
                <w:sz w:val="19"/>
              </w:rPr>
              <w:t>invoice-approval, version 0.1.2, active</w:t>
            </w:r>
          </w:p>
        </w:tc>
      </w:tr>
      <w:tr>
        <w:tc>
          <w:tcPr>
            <w:tcW w:type="dxa" w:w="504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color w:val="2A6F73"/>
                <w:sz w:val="19"/>
              </w:rPr>
              <w:t>Repository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4D"/>
                <w:sz w:val="19"/>
              </w:rPr>
              <w:t>github.com/belalangeth/T3N-TASK</w:t>
            </w:r>
          </w:p>
        </w:tc>
      </w:tr>
    </w:tbl>
    <w:p/>
    <w:p>
      <w:pPr>
        <w:pStyle w:val="Heading1"/>
      </w:pPr>
      <w:r>
        <w:t>1. Project summary</w:t>
      </w:r>
    </w:p>
    <w:p>
      <w:r>
        <w:t>Invoice approval is a practical confidential workflow. A host agent needs a decision, but it should not receive the tenant approval policy, duplicate invoice history, or internal notes. This project keeps those values inside a T3N TEE contract and returns only the information needed by the caller.</w:t>
      </w:r>
    </w:p>
    <w:p>
      <w:r>
        <w:t>The agent supports three outcomes: approve, review, and reject. It validates input before dispatch, uses a private tenant KV map for policy and duplicate markers, and exposes a narrow delegated function to a separate funded agent identity.</w:t>
      </w:r>
    </w:p>
    <w:p>
      <w:pPr>
        <w:pStyle w:val="Heading1"/>
      </w:pPr>
      <w:r>
        <w:t>2. Public repository and evidence</w:t>
      </w:r>
    </w:p>
    <w:p>
      <w:pPr>
        <w:spacing w:after="60"/>
      </w:pPr>
      <w:r>
        <w:rPr>
          <w:b/>
        </w:rPr>
        <w:t xml:space="preserve">Public GitHub repository: </w:t>
      </w:r>
      <w:r>
        <w:rPr>
          <w:color w:val="1769AA"/>
          <w:u w:val="single"/>
        </w:rPr>
        <w:t>https://github.com/belalangeth/T3N-TASK</w:t>
      </w:r>
    </w:p>
    <w:p>
      <w:pPr>
        <w:spacing w:after="60"/>
      </w:pPr>
      <w:r>
        <w:rPr>
          <w:b/>
        </w:rPr>
        <w:t xml:space="preserve">Submission draft in the repository: </w:t>
      </w:r>
      <w:r>
        <w:rPr>
          <w:color w:val="1769AA"/>
          <w:u w:val="single"/>
        </w:rPr>
        <w:t>https://github.com/belalangeth/T3N-TASK/blob/main/docs/submission.md</w:t>
      </w:r>
    </w:p>
    <w:p>
      <w:pPr>
        <w:spacing w:after="60"/>
      </w:pPr>
      <w:r>
        <w:rPr>
          <w:b/>
        </w:rPr>
        <w:t xml:space="preserve">Bug report in the repository: </w:t>
      </w:r>
      <w:r>
        <w:rPr>
          <w:color w:val="1769AA"/>
          <w:u w:val="single"/>
        </w:rPr>
        <w:t>https://github.com/belalangeth/T3N-TASK/blob/main/docs/bug-report.md</w:t>
      </w:r>
    </w:p>
    <w:p>
      <w:pPr>
        <w:pStyle w:val="Heading1"/>
      </w:pPr>
      <w:r>
        <w:t>3. Architecture</w:t>
      </w:r>
    </w:p>
    <w:p>
      <w:r>
        <w:t>The application boundary is deliberately small:</w:t>
      </w:r>
    </w:p>
    <w:p>
      <w:pPr>
        <w:pStyle w:val="ListBullet"/>
        <w:spacing w:after="40"/>
      </w:pPr>
      <w:r>
        <w:t>Agent client authenticates with T3N and submits an allowlisted invoice payload.</w:t>
      </w:r>
    </w:p>
    <w:p>
      <w:pPr>
        <w:pStyle w:val="ListBullet"/>
        <w:spacing w:after="40"/>
      </w:pPr>
      <w:r>
        <w:t>Rust WASM component runs as a TEE contract compiled for wasm32-wasip2.</w:t>
      </w:r>
    </w:p>
    <w:p>
      <w:pPr>
        <w:pStyle w:val="ListBullet"/>
        <w:spacing w:after="40"/>
      </w:pPr>
      <w:r>
        <w:t>Private tenant KV stores the approval policy and seen invoice identifiers.</w:t>
      </w:r>
    </w:p>
    <w:p>
      <w:pPr>
        <w:pStyle w:val="ListBullet"/>
        <w:spacing w:after="40"/>
      </w:pPr>
      <w:r>
        <w:t>The contract returns a redacted summary, decision, and reasons.</w:t>
      </w:r>
    </w:p>
    <w:p>
      <w:pPr>
        <w:pStyle w:val="ListBullet"/>
        <w:spacing w:after="40"/>
      </w:pPr>
      <w:r>
        <w:t>The browser demo receives no tenant key or agent key. T3N calls remain server side.</w:t>
      </w:r>
    </w:p>
    <w:p>
      <w:pPr>
        <w:pStyle w:val="CodeBlock"/>
      </w:pPr>
      <w:r>
        <w:t>Agent client  -&gt;  T3N authenticated session  -&gt;  invoice-approval TEE</w:t>
        <w:br/>
        <w:t xml:space="preserve">                                         |</w:t>
        <w:br/>
        <w:t xml:space="preserve">                                         +-- private tenant KV: policy</w:t>
        <w:br/>
        <w:t xml:space="preserve">                                         +-- private tenant KV: seen:&lt;invoice_id&gt;</w:t>
      </w:r>
    </w:p>
    <w:p>
      <w:pPr>
        <w:pStyle w:val="Heading1"/>
      </w:pPr>
      <w:r>
        <w:t>4. Policy and privacy boundary</w:t>
      </w:r>
    </w:p>
    <w:p>
      <w:pPr>
        <w:pStyle w:val="ListBullet"/>
        <w:spacing w:after="40"/>
      </w:pPr>
      <w:r>
        <w:t>USD is the seeded demo currency.</w:t>
      </w:r>
    </w:p>
    <w:p>
      <w:pPr>
        <w:pStyle w:val="ListBullet"/>
        <w:spacing w:after="40"/>
      </w:pPr>
      <w:r>
        <w:t>Invoices at or below the 5,000 USD auto approval limit are approved.</w:t>
      </w:r>
    </w:p>
    <w:p>
      <w:pPr>
        <w:pStyle w:val="ListBullet"/>
        <w:spacing w:after="40"/>
      </w:pPr>
      <w:r>
        <w:t>Invoices above the limit are routed to review.</w:t>
      </w:r>
    </w:p>
    <w:p>
      <w:pPr>
        <w:pStyle w:val="ListBullet"/>
        <w:spacing w:after="40"/>
      </w:pPr>
      <w:r>
        <w:t>Malformed invoices, unsupported currencies, and duplicate identifiers are rejected.</w:t>
      </w:r>
    </w:p>
    <w:p>
      <w:pPr>
        <w:pStyle w:val="ListBullet"/>
        <w:spacing w:after="40"/>
      </w:pPr>
      <w:r>
        <w:t>Purchase order values, tenant policy values, and duplicate map contents never leave the contract.</w:t>
      </w:r>
    </w:p>
    <w:p>
      <w:pPr>
        <w:pStyle w:val="Heading1"/>
      </w:pPr>
      <w:r>
        <w:t>5. Live verification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A6F73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3360"/>
            <w:vAlign w:val="center"/>
            <w:shd w:fill="2A6F73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360"/>
            <w:vAlign w:val="center"/>
            <w:shd w:fill="2A6F73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4D"/>
                <w:sz w:val="19"/>
              </w:rPr>
              <w:t>Valid USD invoice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4D"/>
                <w:sz w:val="19"/>
              </w:rPr>
              <w:t>approve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4D"/>
                <w:sz w:val="19"/>
              </w:rPr>
              <w:t>Live tenant invocation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4D"/>
                <w:sz w:val="19"/>
              </w:rPr>
              <w:t>Duplicate invoice identifier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4D"/>
                <w:sz w:val="19"/>
              </w:rPr>
              <w:t>reject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4D"/>
                <w:sz w:val="19"/>
              </w:rPr>
              <w:t>Private KV duplicate marker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4D"/>
                <w:sz w:val="19"/>
              </w:rPr>
              <w:t>Invoice above limit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4D"/>
                <w:sz w:val="19"/>
              </w:rPr>
              <w:t>review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4D"/>
                <w:sz w:val="19"/>
              </w:rPr>
              <w:t>Policy boundary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4D"/>
                <w:sz w:val="19"/>
              </w:rPr>
              <w:t>Unsupported currency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4D"/>
                <w:sz w:val="19"/>
              </w:rPr>
              <w:t>reject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324D"/>
                <w:sz w:val="19"/>
              </w:rPr>
              <w:t>Currency validation</w:t>
            </w:r>
          </w:p>
        </w:tc>
      </w:tr>
    </w:tbl>
    <w:p>
      <w:r>
        <w:t>The verification scripts are available in the repository:</w:t>
      </w:r>
    </w:p>
    <w:p>
      <w:pPr>
        <w:pStyle w:val="ListBullet"/>
        <w:spacing w:after="40"/>
      </w:pPr>
      <w:r>
        <w:t>scripts/invoke-demo.mjs</w:t>
      </w:r>
    </w:p>
    <w:p>
      <w:pPr>
        <w:pStyle w:val="ListBullet"/>
        <w:spacing w:after="40"/>
      </w:pPr>
      <w:r>
        <w:t>scripts/verify-failure-paths.mjs</w:t>
      </w:r>
    </w:p>
    <w:p>
      <w:pPr>
        <w:pStyle w:val="Heading1"/>
      </w:pPr>
      <w:r>
        <w:t>6. Delegated authorization proof</w:t>
      </w:r>
    </w:p>
    <w:p>
      <w:r>
        <w:t>The tenant identity and application agent use separate T3N identities. The tenant granted only evaluate-invoice to the funded agent DID. set-policy was not included in the grant.</w:t>
      </w:r>
    </w:p>
    <w:p>
      <w:pPr>
        <w:pStyle w:val="ListBullet"/>
        <w:spacing w:after="40"/>
      </w:pPr>
      <w:r>
        <w:t>Separate agent DID authentication: verified.</w:t>
      </w:r>
    </w:p>
    <w:p>
      <w:pPr>
        <w:pStyle w:val="ListBullet"/>
        <w:spacing w:after="40"/>
      </w:pPr>
      <w:r>
        <w:t>Delegation grant readback: verified.</w:t>
      </w:r>
    </w:p>
    <w:p>
      <w:pPr>
        <w:pStyle w:val="ListBullet"/>
        <w:spacing w:after="40"/>
      </w:pPr>
      <w:r>
        <w:t>evaluate-invoice authorization: authorised true.</w:t>
      </w:r>
    </w:p>
    <w:p>
      <w:pPr>
        <w:pStyle w:val="ListBullet"/>
        <w:spacing w:after="40"/>
      </w:pPr>
      <w:r>
        <w:t>set-policy authorization: authorised false.</w:t>
      </w:r>
    </w:p>
    <w:p>
      <w:pPr>
        <w:pStyle w:val="ListBullet"/>
        <w:spacing w:after="40"/>
      </w:pPr>
      <w:r>
        <w:t>Delegated evaluate-invoice invocation: approved.</w:t>
      </w:r>
    </w:p>
    <w:p>
      <w:pPr>
        <w:pStyle w:val="ListBullet"/>
        <w:spacing w:after="40"/>
      </w:pPr>
      <w:r>
        <w:t>Delegated set-policy invocation: rejected with function_not_delegated.</w:t>
      </w:r>
    </w:p>
    <w:p>
      <w:pPr>
        <w:pStyle w:val="ListBullet"/>
        <w:spacing w:after="40"/>
      </w:pPr>
      <w:r>
        <w:t>Agent balance decreased after the delegated invocation, proving agent-side metering.</w:t>
      </w:r>
    </w:p>
    <w:p>
      <w:pPr>
        <w:pStyle w:val="Heading1"/>
      </w:pPr>
      <w:r>
        <w:t>7. Screenshots</w:t>
      </w:r>
    </w:p>
    <w:p>
      <w:r>
        <w:t>The following screenshots show the contract verification output and the live delegated dapp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648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n-verification-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48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1. T3N contract deployment, descriptor, and verification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9784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pp-demo-dec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78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2. Thin Vaultline dapp showing a live delegated approval result.</w:t>
      </w:r>
    </w:p>
    <w:p>
      <w:pPr>
        <w:pStyle w:val="Heading1"/>
      </w:pPr>
      <w:r>
        <w:t>8. SDK and documentation findings</w:t>
      </w:r>
    </w:p>
    <w:p>
      <w:r>
        <w:t>The following integration findings were recorded during implementation with @terminal3/t3n-sdk@5.2.0:</w:t>
      </w:r>
    </w:p>
    <w:p>
      <w:pPr>
        <w:pStyle w:val="ListBullet"/>
        <w:spacing w:after="40"/>
      </w:pPr>
      <w:r>
        <w:t>Current descriptor validation uses returns for a function return schema. The older returns_schema spelling failed validation.</w:t>
      </w:r>
    </w:p>
    <w:p>
      <w:pPr>
        <w:pStyle w:val="ListBullet"/>
        <w:spacing w:after="40"/>
      </w:pPr>
      <w:r>
        <w:t>The SDK invocation surface uses functionName, while contract payload fields use snake_case such as invoice_id and vendor_id.</w:t>
      </w:r>
    </w:p>
    <w:p>
      <w:pPr>
        <w:pStyle w:val="ListBullet"/>
        <w:spacing w:after="40"/>
      </w:pPr>
      <w:r>
        <w:t>Delegated authorization is separate from agent credit. A separate agent DID needs its own funded balance for metered execution.</w:t>
      </w:r>
    </w:p>
    <w:p>
      <w:r>
        <w:t>Detailed reproduction notes are in docs/bug-report.md in the public repository.</w:t>
      </w:r>
    </w:p>
    <w:p>
      <w:pPr>
        <w:pStyle w:val="Heading1"/>
      </w:pPr>
      <w:r>
        <w:t>9. Reviewer runbook</w:t>
      </w:r>
    </w:p>
    <w:p>
      <w:r>
        <w:t>Requirements: Node 20 or newer, Rust, the wasm32-wasip2 target, wasm-tools, and a T3N testnet API key supplied through the environment only.</w:t>
      </w:r>
    </w:p>
    <w:p>
      <w:pPr>
        <w:pStyle w:val="CodeBlock"/>
      </w:pPr>
      <w:r>
        <w:t>npm install</w:t>
        <w:br/>
        <w:t>npm test</w:t>
        <w:br/>
        <w:t>cargo test --manifest-path contract/Cargo.toml</w:t>
        <w:br/>
        <w:t>cargo build --manifest-path contract/Cargo.toml --target wasm32-wasip2 --release</w:t>
        <w:br/>
        <w:t>node scripts/invoke-demo.mjs</w:t>
        <w:br/>
        <w:t>node scripts/verify-failure-paths.mjs</w:t>
        <w:br/>
        <w:t>npm run dev</w:t>
      </w:r>
    </w:p>
    <w:p>
      <w:r>
        <w:t>Never commit an environment file or place an API key in the browser, source code, screenshots, or documentation.</w:t>
      </w:r>
    </w:p>
    <w:p>
      <w:pPr>
        <w:pStyle w:val="Heading1"/>
      </w:pPr>
      <w:r>
        <w:t>10. Maintenance and handover</w:t>
      </w:r>
    </w:p>
    <w:p>
      <w:pPr>
        <w:pStyle w:val="ListBullet"/>
        <w:spacing w:after="40"/>
      </w:pPr>
      <w:r>
        <w:t>Keep the contract policy and KV naming scoped to the tenant context.</w:t>
      </w:r>
    </w:p>
    <w:p>
      <w:pPr>
        <w:pStyle w:val="ListBullet"/>
        <w:spacing w:after="40"/>
      </w:pPr>
      <w:r>
        <w:t>Run Node tests, Rust tests, formatting, WASM build, and live failure path checks before release.</w:t>
      </w:r>
    </w:p>
    <w:p>
      <w:pPr>
        <w:pStyle w:val="ListBullet"/>
        <w:spacing w:after="40"/>
      </w:pPr>
      <w:r>
        <w:t>Review the descriptor after every contract version change and read it back from T3N.</w:t>
      </w:r>
    </w:p>
    <w:p>
      <w:pPr>
        <w:pStyle w:val="ListBullet"/>
        <w:spacing w:after="40"/>
      </w:pPr>
      <w:r>
        <w:t>Keep delegated grants limited to the exact functions required by each application agent.</w:t>
      </w:r>
    </w:p>
    <w:p>
      <w:pPr>
        <w:pStyle w:val="ListBullet"/>
        <w:spacing w:after="40"/>
      </w:pPr>
      <w:r>
        <w:t>For handover, provide the public repository, deployment identifiers, runbook, testnet configuration instructions, and grant management procedure. Never transfer credentials through the repository.</w:t>
      </w:r>
    </w:p>
    <w:p>
      <w:pPr>
        <w:pStyle w:val="Heading1"/>
      </w:pPr>
      <w:r>
        <w:t>11. Submission checklist</w:t>
      </w:r>
    </w:p>
    <w:p>
      <w:pPr>
        <w:pStyle w:val="ListBullet"/>
        <w:spacing w:after="40"/>
      </w:pPr>
      <w:r>
        <w:t>Public GitHub repository: complete.</w:t>
      </w:r>
    </w:p>
    <w:p>
      <w:pPr>
        <w:pStyle w:val="ListBullet"/>
        <w:spacing w:after="40"/>
      </w:pPr>
      <w:r>
        <w:t>Screenshots embedded in this document: complete.</w:t>
      </w:r>
    </w:p>
    <w:p>
      <w:pPr>
        <w:pStyle w:val="ListBullet"/>
        <w:spacing w:after="40"/>
      </w:pPr>
      <w:r>
        <w:t>Bug findings documented: complete.</w:t>
      </w:r>
    </w:p>
    <w:p>
      <w:pPr>
        <w:pStyle w:val="ListBullet"/>
        <w:spacing w:after="40"/>
      </w:pPr>
      <w:r>
        <w:t>Public Google Doc: upload this .docx to Google Docs, then set General access to Anyone with the link and Viewer.</w:t>
      </w:r>
    </w:p>
    <w:p>
      <w:pPr>
        <w:pStyle w:val="ListBullet"/>
        <w:spacing w:after="40"/>
      </w:pPr>
      <w:r>
        <w:t>Superteam Earn submission: paste the public Google Doc URL and repository URL into the submission form.</w:t>
      </w:r>
    </w:p>
    <w:p>
      <w:r>
        <w:t>All examples use synthetic invoice data. No private customer or financial records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Submission evidence  |  T3N testnet  | 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T3N Agent Build Challenge  |  Confidential Invoice Approval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6F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59"/>
    </w:pPr>
    <w:rPr>
      <w:rFonts w:ascii="Courier New" w:hAnsi="Courier New"/>
      <w:color w:val="3341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