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25.png" ContentType="image/png"/>
  <Override PartName="/word/media/rId101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Незами</w:t>
      </w:r>
      <w:r>
        <w:t xml:space="preserve"> </w:t>
      </w:r>
      <w:r>
        <w:t xml:space="preserve">Ахмад</w:t>
      </w:r>
      <w:r>
        <w:t xml:space="preserve"> </w:t>
      </w:r>
      <w:r>
        <w:t xml:space="preserve">Белал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bookmarkEnd w:id="20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Создадим рабочую директорию и файл.(рис.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023360" cy="856648"/>
            <wp:effectExtent b="0" l="0" r="0" t="0"/>
            <wp:docPr descr="Figure 1: Создаем директорию и файл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856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Создаем директорию и файл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Напишем программу, имитирующую сложную функцию. Функции назовем _calul и subcalcul.(рис.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6964119"/>
            <wp:effectExtent b="0" l="0" r="0" t="0"/>
            <wp:docPr descr="Figure 2: Запись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64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Запись программы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Проверим ее работу (рис. [-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2261936" cy="375385"/>
            <wp:effectExtent b="0" l="0" r="0" t="0"/>
            <wp:docPr descr="Figure 3: Проверк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936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Проверка</w:t>
      </w:r>
    </w:p>
    <w:bookmarkEnd w:id="0"/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Создадим файл lab09-2.asm и посмотрим, как она работает. Так же проассемблируем его с другими ключами, чтобы была возможность открыть этот файл через gdb.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3522846" cy="577515"/>
            <wp:effectExtent b="0" l="0" r="0" t="0"/>
            <wp:docPr descr="Figure 4: Создание файла lab09-2.asm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846" cy="577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Создание файла lab09-2.asm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245100" cy="6527800"/>
            <wp:effectExtent b="0" l="0" r="0" t="0"/>
            <wp:docPr descr="Figure 5: Запись программ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652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Запись программы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Откроем lab09-2 с помощью gdb. Запустим ее там(рис.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4129237" cy="5640404"/>
            <wp:effectExtent b="0" l="0" r="0" t="0"/>
            <wp:docPr descr="Figure 6: Запуск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37" cy="5640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Поставим точку останова(breakpoint) на метке _start. Посмотрим дизассемеблированный код, начиная с этой метки.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042572"/>
            <wp:effectExtent b="0" l="0" r="0" t="0"/>
            <wp:docPr descr="Figure 7: Поставим точку останова(breakpoint) на метке _start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2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Поставим точку останова(breakpoint) на метке _start</w:t>
      </w:r>
    </w:p>
    <w:bookmarkEnd w:id="0"/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Так же посмотрим как выглядит дизассемблированный код c синтаксисом Intel (рис. [</w:t>
      </w:r>
      <w:hyperlink w:anchor="fig:008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113221"/>
            <wp:effectExtent b="0" l="0" r="0" t="0"/>
            <wp:docPr descr="Figure 8: дизассемблированный код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3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дизассемблированный код</w:t>
      </w:r>
    </w:p>
    <w:bookmarkEnd w:id="0"/>
    <w:p>
      <w:pPr>
        <w:pStyle w:val="BodyText"/>
      </w:pPr>
      <w:r>
        <w:rPr>
          <w:bCs/>
          <w:b/>
        </w:rPr>
        <w:t xml:space="preserve">8</w:t>
      </w:r>
    </w:p>
    <w:p>
      <w:pPr>
        <w:pStyle w:val="BodyText"/>
      </w:pPr>
      <w:r>
        <w:t xml:space="preserve">В представлении ATT в виде 16-ричного числа записаны первые аргументы всех комманд, а в представлении intel так записываются адреса вторых аргумантов.</w:t>
      </w:r>
    </w:p>
    <w:p>
      <w:pPr>
        <w:pStyle w:val="BodyText"/>
      </w:pPr>
      <w:r>
        <w:t xml:space="preserve">Включим режим псевдографики, с помощью которго отбражается код программы и содержимое регистров.</w:t>
      </w:r>
    </w:p>
    <w:p>
      <w:pPr>
        <w:pStyle w:val="BodyText"/>
      </w:pPr>
      <w:r>
        <w:t xml:space="preserve">Посмотрим информацию о наших точках останова. Сделать это можно коротко командой i b (рис. [</w:t>
      </w:r>
      <w:hyperlink w:anchor="fig:008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5113221"/>
            <wp:effectExtent b="0" l="0" r="0" t="0"/>
            <wp:docPr descr="Figure 9: Команда i b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3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9: Команда i b</w:t>
      </w:r>
    </w:p>
    <w:bookmarkEnd w:id="0"/>
    <w:p>
      <w:pPr>
        <w:pStyle w:val="BodyText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В отладчике можно вывести текущее значение переменных. Сделать это можно например по имени или по адресу (рис. [</w:t>
      </w:r>
      <w:hyperlink w:anchor="fig:009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1498314"/>
            <wp:effectExtent b="0" l="0" r="0" t="0"/>
            <wp:docPr descr="Figure 10: 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8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10: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Так же отладчик позволяет менять значения переменных прямо во время выполнения программы (рис. [</w:t>
      </w:r>
      <w:hyperlink w:anchor="fig:010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4610100" cy="1181100"/>
            <wp:effectExtent b="0" l="0" r="0" t="0"/>
            <wp:docPr descr="Figure 11: 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11: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11</w:t>
      </w:r>
    </w:p>
    <w:p>
      <w:pPr>
        <w:pStyle w:val="BodyText"/>
      </w:pPr>
      <w:r>
        <w:t xml:space="preserve">Здесь тоже можно обращаться по адресам переменных(рис. [</w:t>
      </w:r>
      <w:hyperlink w:anchor="fig:011">
        <w:r>
          <w:rPr>
            <w:rStyle w:val="Hyperlink"/>
          </w:rPr>
          <w:t xml:space="preserve">12</w:t>
        </w:r>
      </w:hyperlink>
      <w:r>
        <w:t xml:space="preserve">]). здесь был заменен первый символ переменной msg2 на символ отступа.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4610100" cy="1181100"/>
            <wp:effectExtent b="0" l="0" r="0" t="0"/>
            <wp:docPr descr="Figure 12: 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12: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Выоводить можно так же содержимое регисторов. Выведем значение edx в разных форматах: строчном, 16-ричном, двоичном(рис. [</w:t>
      </w:r>
      <w:hyperlink w:anchor="fig:012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71" w:name="fig:012"/>
      <w:r>
        <w:drawing>
          <wp:inline>
            <wp:extent cx="4610100" cy="1841500"/>
            <wp:effectExtent b="0" l="0" r="0" t="0"/>
            <wp:docPr descr="Figure 13: 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13: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13</w:t>
      </w:r>
    </w:p>
    <w:p>
      <w:pPr>
        <w:pStyle w:val="BodyText"/>
      </w:pPr>
      <w:r>
        <w:t xml:space="preserve">Как и переменным, регистрам можно задавать значения.(рис. [??])</w:t>
      </w:r>
    </w:p>
    <w:bookmarkStart w:id="0" w:name="fig:012"/>
    <w:p>
      <w:pPr>
        <w:pStyle w:val="CaptionedFigure"/>
      </w:pPr>
      <w:bookmarkStart w:id="75" w:name="fig:012"/>
      <w:r>
        <w:drawing>
          <wp:inline>
            <wp:extent cx="5334000" cy="5111006"/>
            <wp:effectExtent b="0" l="0" r="0" t="0"/>
            <wp:docPr descr="Figure 14: 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14: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14</w:t>
      </w:r>
    </w:p>
    <w:p>
      <w:pPr>
        <w:pStyle w:val="BodyText"/>
      </w:pPr>
      <w:r>
        <w:t xml:space="preserve">Скопируем файл из лабораторной 9, переименуем и создадим исполняемый файл. Откроем отладчик и зададим аргументы. Создадим точку останова на метке _start и запустим программу(рис. [</w:t>
      </w:r>
      <w:hyperlink w:anchor="fig:014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4584779"/>
            <wp:effectExtent b="0" l="0" r="0" t="0"/>
            <wp:docPr descr="Figure 15: 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4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15: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15</w:t>
      </w:r>
    </w:p>
    <w:p>
      <w:pPr>
        <w:pStyle w:val="BodyText"/>
      </w:pPr>
      <w:r>
        <w:t xml:space="preserve">Посмотрим на содержимое того,что расположено по адрессу, находящемуся в регистре esp (рис. [</w:t>
      </w:r>
      <w:hyperlink w:anchor="fig:015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649356"/>
            <wp:effectExtent b="0" l="0" r="0" t="0"/>
            <wp:docPr descr="Figure 16: 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16: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16</w:t>
      </w:r>
    </w:p>
    <w:p>
      <w:pPr>
        <w:pStyle w:val="BodyText"/>
      </w:pPr>
      <w:r>
        <w:t xml:space="preserve">Далее посмотрим на все остальные аргументы в стеке. Их адреса распологаются в 4 байтах друг от друга(именно столько заниемает элемент стека) (рис. [</w:t>
      </w:r>
      <w:hyperlink w:anchor="fig:016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7" w:name="fig:016"/>
      <w:r>
        <w:drawing>
          <wp:inline>
            <wp:extent cx="5334000" cy="2350911"/>
            <wp:effectExtent b="0" l="0" r="0" t="0"/>
            <wp:docPr descr="Figure 17: 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0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17:</w:t>
      </w:r>
      <w:r>
        <w:t xml:space="preserve"> </w:t>
      </w:r>
    </w:p>
    <w:bookmarkEnd w:id="0"/>
    <w:bookmarkEnd w:id="88"/>
    <w:bookmarkStart w:id="105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rPr>
          <w:bCs/>
          <w:b/>
        </w:rPr>
        <w:t xml:space="preserve">17</w:t>
      </w:r>
    </w:p>
    <w:p>
      <w:pPr>
        <w:pStyle w:val="BodyText"/>
      </w:pPr>
      <w:r>
        <w:t xml:space="preserve">Программа из лабороторной 9, но с использованием подпрограмм (рис. [</w:t>
      </w:r>
      <w:hyperlink w:anchor="fig:017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92" w:name="fig:017"/>
      <w:r>
        <w:drawing>
          <wp:inline>
            <wp:extent cx="5334000" cy="6131607"/>
            <wp:effectExtent b="0" l="0" r="0" t="0"/>
            <wp:docPr descr="Figure 18: 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1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18</w:t>
      </w:r>
    </w:p>
    <w:p>
      <w:pPr>
        <w:pStyle w:val="BodyText"/>
      </w:pPr>
      <w:r>
        <w:t xml:space="preserve">Проверка ее работоспособности(рис. [</w:t>
      </w:r>
      <w:hyperlink w:anchor="fig:018">
        <w:r>
          <w:rPr>
            <w:rStyle w:val="Hyperlink"/>
          </w:rPr>
          <w:t xml:space="preserve">19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96" w:name="fig:018"/>
      <w:r>
        <w:drawing>
          <wp:inline>
            <wp:extent cx="4483100" cy="1016000"/>
            <wp:effectExtent b="0" l="0" r="0" t="0"/>
            <wp:docPr descr="Figure 19: " title="" id="94" name="Picture"/>
            <a:graphic>
              <a:graphicData uri="http://schemas.openxmlformats.org/drawingml/2006/picture">
                <pic:pic>
                  <pic:nvPicPr>
                    <pic:cNvPr descr="image/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19:</w:t>
      </w:r>
      <w:r>
        <w:t xml:space="preserve"> </w:t>
      </w:r>
    </w:p>
    <w:bookmarkEnd w:id="0"/>
    <w:p>
      <w:pPr>
        <w:pStyle w:val="BodyText"/>
      </w:pPr>
      <w:r>
        <w:t xml:space="preserve">Просмотр регистров, для поиска ошибки в программе из листинга</w:t>
      </w:r>
    </w:p>
    <w:p>
      <w:pPr>
        <w:pStyle w:val="BodyText"/>
      </w:pPr>
      <w:r>
        <w:t xml:space="preserve">Ошибка была в сторках</w:t>
      </w:r>
    </w:p>
    <w:p>
      <w:pPr>
        <w:pStyle w:val="BodyText"/>
      </w:pPr>
      <w:r>
        <w:t xml:space="preserve">add ebx,eax</w:t>
      </w:r>
      <w:r>
        <w:t xml:space="preserve"> </w:t>
      </w:r>
      <w:r>
        <w:t xml:space="preserve">mov ecx,4</w:t>
      </w:r>
      <w:r>
        <w:t xml:space="preserve"> </w:t>
      </w:r>
      <w:r>
        <w:t xml:space="preserve">mul ecx</w:t>
      </w:r>
      <w:r>
        <w:t xml:space="preserve"> </w:t>
      </w:r>
      <w:r>
        <w:t xml:space="preserve">add ebx,5</w:t>
      </w:r>
      <w:r>
        <w:t xml:space="preserve"> </w:t>
      </w:r>
      <w:r>
        <w:t xml:space="preserve">mov edi,ebx</w:t>
      </w:r>
    </w:p>
    <w:p>
      <w:pPr>
        <w:pStyle w:val="BodyText"/>
      </w:pPr>
      <w:r>
        <w:t xml:space="preserve">Правильно работающая программа представлена на (рис. [</w:t>
      </w:r>
      <w:hyperlink w:anchor="fig:019">
        <w:r>
          <w:rPr>
            <w:rStyle w:val="Hyperlink"/>
          </w:rPr>
          <w:t xml:space="preserve">20</w:t>
        </w:r>
      </w:hyperlink>
      <w:r>
        <w:t xml:space="preserve">])</w:t>
      </w:r>
    </w:p>
    <w:bookmarkStart w:id="0" w:name="fig:019"/>
    <w:p>
      <w:pPr>
        <w:pStyle w:val="CaptionedFigure"/>
      </w:pPr>
      <w:bookmarkStart w:id="100" w:name="fig:019"/>
      <w:r>
        <w:drawing>
          <wp:inline>
            <wp:extent cx="5334000" cy="5606606"/>
            <wp:effectExtent b="0" l="0" r="0" t="0"/>
            <wp:docPr descr="Figure 20: Программа работает правильно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20: Программа работает правильно</w:t>
      </w:r>
    </w:p>
    <w:bookmarkEnd w:id="0"/>
    <w:p>
      <w:pPr>
        <w:pStyle w:val="BodyText"/>
      </w:pPr>
      <w:r>
        <w:t xml:space="preserve">Проверка корректронсти работы программы, после исправлений (рис. [</w:t>
      </w:r>
      <w:hyperlink w:anchor="fig:020">
        <w:r>
          <w:rPr>
            <w:rStyle w:val="Hyperlink"/>
          </w:rPr>
          <w:t xml:space="preserve">21</w:t>
        </w:r>
      </w:hyperlink>
      <w:r>
        <w:t xml:space="preserve">])</w:t>
      </w:r>
    </w:p>
    <w:bookmarkStart w:id="0" w:name="fig:020"/>
    <w:p>
      <w:pPr>
        <w:pStyle w:val="CaptionedFigure"/>
      </w:pPr>
      <w:bookmarkStart w:id="104" w:name="fig:020"/>
      <w:r>
        <w:drawing>
          <wp:inline>
            <wp:extent cx="4215865" cy="5592277"/>
            <wp:effectExtent b="0" l="0" r="0" t="0"/>
            <wp:docPr descr="Figure 21: Проверка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5" cy="5592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21: Проверка</w:t>
      </w:r>
    </w:p>
    <w:bookmarkEnd w:id="0"/>
    <w:bookmarkEnd w:id="105"/>
    <w:bookmarkStart w:id="10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работы, я научился организовывать код в подпрограммы и познакомился с базовыми функциями отладчика gdb.</w:t>
      </w:r>
    </w:p>
    <w:bookmarkStart w:id="106" w:name="refs"/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25" Target="media/rId25.png" /><Relationship Type="http://schemas.openxmlformats.org/officeDocument/2006/relationships/image" Id="rId101" Target="media/rId10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Незами Ахмад Белал</dc:creator>
  <dc:language>ru-RU</dc:language>
  <cp:keywords/>
  <dcterms:created xsi:type="dcterms:W3CDTF">2024-12-06T18:25:28Z</dcterms:created>
  <dcterms:modified xsi:type="dcterms:W3CDTF">2024-12-06T18:25:28Z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