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A35A" w14:textId="77777777" w:rsidR="00C94716" w:rsidRPr="00C94716" w:rsidRDefault="00C94716" w:rsidP="00C94716">
      <w:pPr>
        <w:rPr>
          <w:rFonts w:asciiTheme="majorBidi" w:hAnsiTheme="majorBidi" w:cstheme="majorBidi"/>
          <w:i/>
          <w:iCs/>
          <w:sz w:val="32"/>
          <w:szCs w:val="32"/>
        </w:rPr>
      </w:pPr>
      <w:r w:rsidRPr="00C94716">
        <w:rPr>
          <w:rFonts w:asciiTheme="majorBidi" w:hAnsiTheme="majorBidi" w:cstheme="majorBidi"/>
          <w:i/>
          <w:iCs/>
          <w:sz w:val="32"/>
          <w:szCs w:val="32"/>
        </w:rPr>
        <w:t>Municipal Level of Reform Implementation (2026–2030): Waste Reduction, Stream Quality, and Sustainable Financial Model</w:t>
      </w:r>
    </w:p>
    <w:p w14:paraId="16A28C1D" w14:textId="77777777" w:rsidR="00C94716" w:rsidRPr="00C94716" w:rsidRDefault="00C94716" w:rsidP="00C94716">
      <w:p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Rationale:</w:t>
      </w:r>
    </w:p>
    <w:p w14:paraId="74E5F4E5" w14:textId="77777777" w:rsidR="00C94716" w:rsidRPr="00C94716" w:rsidRDefault="00C94716" w:rsidP="00C94716">
      <w:p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These proposals are submitted in response to a public consultation and are aimed at implementing Clauses 2a and 2b of Government Decree No. 2284 (creation of a closed financial model and introduction of licensing tools). They are designed as the municipal "implementation layer" for the goals and instruments of the National Plan for Food Loss &amp; Food Waste 2026–2030 and related regulatory initiatives. These proposals ensure measurability (MRV), economic incentives (PAYT on residual waste), stream quality standards, and infrastructure at the point of waste generation. A comparison between the National Plan blocks and the proposed instruments is provided in Appendix 1.</w:t>
      </w:r>
    </w:p>
    <w:p w14:paraId="34F0F685" w14:textId="77777777" w:rsidR="00C94716" w:rsidRPr="00C94716" w:rsidRDefault="00C94716" w:rsidP="00C94716">
      <w:p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The implementation of this "municipal layer" is essential to avoid the risk of infrastructure lock-in—a situation where the profitability of expensive waste-to-energy plants becomes dependent on consistently high volumes of mixed (residual) waste. To prevent the system from operating on a "need more waste" principle, hierarchy priorities must be anchored in measurable KPIs within tenders and contracts.</w:t>
      </w:r>
    </w:p>
    <w:p w14:paraId="1B2E1393" w14:textId="591C58F2" w:rsidR="00C94716" w:rsidRPr="00C94716" w:rsidRDefault="00C94716" w:rsidP="00C94716">
      <w:pPr>
        <w:rPr>
          <w:rFonts w:asciiTheme="majorBidi" w:hAnsiTheme="majorBidi" w:cstheme="majorBidi"/>
        </w:rPr>
      </w:pPr>
    </w:p>
    <w:p w14:paraId="51B1BE46" w14:textId="77777777" w:rsidR="00C94716" w:rsidRPr="00C94716" w:rsidRDefault="00C94716" w:rsidP="00C94716">
      <w:p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Three Key Instruments:</w:t>
      </w:r>
    </w:p>
    <w:p w14:paraId="2ADD7566" w14:textId="77777777" w:rsidR="00C94716" w:rsidRPr="00C94716" w:rsidRDefault="00C94716" w:rsidP="00C9471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Circularity Hub: A municipal service standard at the neighborhood level including controlled organic waste collection, reuse/repair/sharing services, local preparation of verified fractions, and mandatory MRV accounting.</w:t>
      </w:r>
    </w:p>
    <w:p w14:paraId="0CED8819" w14:textId="77777777" w:rsidR="00C94716" w:rsidRPr="00C94716" w:rsidRDefault="00C94716" w:rsidP="00C9471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PAYT (“Pay-As-You-Throw”): A phased transition to volume- or weight-based billing with an incentive system: Warning → Contamination Fee → Bonus for Consistent Quality.</w:t>
      </w:r>
    </w:p>
    <w:p w14:paraId="0F8AE9D9" w14:textId="77777777" w:rsidR="00C94716" w:rsidRPr="00C94716" w:rsidRDefault="00C94716" w:rsidP="00C94716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Organics as a Market: Stimulating demand through public procurement (landscaping/urban greening) and off-take contracts with the agricultural sector.</w:t>
      </w:r>
    </w:p>
    <w:p w14:paraId="5F39D73D" w14:textId="7F5E20C6" w:rsidR="00C94716" w:rsidRPr="00C94716" w:rsidRDefault="00C94716" w:rsidP="00C94716">
      <w:pPr>
        <w:rPr>
          <w:rFonts w:asciiTheme="majorBidi" w:hAnsiTheme="majorBidi" w:cstheme="majorBidi"/>
        </w:rPr>
      </w:pPr>
    </w:p>
    <w:p w14:paraId="49031BD9" w14:textId="77777777" w:rsidR="00C94716" w:rsidRPr="00C94716" w:rsidRDefault="00C94716" w:rsidP="00C94716">
      <w:p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Economic Efficiency and Financial Model:</w:t>
      </w:r>
    </w:p>
    <w:p w14:paraId="175021C3" w14:textId="77777777" w:rsidR="00C94716" w:rsidRPr="00C94716" w:rsidRDefault="00C94716" w:rsidP="00C9471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Data-First Gate: Allocation of CAPEX for the construction of end-treatment facilities is permitted only upon the availability of a database (MRV-baseline) and confirmed waste reduction dynamics.</w:t>
      </w:r>
    </w:p>
    <w:p w14:paraId="782BE5B7" w14:textId="77777777" w:rsidR="00C94716" w:rsidRPr="00C94716" w:rsidRDefault="00C94716" w:rsidP="00C9471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Reduced Logistics Costs: Shortening the transport leg for organic waste by 30–50% through local nodes.</w:t>
      </w:r>
    </w:p>
    <w:p w14:paraId="4718A04E" w14:textId="77777777" w:rsidR="00C94716" w:rsidRPr="00C94716" w:rsidRDefault="00C94716" w:rsidP="00C9471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Avoided Costs: Preventing the generation of each ton of waste at the Hub level saves the budget not only the landfill levy but also capital expenditure on redundant incineration capacity.</w:t>
      </w:r>
    </w:p>
    <w:p w14:paraId="16CAAFDF" w14:textId="77777777" w:rsidR="00C94716" w:rsidRPr="00C94716" w:rsidRDefault="00C94716" w:rsidP="00C9471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lastRenderedPageBreak/>
        <w:t>Revenue Streams: The model relies on PAYT fees, EPR eco-modulation, deposits, and revenue from the sale of verified batches of recyclables.</w:t>
      </w:r>
    </w:p>
    <w:p w14:paraId="78C9C830" w14:textId="4AD59912" w:rsidR="00C94716" w:rsidRPr="00C94716" w:rsidRDefault="00C94716" w:rsidP="00C94716">
      <w:pPr>
        <w:rPr>
          <w:rFonts w:asciiTheme="majorBidi" w:hAnsiTheme="majorBidi" w:cstheme="majorBidi"/>
        </w:rPr>
      </w:pPr>
    </w:p>
    <w:p w14:paraId="7011D2E5" w14:textId="77777777" w:rsidR="00C94716" w:rsidRPr="00C94716" w:rsidRDefault="00C94716" w:rsidP="00C94716">
      <w:p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Key Performance Indicators (KPIs):</w:t>
      </w:r>
    </w:p>
    <w:p w14:paraId="76D485F6" w14:textId="77777777" w:rsidR="00C94716" w:rsidRPr="00C94716" w:rsidRDefault="00C94716" w:rsidP="00C94716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Residual waste volume (kg/person/year).</w:t>
      </w:r>
    </w:p>
    <w:p w14:paraId="5224286D" w14:textId="77777777" w:rsidR="00C94716" w:rsidRPr="00C94716" w:rsidRDefault="00C94716" w:rsidP="00C94716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Fraction purity level (contamination rate).</w:t>
      </w:r>
    </w:p>
    <w:p w14:paraId="502FB364" w14:textId="77777777" w:rsidR="00C94716" w:rsidRPr="00C94716" w:rsidRDefault="00C94716" w:rsidP="00C94716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Population coverage by PAYT and Hub services.</w:t>
      </w:r>
    </w:p>
    <w:p w14:paraId="5101DC58" w14:textId="77777777" w:rsidR="00C94716" w:rsidRPr="00C94716" w:rsidRDefault="00C94716" w:rsidP="00C94716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94716">
        <w:rPr>
          <w:rFonts w:asciiTheme="majorBidi" w:hAnsiTheme="majorBidi" w:cstheme="majorBidi"/>
        </w:rPr>
        <w:t>Volume of reuse and repair (units/tonnage).</w:t>
      </w:r>
    </w:p>
    <w:p w14:paraId="0687C9DB" w14:textId="233332EB" w:rsidR="00197A7B" w:rsidRPr="00C94716" w:rsidRDefault="00197A7B" w:rsidP="00C94716">
      <w:pPr>
        <w:rPr>
          <w:rFonts w:asciiTheme="majorBidi" w:hAnsiTheme="majorBidi" w:cstheme="majorBidi"/>
        </w:rPr>
      </w:pPr>
    </w:p>
    <w:sectPr w:rsidR="00197A7B" w:rsidRPr="00C947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3E8C"/>
    <w:multiLevelType w:val="multilevel"/>
    <w:tmpl w:val="76A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C28D9"/>
    <w:multiLevelType w:val="multilevel"/>
    <w:tmpl w:val="911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E6604"/>
    <w:multiLevelType w:val="multilevel"/>
    <w:tmpl w:val="0276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38141F"/>
    <w:multiLevelType w:val="multilevel"/>
    <w:tmpl w:val="43A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425A6"/>
    <w:multiLevelType w:val="multilevel"/>
    <w:tmpl w:val="22FE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201C5"/>
    <w:multiLevelType w:val="multilevel"/>
    <w:tmpl w:val="2E84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37E90"/>
    <w:multiLevelType w:val="multilevel"/>
    <w:tmpl w:val="4128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307B6"/>
    <w:multiLevelType w:val="multilevel"/>
    <w:tmpl w:val="1508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87CFE"/>
    <w:multiLevelType w:val="multilevel"/>
    <w:tmpl w:val="DB68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181993">
    <w:abstractNumId w:val="7"/>
  </w:num>
  <w:num w:numId="2" w16cid:durableId="379865132">
    <w:abstractNumId w:val="2"/>
  </w:num>
  <w:num w:numId="3" w16cid:durableId="2023623267">
    <w:abstractNumId w:val="8"/>
  </w:num>
  <w:num w:numId="4" w16cid:durableId="1764498263">
    <w:abstractNumId w:val="5"/>
  </w:num>
  <w:num w:numId="5" w16cid:durableId="294146295">
    <w:abstractNumId w:val="0"/>
  </w:num>
  <w:num w:numId="6" w16cid:durableId="374083983">
    <w:abstractNumId w:val="6"/>
  </w:num>
  <w:num w:numId="7" w16cid:durableId="46684871">
    <w:abstractNumId w:val="3"/>
  </w:num>
  <w:num w:numId="8" w16cid:durableId="1075668072">
    <w:abstractNumId w:val="4"/>
  </w:num>
  <w:num w:numId="9" w16cid:durableId="124589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7B"/>
    <w:rsid w:val="00045739"/>
    <w:rsid w:val="00123D5D"/>
    <w:rsid w:val="00160817"/>
    <w:rsid w:val="00197A7B"/>
    <w:rsid w:val="001D110D"/>
    <w:rsid w:val="005C7029"/>
    <w:rsid w:val="00607FB5"/>
    <w:rsid w:val="00822FCC"/>
    <w:rsid w:val="00846EF7"/>
    <w:rsid w:val="00936E63"/>
    <w:rsid w:val="00944A8F"/>
    <w:rsid w:val="00A065F3"/>
    <w:rsid w:val="00A54F80"/>
    <w:rsid w:val="00C94716"/>
    <w:rsid w:val="00DD3C11"/>
    <w:rsid w:val="00E119B7"/>
    <w:rsid w:val="00EB6103"/>
    <w:rsid w:val="00EC60CD"/>
    <w:rsid w:val="00EF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85B"/>
  <w15:chartTrackingRefBased/>
  <w15:docId w15:val="{0984608D-3D65-4488-B7D4-84B48450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3</cp:revision>
  <dcterms:created xsi:type="dcterms:W3CDTF">2026-03-05T10:45:00Z</dcterms:created>
  <dcterms:modified xsi:type="dcterms:W3CDTF">2026-03-05T10:48:00Z</dcterms:modified>
</cp:coreProperties>
</file>