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3B0E" w14:textId="7B74652E" w:rsidR="00753B43" w:rsidRPr="00B62F14" w:rsidRDefault="00753B43" w:rsidP="00753B43">
      <w:p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  <w:highlight w:val="yellow"/>
        </w:rPr>
        <w:t xml:space="preserve">Финансовая модель и рабочие места </w:t>
      </w:r>
    </w:p>
    <w:p w14:paraId="5B836C7D" w14:textId="77777777" w:rsidR="00753B43" w:rsidRPr="00B62F14" w:rsidRDefault="00753B43" w:rsidP="00753B43">
      <w:p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1. Цель финансовой модели</w:t>
      </w:r>
    </w:p>
    <w:p w14:paraId="5BE5E088" w14:textId="77777777" w:rsidR="00753B43" w:rsidRPr="00B62F14" w:rsidRDefault="00753B43" w:rsidP="00753B43">
      <w:p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Финансовая модель реформы должна обеспечивать:</w:t>
      </w:r>
      <w:r w:rsidRPr="00B62F14">
        <w:rPr>
          <w:rFonts w:asciiTheme="majorBidi" w:hAnsiTheme="majorBidi" w:cstheme="majorBidi"/>
        </w:rPr>
        <w:br/>
        <w:t>(а) снижение совокупных затрат системы (транспорт, обработка, захоронение) через сокращение остатка и повышение качества потоков;</w:t>
      </w:r>
      <w:r w:rsidRPr="00B62F14">
        <w:rPr>
          <w:rFonts w:asciiTheme="majorBidi" w:hAnsiTheme="majorBidi" w:cstheme="majorBidi"/>
        </w:rPr>
        <w:br/>
        <w:t>(б) устойчивое финансирование upstream-инфраструктуры (Circularity Hub, контроль качества, профилактика образования отходов);</w:t>
      </w:r>
      <w:r w:rsidRPr="00B62F14">
        <w:rPr>
          <w:rFonts w:asciiTheme="majorBidi" w:hAnsiTheme="majorBidi" w:cstheme="majorBidi"/>
        </w:rPr>
        <w:br/>
        <w:t>(в) прозрачность потоков и предотвращение “серых” схем за счёт MRV (измерение–отчётность–верификация);</w:t>
      </w:r>
      <w:r w:rsidRPr="00B62F14">
        <w:rPr>
          <w:rFonts w:asciiTheme="majorBidi" w:hAnsiTheme="majorBidi" w:cstheme="majorBidi"/>
        </w:rPr>
        <w:br/>
        <w:t>(г) создание и перераспределение рабочих мест из сегмента смешанных отходов в сегмент качества, повторного использования, ремонта и сервиса.</w:t>
      </w:r>
    </w:p>
    <w:p w14:paraId="1CE3BB8B" w14:textId="77777777" w:rsidR="00753B43" w:rsidRPr="00B62F14" w:rsidRDefault="00753B43" w:rsidP="00753B43">
      <w:p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Ключевой принцип: муниципальная поддержка и софинансирование привязаны к KPI снижения residual и улучшения качества потоков, а не к росту объёмов вывоза.</w:t>
      </w:r>
    </w:p>
    <w:p w14:paraId="679E79D1" w14:textId="77777777" w:rsidR="00753B43" w:rsidRPr="00B62F14" w:rsidRDefault="00753B43" w:rsidP="00753B43">
      <w:pPr>
        <w:rPr>
          <w:rFonts w:asciiTheme="majorBidi" w:hAnsiTheme="majorBidi" w:cstheme="majorBidi"/>
        </w:rPr>
      </w:pPr>
    </w:p>
    <w:p w14:paraId="45B43B37" w14:textId="77777777" w:rsidR="00753B43" w:rsidRPr="00B62F14" w:rsidRDefault="00753B43" w:rsidP="00753B43">
      <w:p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2. Источники финансирования (“откуда деньги”)</w:t>
      </w:r>
    </w:p>
    <w:p w14:paraId="2E508339" w14:textId="77777777" w:rsidR="00753B43" w:rsidRPr="00B62F14" w:rsidRDefault="00753B43" w:rsidP="00753B4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PAYT-поступления по остаткам (residual)</w:t>
      </w:r>
      <w:r w:rsidRPr="00B62F14">
        <w:rPr>
          <w:rFonts w:asciiTheme="majorBidi" w:hAnsiTheme="majorBidi" w:cstheme="majorBidi"/>
        </w:rPr>
        <w:br/>
        <w:t>Платежи населения/бизнеса за смешанный неперерабатываемый остаток (мешки/объём/частота/RFID-взвешивание) направляются на покрытие затрат системы и развитие upstream-сервисов при условии прозрачной отчётности и защиты социально уязвимых групп целевыми механизмами поддержки.</w:t>
      </w:r>
    </w:p>
    <w:p w14:paraId="61C6FE2B" w14:textId="77777777" w:rsidR="00753B43" w:rsidRPr="00B62F14" w:rsidRDefault="00753B43" w:rsidP="00753B4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Эко-модуляция и платежи в рамках EPR (упаковка и др.)</w:t>
      </w:r>
      <w:r w:rsidRPr="00B62F14">
        <w:rPr>
          <w:rFonts w:asciiTheme="majorBidi" w:hAnsiTheme="majorBidi" w:cstheme="majorBidi"/>
        </w:rPr>
        <w:br/>
        <w:t>Платежи производителей/импортёров, дифференцированные по критериям design-for-recycling и design-for-reuse (в т.ч. многооборотная/унифицированная тара), используются для софинансирования инфраструктуры качества, MRV, пилотов верифицированного приёма моно-фракций и программ повышения перерабатываемости упаковки.</w:t>
      </w:r>
    </w:p>
    <w:p w14:paraId="2A119702" w14:textId="77777777" w:rsidR="00753B43" w:rsidRPr="00B62F14" w:rsidRDefault="00753B43" w:rsidP="00753B4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Депозитные механизмы (где применимо)</w:t>
      </w:r>
      <w:r w:rsidRPr="00B62F14">
        <w:rPr>
          <w:rFonts w:asciiTheme="majorBidi" w:hAnsiTheme="majorBidi" w:cstheme="majorBidi"/>
        </w:rPr>
        <w:br/>
        <w:t>Доходы и потоки, связанные с депозитными механизмами, учитываются раздельно и используются для поддержки высококачественных потоков и инфраструктуры возврата, при соблюдении прозрачности и требований качества/прослеживаемости.</w:t>
      </w:r>
    </w:p>
    <w:p w14:paraId="7FDAE3F7" w14:textId="77777777" w:rsidR="00753B43" w:rsidRPr="00B62F14" w:rsidRDefault="00753B43" w:rsidP="00753B4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Доходы от материалов и подготовленных партий</w:t>
      </w:r>
      <w:r w:rsidRPr="00B62F14">
        <w:rPr>
          <w:rFonts w:asciiTheme="majorBidi" w:hAnsiTheme="majorBidi" w:cstheme="majorBidi"/>
        </w:rPr>
        <w:br/>
        <w:t>Доходы от реализации подготовленных и верифицированных партий вторсырья (бумага по категориям качества; моно-фракции упаковки после верификации; металл и др.) направляются на снижение бюджетной нагрузки и финансирование качества (контроль contamination, обучение, MRV).</w:t>
      </w:r>
    </w:p>
    <w:p w14:paraId="0B687C6F" w14:textId="77777777" w:rsidR="00753B43" w:rsidRPr="00B62F14" w:rsidRDefault="00753B43" w:rsidP="00753B4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Платные сервисы upstream-сегмента (ремонт/подготовка к повторному использованию/локальная логистика/шеринг)</w:t>
      </w:r>
      <w:r w:rsidRPr="00B62F14">
        <w:rPr>
          <w:rFonts w:asciiTheme="majorBidi" w:hAnsiTheme="majorBidi" w:cstheme="majorBidi"/>
        </w:rPr>
        <w:br/>
      </w:r>
      <w:r w:rsidRPr="00B62F14">
        <w:rPr>
          <w:rFonts w:asciiTheme="majorBidi" w:hAnsiTheme="majorBidi" w:cstheme="majorBidi"/>
        </w:rPr>
        <w:lastRenderedPageBreak/>
        <w:t>Разрешается формирование доходов от услуг (ремонт техники, реставрация/чистка мебели, подготовка вещей к повторному использованию, аренда/шеринг инструментов, локальная логистика внутри района) при условии муниципального регулирования качества и отчётности, а также социальной доступности базового набора услуг.</w:t>
      </w:r>
    </w:p>
    <w:p w14:paraId="427A71FC" w14:textId="77777777" w:rsidR="00753B43" w:rsidRPr="00B62F14" w:rsidRDefault="00753B43" w:rsidP="00753B4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Экономия затрат (“избежанные расходы”)</w:t>
      </w:r>
      <w:r w:rsidRPr="00B62F14">
        <w:rPr>
          <w:rFonts w:asciiTheme="majorBidi" w:hAnsiTheme="majorBidi" w:cstheme="majorBidi"/>
        </w:rPr>
        <w:br/>
        <w:t>Экономия от сокращения объёма residual, снижения contamination и оптимизации логистики (тонно-километры, частота рейсов, плата за обработку/захоронение) фиксируется и используется как источник устойчивого финансирования upstream-инфраструктуры (модель “reinvest savings”).</w:t>
      </w:r>
    </w:p>
    <w:p w14:paraId="6E73AB35" w14:textId="77777777" w:rsidR="00753B43" w:rsidRPr="00B62F14" w:rsidRDefault="00753B43" w:rsidP="00753B4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Целевые государственные/муниципальные программы и конкурсы</w:t>
      </w:r>
      <w:r w:rsidRPr="00B62F14">
        <w:rPr>
          <w:rFonts w:asciiTheme="majorBidi" w:hAnsiTheme="majorBidi" w:cstheme="majorBidi"/>
        </w:rPr>
        <w:br/>
        <w:t>Используются для запуска пилотов (RFID-взвешивание, верифицированный приём типовых упаковок, текстильная верификация, high-tech repair), а также для инфраструктуры качества (оборудование, цифровой учёт, аудит).</w:t>
      </w:r>
    </w:p>
    <w:p w14:paraId="667C0836" w14:textId="77777777" w:rsidR="00753B43" w:rsidRPr="00B62F14" w:rsidRDefault="00753B43" w:rsidP="00753B43">
      <w:pPr>
        <w:rPr>
          <w:rFonts w:asciiTheme="majorBidi" w:hAnsiTheme="majorBidi" w:cstheme="majorBidi"/>
        </w:rPr>
      </w:pPr>
    </w:p>
    <w:p w14:paraId="3F53F87A" w14:textId="77777777" w:rsidR="00753B43" w:rsidRPr="00B62F14" w:rsidRDefault="00753B43" w:rsidP="00753B43">
      <w:p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3. Направления расходов (“на что тратим”)</w:t>
      </w:r>
    </w:p>
    <w:p w14:paraId="137039A3" w14:textId="77777777" w:rsidR="00753B43" w:rsidRPr="00B62F14" w:rsidRDefault="00753B43" w:rsidP="00753B4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Операционная инфраструктура Circularity Hub и контроль качества</w:t>
      </w:r>
      <w:r w:rsidRPr="00B62F14">
        <w:rPr>
          <w:rFonts w:asciiTheme="majorBidi" w:hAnsiTheme="majorBidi" w:cstheme="majorBidi"/>
        </w:rPr>
        <w:br/>
        <w:t>Персонал, обучение и микро-сертификация, протоколы quality enforcement, оборудование приёма и первичной сортировки, MRV-инструменты, коммуникационные программы.</w:t>
      </w:r>
    </w:p>
    <w:p w14:paraId="535FE979" w14:textId="77777777" w:rsidR="00753B43" w:rsidRPr="00B62F14" w:rsidRDefault="00753B43" w:rsidP="00753B4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Подготовка партий и логистика (только технологически корректные стадии)</w:t>
      </w:r>
      <w:r w:rsidRPr="00B62F14">
        <w:rPr>
          <w:rFonts w:asciiTheme="majorBidi" w:hAnsiTheme="majorBidi" w:cstheme="majorBidi"/>
        </w:rPr>
        <w:br/>
        <w:t>Баллирование бумаги после сортировки по категориям качества; баллирование/уплотнение моно-фракций упаковки после верификации; хранение и маркировка партий; маршрутизация к переработчикам.</w:t>
      </w:r>
    </w:p>
    <w:p w14:paraId="218C96D5" w14:textId="77777777" w:rsidR="00753B43" w:rsidRPr="00B62F14" w:rsidRDefault="00753B43" w:rsidP="00753B4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Органика: стандарты качества, переработка и рынок продукта</w:t>
      </w:r>
      <w:r w:rsidRPr="00B62F14">
        <w:rPr>
          <w:rFonts w:asciiTheme="majorBidi" w:hAnsiTheme="majorBidi" w:cstheme="majorBidi"/>
        </w:rPr>
        <w:br/>
        <w:t>Контроль contamination, контрактование переработки, MRV по сбору/переработке/применению, запуск оффтейк-контрактов с аграрными потребителями, обеспечение спроса через закупочные стандарты.</w:t>
      </w:r>
    </w:p>
    <w:p w14:paraId="298334FC" w14:textId="77777777" w:rsidR="00753B43" w:rsidRPr="00B62F14" w:rsidRDefault="00753B43" w:rsidP="00753B4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Текстиль: трассируемость и верификация маршрутов</w:t>
      </w:r>
      <w:r w:rsidRPr="00B62F14">
        <w:rPr>
          <w:rFonts w:asciiTheme="majorBidi" w:hAnsiTheme="majorBidi" w:cstheme="majorBidi"/>
        </w:rPr>
        <w:br/>
        <w:t>Системы учёта и документирования, выборочные проверки/аудит операторов, поддержка локальной сортировки и подготовки к повторному использованию (repair/sanitation).</w:t>
      </w:r>
    </w:p>
    <w:p w14:paraId="29946597" w14:textId="77777777" w:rsidR="00753B43" w:rsidRPr="00B62F14" w:rsidRDefault="00753B43" w:rsidP="00753B4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Программы ремонта/апсайклинга/шеринга как сегмент муниципальной услуги</w:t>
      </w:r>
      <w:r w:rsidRPr="00B62F14">
        <w:rPr>
          <w:rFonts w:asciiTheme="majorBidi" w:hAnsiTheme="majorBidi" w:cstheme="majorBidi"/>
        </w:rPr>
        <w:br/>
        <w:t>Микрогранты, льготная аренда/помещения, базовое оборудование, запуск услуг локальной логистики и библиотек инструментов.</w:t>
      </w:r>
    </w:p>
    <w:p w14:paraId="3D0A149E" w14:textId="77777777" w:rsidR="00753B43" w:rsidRPr="00B62F14" w:rsidRDefault="00753B43" w:rsidP="00753B43">
      <w:pPr>
        <w:rPr>
          <w:rFonts w:asciiTheme="majorBidi" w:hAnsiTheme="majorBidi" w:cstheme="majorBidi"/>
        </w:rPr>
      </w:pPr>
    </w:p>
    <w:p w14:paraId="46C5C52B" w14:textId="77777777" w:rsidR="00753B43" w:rsidRPr="00B62F14" w:rsidRDefault="00753B43" w:rsidP="00753B43">
      <w:p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4. Контрактная архитектура и стимулирование (“money follows results”)</w:t>
      </w:r>
    </w:p>
    <w:p w14:paraId="2C29DF4F" w14:textId="77777777" w:rsidR="00753B43" w:rsidRPr="00B62F14" w:rsidRDefault="00753B43" w:rsidP="00753B4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lastRenderedPageBreak/>
        <w:t>Результативные KPI в контрактах операторов</w:t>
      </w:r>
      <w:r w:rsidRPr="00B62F14">
        <w:rPr>
          <w:rFonts w:asciiTheme="majorBidi" w:hAnsiTheme="majorBidi" w:cstheme="majorBidi"/>
        </w:rPr>
        <w:br/>
        <w:t>Оплата оператора услуг включает компонент, зависящий от: residual (кг/жителя), contamination rate (органика и ключевые фракции), доли подготовленных к повторному использованию единиц, охвата населения, полноты MRV и результатов аудита.</w:t>
      </w:r>
    </w:p>
    <w:p w14:paraId="5D68A7A0" w14:textId="77777777" w:rsidR="00753B43" w:rsidRPr="00B62F14" w:rsidRDefault="00753B43" w:rsidP="00753B4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Quality enforcement как часть тарифа и надзора</w:t>
      </w:r>
      <w:r w:rsidRPr="00B62F14">
        <w:rPr>
          <w:rFonts w:asciiTheme="majorBidi" w:hAnsiTheme="majorBidi" w:cstheme="majorBidi"/>
        </w:rPr>
        <w:br/>
        <w:t>Предупреждение → contamination fee → стимул/бонус за стабильное качество применяется по утверждённому регламенту, с обязательной фиксацией в MRV.</w:t>
      </w:r>
    </w:p>
    <w:p w14:paraId="12F37B5F" w14:textId="77777777" w:rsidR="00753B43" w:rsidRPr="00B62F14" w:rsidRDefault="00753B43" w:rsidP="00753B4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MRV как условие финансирования и инвестрешений (“data-first gate”)</w:t>
      </w:r>
      <w:r w:rsidRPr="00B62F14">
        <w:rPr>
          <w:rFonts w:asciiTheme="majorBidi" w:hAnsiTheme="majorBidi" w:cstheme="majorBidi"/>
        </w:rPr>
        <w:br/>
        <w:t>Финансирование инфраструктуры качества и решения по CAPEX (в т.ч. конечные мощности обработки residual) принимаются при наличии baseline и ежегодной динамики показателей MRV; инвестиционные планы подлежат корректировке по фактическому прогрессу снижения residual и улучшения качества потоков.</w:t>
      </w:r>
    </w:p>
    <w:p w14:paraId="21D0A19D" w14:textId="77777777" w:rsidR="00753B43" w:rsidRPr="00B62F14" w:rsidRDefault="00753B43" w:rsidP="00753B4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Эко-модуляция EPR как управляемый стимул к изменению упаковки</w:t>
      </w:r>
      <w:r w:rsidRPr="00B62F14">
        <w:rPr>
          <w:rFonts w:asciiTheme="majorBidi" w:hAnsiTheme="majorBidi" w:cstheme="majorBidi"/>
        </w:rPr>
        <w:br/>
        <w:t>Дифференцированные платежи EPR направляют рынок к мономатериальным решениям и многооборотности; средства EPR софинансируют инфраструктуру качества и верификации по технологически корректным стадиям.</w:t>
      </w:r>
    </w:p>
    <w:p w14:paraId="5BD4BD0E" w14:textId="77777777" w:rsidR="00753B43" w:rsidRPr="00B62F14" w:rsidRDefault="00753B43" w:rsidP="00753B43">
      <w:pPr>
        <w:rPr>
          <w:rFonts w:asciiTheme="majorBidi" w:hAnsiTheme="majorBidi" w:cstheme="majorBidi"/>
        </w:rPr>
      </w:pPr>
    </w:p>
    <w:p w14:paraId="0B65A4B2" w14:textId="77777777" w:rsidR="00753B43" w:rsidRPr="00B62F14" w:rsidRDefault="00753B43" w:rsidP="00753B43">
      <w:p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5. Рабочие места и перераспределение занятости (“как перетекают рабочие места”)</w:t>
      </w:r>
    </w:p>
    <w:p w14:paraId="556BF5A3" w14:textId="77777777" w:rsidR="00753B43" w:rsidRPr="00B62F14" w:rsidRDefault="00753B43" w:rsidP="00753B43">
      <w:p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Реформа предусматривает структурный сдвиг занятости:</w:t>
      </w:r>
    </w:p>
    <w:p w14:paraId="29BB582A" w14:textId="77777777" w:rsidR="00753B43" w:rsidRPr="00B62F14" w:rsidRDefault="00753B43" w:rsidP="00753B4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сокращение операций на mixed waste (меньше residual, меньше рейсов, меньше операций по смешанному потоку),</w:t>
      </w:r>
    </w:p>
    <w:p w14:paraId="133216F5" w14:textId="77777777" w:rsidR="00753B43" w:rsidRPr="00B62F14" w:rsidRDefault="00753B43" w:rsidP="00753B4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рост занятости в upstream-сегменте, включая: контроль качества (contamination control), операторы Circularity Hub, сортировка reuse, ремонт/подготовка к повторному использованию, санитарная обработка, локальная логистика, MRV-учёт и аудит, образовательные программы.</w:t>
      </w:r>
    </w:p>
    <w:p w14:paraId="03A7645D" w14:textId="77777777" w:rsidR="00753B43" w:rsidRPr="00B62F14" w:rsidRDefault="00753B43" w:rsidP="00753B43">
      <w:p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Муниципальные тендеры включают обязательные требования к компетенциям и ежегодному обучению персонала (микро-сертификация), а также KPI по созданию/перепрофилированию рабочих мест в upstream-секторе.</w:t>
      </w:r>
    </w:p>
    <w:p w14:paraId="47C1EF78" w14:textId="77777777" w:rsidR="00753B43" w:rsidRPr="00B62F14" w:rsidRDefault="00753B43" w:rsidP="00753B43">
      <w:pPr>
        <w:rPr>
          <w:rFonts w:asciiTheme="majorBidi" w:hAnsiTheme="majorBidi" w:cstheme="majorBidi"/>
        </w:rPr>
      </w:pPr>
    </w:p>
    <w:p w14:paraId="760CA475" w14:textId="77777777" w:rsidR="00753B43" w:rsidRPr="00B62F14" w:rsidRDefault="00753B43" w:rsidP="00753B43">
      <w:p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6. Инструменты поддержки рынка услуг ремонта/апсайклинга/шеринга</w:t>
      </w:r>
    </w:p>
    <w:p w14:paraId="5E0E22D9" w14:textId="77777777" w:rsidR="00753B43" w:rsidRPr="00B62F14" w:rsidRDefault="00753B43" w:rsidP="00753B43">
      <w:p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Предлагается внедрить пилотный пакет стимулов (2026–2030), привязанный к KPI:</w:t>
      </w:r>
    </w:p>
    <w:p w14:paraId="5F5BD2E5" w14:textId="77777777" w:rsidR="00753B43" w:rsidRPr="00B62F14" w:rsidRDefault="00753B43" w:rsidP="00753B43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микрогранты на открытие repair/upcycling/sharing-точек в составе или рядом с Circularity Hub;</w:t>
      </w:r>
    </w:p>
    <w:p w14:paraId="60B682E4" w14:textId="77777777" w:rsidR="00753B43" w:rsidRPr="00B62F14" w:rsidRDefault="00753B43" w:rsidP="00753B43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lastRenderedPageBreak/>
        <w:t>льготная муниципальная аренда и снижение муниципальных сборов для сертифицированных точек при подтверждении результатов;</w:t>
      </w:r>
    </w:p>
    <w:p w14:paraId="54C84DA7" w14:textId="77777777" w:rsidR="00753B43" w:rsidRPr="00B62F14" w:rsidRDefault="00753B43" w:rsidP="00753B43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временные налогово-тарифные стимулы (пилот) для услуг ремонта/подготовки к повторному использованию при условии MRV-отчётности и верификации результатов;</w:t>
      </w:r>
    </w:p>
    <w:p w14:paraId="2357DDEE" w14:textId="77777777" w:rsidR="00753B43" w:rsidRPr="00B62F14" w:rsidRDefault="00753B43" w:rsidP="00753B43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поддержка high-tech repair (включая 3D-проектирование/изготовление деталей) через конкурсы и партнёрства с колледжами/технологическими площадками.</w:t>
      </w:r>
    </w:p>
    <w:p w14:paraId="7CE9BA44" w14:textId="77777777" w:rsidR="00753B43" w:rsidRPr="00B62F14" w:rsidRDefault="00753B43" w:rsidP="00753B43">
      <w:pPr>
        <w:rPr>
          <w:rFonts w:asciiTheme="majorBidi" w:hAnsiTheme="majorBidi" w:cstheme="majorBidi"/>
        </w:rPr>
      </w:pPr>
    </w:p>
    <w:p w14:paraId="2D9BB57F" w14:textId="77777777" w:rsidR="00753B43" w:rsidRPr="00B62F14" w:rsidRDefault="00753B43" w:rsidP="00753B43">
      <w:p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7. KPI финансовой модели и занятости (минимальный набор)</w:t>
      </w:r>
    </w:p>
    <w:p w14:paraId="498E871A" w14:textId="77777777" w:rsidR="00753B43" w:rsidRPr="00B62F14" w:rsidRDefault="00753B43" w:rsidP="00753B4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residual (кг/жителя/год) и динамика;</w:t>
      </w:r>
    </w:p>
    <w:p w14:paraId="7BE1D299" w14:textId="77777777" w:rsidR="00753B43" w:rsidRPr="00B62F14" w:rsidRDefault="00753B43" w:rsidP="00753B4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contamination rate (органика и ключевые фракции), доля партий, переклассифицированных в residual;</w:t>
      </w:r>
    </w:p>
    <w:p w14:paraId="215935D7" w14:textId="77777777" w:rsidR="00753B43" w:rsidRPr="00B62F14" w:rsidRDefault="00753B43" w:rsidP="00753B4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стоимость услуги на жителя с раздельным учётом транспорта/обработки/администрирования PAYT;</w:t>
      </w:r>
    </w:p>
    <w:p w14:paraId="76732F20" w14:textId="77777777" w:rsidR="00753B43" w:rsidRPr="00B62F14" w:rsidRDefault="00753B43" w:rsidP="00753B4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объём и доля доходов PAYT/EPR/депозита/материалов/сервисов (прозрачно и аудируемо);</w:t>
      </w:r>
    </w:p>
    <w:p w14:paraId="3BE3DD67" w14:textId="77777777" w:rsidR="00753B43" w:rsidRPr="00B62F14" w:rsidRDefault="00753B43" w:rsidP="00753B4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объём подготовленных к повторному использованию единиц и тоннаж/категории reuse/repair;</w:t>
      </w:r>
    </w:p>
    <w:p w14:paraId="2FB19F25" w14:textId="77777777" w:rsidR="00753B43" w:rsidRPr="00B62F14" w:rsidRDefault="00753B43" w:rsidP="00753B4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число созданных/перепрофилированных рабочих мест в upstream-сегменте;</w:t>
      </w:r>
    </w:p>
    <w:p w14:paraId="4C332967" w14:textId="77777777" w:rsidR="00753B43" w:rsidRPr="00B62F14" w:rsidRDefault="00753B43" w:rsidP="00753B4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полнота MRV и результаты верификации (аудит потоков, включая текстиль);</w:t>
      </w:r>
    </w:p>
    <w:p w14:paraId="61C841E3" w14:textId="77777777" w:rsidR="00753B43" w:rsidRPr="00B62F14" w:rsidRDefault="00753B43" w:rsidP="00753B4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для органики: объём продукта переработки органики, применённого в публичных проектах, и объём оффтейк-контрактов с аграрными потребителями;</w:t>
      </w:r>
    </w:p>
    <w:p w14:paraId="5A9489C4" w14:textId="77777777" w:rsidR="00753B43" w:rsidRPr="00B62F14" w:rsidRDefault="00753B43" w:rsidP="00753B4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62F14">
        <w:rPr>
          <w:rFonts w:asciiTheme="majorBidi" w:hAnsiTheme="majorBidi" w:cstheme="majorBidi"/>
        </w:rPr>
        <w:t>для упаковки: доля верифицированных моно-фракций и технологически корректной локальной подготовки (после верификации).</w:t>
      </w:r>
    </w:p>
    <w:p w14:paraId="0F75F80D" w14:textId="77777777" w:rsidR="00753B43" w:rsidRPr="00B62F14" w:rsidRDefault="00753B43" w:rsidP="00753B43">
      <w:pPr>
        <w:rPr>
          <w:rFonts w:asciiTheme="majorBidi" w:hAnsiTheme="majorBidi" w:cstheme="majorBidi"/>
        </w:rPr>
      </w:pPr>
    </w:p>
    <w:p w14:paraId="3BB9C804" w14:textId="77777777" w:rsidR="00753B43" w:rsidRDefault="00753B43" w:rsidP="00753B43">
      <w:pPr>
        <w:rPr>
          <w:rFonts w:asciiTheme="majorBidi" w:hAnsiTheme="majorBidi" w:cstheme="majorBidi"/>
          <w:b/>
          <w:bCs/>
          <w:lang w:val="ru-RU"/>
        </w:rPr>
      </w:pPr>
    </w:p>
    <w:p w14:paraId="613B0B41" w14:textId="77777777" w:rsidR="00753B43" w:rsidRDefault="00753B43" w:rsidP="00753B43">
      <w:pPr>
        <w:rPr>
          <w:rFonts w:asciiTheme="majorBidi" w:hAnsiTheme="majorBidi" w:cstheme="majorBidi"/>
          <w:b/>
          <w:bCs/>
          <w:lang w:val="ru-RU"/>
        </w:rPr>
      </w:pPr>
    </w:p>
    <w:p w14:paraId="312BB998" w14:textId="77777777" w:rsidR="00753B43" w:rsidRPr="00930A0C" w:rsidRDefault="00753B43" w:rsidP="00753B43">
      <w:pPr>
        <w:rPr>
          <w:rFonts w:asciiTheme="majorBidi" w:hAnsiTheme="majorBidi" w:cstheme="majorBidi"/>
          <w:lang w:val="ru-RU"/>
        </w:rPr>
      </w:pPr>
    </w:p>
    <w:p w14:paraId="757BD528" w14:textId="77777777" w:rsidR="00753B43" w:rsidRPr="00763C44" w:rsidRDefault="00753B43" w:rsidP="00753B43">
      <w:pPr>
        <w:rPr>
          <w:rFonts w:asciiTheme="majorBidi" w:hAnsiTheme="majorBidi" w:cstheme="majorBidi"/>
        </w:rPr>
      </w:pPr>
    </w:p>
    <w:p w14:paraId="5959E9AD" w14:textId="77777777" w:rsidR="00753B43" w:rsidRDefault="00753B43"/>
    <w:sectPr w:rsidR="00753B4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60B30"/>
    <w:multiLevelType w:val="multilevel"/>
    <w:tmpl w:val="E56E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210DE8"/>
    <w:multiLevelType w:val="multilevel"/>
    <w:tmpl w:val="5A76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270392"/>
    <w:multiLevelType w:val="multilevel"/>
    <w:tmpl w:val="2BEED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854E1B"/>
    <w:multiLevelType w:val="multilevel"/>
    <w:tmpl w:val="60F2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895AAF"/>
    <w:multiLevelType w:val="multilevel"/>
    <w:tmpl w:val="8F80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168FB"/>
    <w:multiLevelType w:val="multilevel"/>
    <w:tmpl w:val="490A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176932">
    <w:abstractNumId w:val="3"/>
  </w:num>
  <w:num w:numId="2" w16cid:durableId="519857414">
    <w:abstractNumId w:val="1"/>
  </w:num>
  <w:num w:numId="3" w16cid:durableId="294990720">
    <w:abstractNumId w:val="2"/>
  </w:num>
  <w:num w:numId="4" w16cid:durableId="1204750359">
    <w:abstractNumId w:val="5"/>
  </w:num>
  <w:num w:numId="5" w16cid:durableId="1930385829">
    <w:abstractNumId w:val="4"/>
  </w:num>
  <w:num w:numId="6" w16cid:durableId="119669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43"/>
    <w:rsid w:val="00607FB5"/>
    <w:rsid w:val="0075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BE6C3"/>
  <w15:chartTrackingRefBased/>
  <w15:docId w15:val="{35606CEB-A3AA-42B4-AA1C-02172F517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B43"/>
  </w:style>
  <w:style w:type="paragraph" w:styleId="Heading1">
    <w:name w:val="heading 1"/>
    <w:basedOn w:val="Normal"/>
    <w:next w:val="Normal"/>
    <w:link w:val="Heading1Char"/>
    <w:uiPriority w:val="9"/>
    <w:qFormat/>
    <w:rsid w:val="00753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1060</Words>
  <Characters>6588</Characters>
  <Application>Microsoft Office Word</Application>
  <DocSecurity>0</DocSecurity>
  <Lines>153</Lines>
  <Paragraphs>65</Paragraphs>
  <ScaleCrop>false</ScaleCrop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 Nikitina</dc:creator>
  <cp:keywords/>
  <dc:description/>
  <cp:lastModifiedBy>Bela Nikitina</cp:lastModifiedBy>
  <cp:revision>1</cp:revision>
  <dcterms:created xsi:type="dcterms:W3CDTF">2026-02-14T14:45:00Z</dcterms:created>
  <dcterms:modified xsi:type="dcterms:W3CDTF">2026-02-14T14:46:00Z</dcterms:modified>
</cp:coreProperties>
</file>