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6F0C9" w14:textId="3552C875" w:rsidR="00EC7FA6" w:rsidRPr="00A36636" w:rsidRDefault="00EC7FA6" w:rsidP="00EC7FA6">
      <w:pPr>
        <w:rPr>
          <w:rFonts w:asciiTheme="majorBidi" w:hAnsiTheme="majorBidi" w:cstheme="majorBidi"/>
          <w:b/>
          <w:bCs/>
          <w:sz w:val="18"/>
          <w:szCs w:val="18"/>
        </w:rPr>
      </w:pPr>
      <w:r w:rsidRPr="00A36636">
        <w:rPr>
          <w:rFonts w:asciiTheme="majorBidi" w:hAnsiTheme="majorBidi" w:cstheme="majorBidi"/>
          <w:b/>
          <w:bCs/>
          <w:sz w:val="18"/>
          <w:szCs w:val="18"/>
        </w:rPr>
        <w:t>Приложение</w:t>
      </w:r>
      <w:r w:rsidRPr="00A36636">
        <w:rPr>
          <w:rFonts w:asciiTheme="majorBidi" w:hAnsiTheme="majorBidi" w:cstheme="majorBidi"/>
          <w:b/>
          <w:bCs/>
          <w:sz w:val="18"/>
          <w:szCs w:val="18"/>
          <w:lang w:val="ru-RU"/>
        </w:rPr>
        <w:t xml:space="preserve"> 1</w:t>
      </w:r>
      <w:r w:rsidRPr="00A36636">
        <w:rPr>
          <w:rFonts w:asciiTheme="majorBidi" w:hAnsiTheme="majorBidi" w:cstheme="majorBidi"/>
          <w:b/>
          <w:bCs/>
          <w:sz w:val="18"/>
          <w:szCs w:val="18"/>
        </w:rPr>
        <w:t xml:space="preserve">. Мини-матрица: как предложения поддерживают Нацплан по сокращению food loss &amp; food waste 2026–2030 </w:t>
      </w:r>
    </w:p>
    <w:tbl>
      <w:tblPr>
        <w:tblW w:w="0" w:type="auto"/>
        <w:tblCellSpacing w:w="15" w:type="dxa"/>
        <w:tblBorders>
          <w:top w:val="dashSmallGap" w:sz="4" w:space="0" w:color="595959" w:themeColor="text1" w:themeTint="A6"/>
          <w:left w:val="dashSmallGap" w:sz="4" w:space="0" w:color="595959" w:themeColor="text1" w:themeTint="A6"/>
          <w:bottom w:val="dashSmallGap" w:sz="4" w:space="0" w:color="595959" w:themeColor="text1" w:themeTint="A6"/>
          <w:right w:val="dashSmallGap" w:sz="4" w:space="0" w:color="595959" w:themeColor="text1" w:themeTint="A6"/>
          <w:insideH w:val="dashSmallGap" w:sz="4" w:space="0" w:color="595959" w:themeColor="text1" w:themeTint="A6"/>
          <w:insideV w:val="dashSmallGap" w:sz="4" w:space="0" w:color="595959" w:themeColor="text1" w:themeTint="A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426"/>
        <w:gridCol w:w="8193"/>
      </w:tblGrid>
      <w:tr w:rsidR="00EC7FA6" w:rsidRPr="00A36636" w14:paraId="5A8DA15A" w14:textId="77777777" w:rsidTr="00A3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014B4" w14:textId="77777777" w:rsidR="00EC7FA6" w:rsidRPr="00A36636" w:rsidRDefault="00EC7FA6" w:rsidP="00EC7FA6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Блок Нацплана (2026–2030)</w:t>
            </w:r>
          </w:p>
        </w:tc>
        <w:tc>
          <w:tcPr>
            <w:tcW w:w="3396" w:type="dxa"/>
            <w:vAlign w:val="center"/>
            <w:hideMark/>
          </w:tcPr>
          <w:p w14:paraId="71F71461" w14:textId="77777777" w:rsidR="00EC7FA6" w:rsidRPr="00A36636" w:rsidRDefault="00EC7FA6" w:rsidP="00EC7FA6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Что предусматривает Нацплан</w:t>
            </w:r>
          </w:p>
        </w:tc>
        <w:tc>
          <w:tcPr>
            <w:tcW w:w="8148" w:type="dxa"/>
            <w:vAlign w:val="center"/>
            <w:hideMark/>
          </w:tcPr>
          <w:p w14:paraId="2ED5C905" w14:textId="77777777" w:rsidR="00EC7FA6" w:rsidRPr="00A36636" w:rsidRDefault="00EC7FA6" w:rsidP="00EC7FA6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Как это усиливается настоящими предложениями (муниципальный слой реализации)</w:t>
            </w:r>
          </w:p>
        </w:tc>
      </w:tr>
      <w:tr w:rsidR="00EC7FA6" w:rsidRPr="00A36636" w14:paraId="6066B723" w14:textId="77777777" w:rsidTr="00A3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E00D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1) Информация и измеримость</w:t>
            </w:r>
          </w:p>
        </w:tc>
        <w:tc>
          <w:tcPr>
            <w:tcW w:w="3396" w:type="dxa"/>
            <w:vAlign w:val="center"/>
            <w:hideMark/>
          </w:tcPr>
          <w:p w14:paraId="26670AD9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sz w:val="18"/>
                <w:szCs w:val="18"/>
              </w:rPr>
              <w:t>Национальная цифровая инфраструктура измерения и отчётности, обязательная отчётность по цепочке</w:t>
            </w:r>
          </w:p>
        </w:tc>
        <w:tc>
          <w:tcPr>
            <w:tcW w:w="8148" w:type="dxa"/>
            <w:vAlign w:val="center"/>
            <w:hideMark/>
          </w:tcPr>
          <w:p w14:paraId="5A17DC2E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MRV (измерение–отчётность–верификация)</w:t>
            </w:r>
            <w:r w:rsidRPr="00A36636">
              <w:rPr>
                <w:rFonts w:asciiTheme="majorBidi" w:hAnsiTheme="majorBidi" w:cstheme="majorBidi"/>
                <w:sz w:val="18"/>
                <w:szCs w:val="18"/>
              </w:rPr>
              <w:t xml:space="preserve"> вводится на муниципальном уровне как обязательный стандарт: baseline food waste/органики, contamination, динамика residual; единый формат данных для передачи в национальную систему; верификация потоков (аудит, выборочные проверки)</w:t>
            </w:r>
          </w:p>
        </w:tc>
      </w:tr>
      <w:tr w:rsidR="00EC7FA6" w:rsidRPr="00A36636" w14:paraId="4C719CCD" w14:textId="77777777" w:rsidTr="00A3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9F2B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2) Регулирование отходов/органики</w:t>
            </w:r>
          </w:p>
        </w:tc>
        <w:tc>
          <w:tcPr>
            <w:tcW w:w="3396" w:type="dxa"/>
            <w:vAlign w:val="center"/>
            <w:hideMark/>
          </w:tcPr>
          <w:p w14:paraId="30C30C37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sz w:val="18"/>
                <w:szCs w:val="18"/>
              </w:rPr>
              <w:t>Подготовка регуляторных инструментов по органике, обсуждение ограничений на захоронение органики, экономические инструменты</w:t>
            </w:r>
          </w:p>
        </w:tc>
        <w:tc>
          <w:tcPr>
            <w:tcW w:w="8148" w:type="dxa"/>
            <w:vAlign w:val="center"/>
            <w:hideMark/>
          </w:tcPr>
          <w:p w14:paraId="45B85A6B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PAYT “плати за остаток” + контроль качества</w:t>
            </w:r>
            <w:r w:rsidRPr="00A36636">
              <w:rPr>
                <w:rFonts w:asciiTheme="majorBidi" w:hAnsiTheme="majorBidi" w:cstheme="majorBidi"/>
                <w:sz w:val="18"/>
                <w:szCs w:val="18"/>
              </w:rPr>
              <w:t xml:space="preserve"> создаёт прямой стимул изымать органику из residual; устанавливаются стандарты качества органики и процедуры воздействия (предупреждение → contamination fee → бонус за стабильное качество); “data-first gate” предотвращает инфраструктурный lock-in под неснижающиеся потоки</w:t>
            </w:r>
          </w:p>
        </w:tc>
      </w:tr>
      <w:tr w:rsidR="00EC7FA6" w:rsidRPr="00A36636" w14:paraId="097ECD24" w14:textId="77777777" w:rsidTr="00A3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4DD3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3) Изменение поведения</w:t>
            </w:r>
          </w:p>
        </w:tc>
        <w:tc>
          <w:tcPr>
            <w:tcW w:w="3396" w:type="dxa"/>
            <w:vAlign w:val="center"/>
            <w:hideMark/>
          </w:tcPr>
          <w:p w14:paraId="3D4B59F7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sz w:val="18"/>
                <w:szCs w:val="18"/>
              </w:rPr>
              <w:t>Нацкампании, образовательные программы для домохозяйств и общин</w:t>
            </w:r>
          </w:p>
        </w:tc>
        <w:tc>
          <w:tcPr>
            <w:tcW w:w="8148" w:type="dxa"/>
            <w:vAlign w:val="center"/>
            <w:hideMark/>
          </w:tcPr>
          <w:p w14:paraId="0EC7290F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sz w:val="18"/>
                <w:szCs w:val="18"/>
              </w:rPr>
              <w:t xml:space="preserve">Обязательный компонент </w:t>
            </w:r>
            <w:r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муниципальных программ предотвращения</w:t>
            </w:r>
            <w:r w:rsidRPr="00A36636">
              <w:rPr>
                <w:rFonts w:asciiTheme="majorBidi" w:hAnsiTheme="majorBidi" w:cstheme="majorBidi"/>
                <w:sz w:val="18"/>
                <w:szCs w:val="18"/>
              </w:rPr>
              <w:t xml:space="preserve"> в Circularity Hub: обучение хранению/планированию покупок/“last-chance use”; регулярные практики на уровне квартала (общинные кухни/совместное приготовление, обмен, поддержка домохозяйств), встроенные в сервис и KPI</w:t>
            </w:r>
          </w:p>
        </w:tc>
      </w:tr>
      <w:tr w:rsidR="00EC7FA6" w:rsidRPr="00A36636" w14:paraId="5B69CD0D" w14:textId="77777777" w:rsidTr="00A3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8364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4) Расширение food rescue</w:t>
            </w:r>
          </w:p>
        </w:tc>
        <w:tc>
          <w:tcPr>
            <w:tcW w:w="3396" w:type="dxa"/>
            <w:vAlign w:val="center"/>
            <w:hideMark/>
          </w:tcPr>
          <w:p w14:paraId="230D7EB4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sz w:val="18"/>
                <w:szCs w:val="18"/>
              </w:rPr>
              <w:t>Усиление логистики food rescue, развитие региональных систем (RSLF), кооперация НКО/муниципалитетов</w:t>
            </w:r>
          </w:p>
        </w:tc>
        <w:tc>
          <w:tcPr>
            <w:tcW w:w="8148" w:type="dxa"/>
            <w:vAlign w:val="center"/>
            <w:hideMark/>
          </w:tcPr>
          <w:p w14:paraId="57C27E08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sz w:val="18"/>
                <w:szCs w:val="18"/>
              </w:rPr>
              <w:t xml:space="preserve">Узлы и муниципальные кластеры предоставляют </w:t>
            </w:r>
            <w:r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инфраструктурную опору</w:t>
            </w:r>
            <w:r w:rsidRPr="00A36636">
              <w:rPr>
                <w:rFonts w:asciiTheme="majorBidi" w:hAnsiTheme="majorBidi" w:cstheme="majorBidi"/>
                <w:sz w:val="18"/>
                <w:szCs w:val="18"/>
              </w:rPr>
              <w:t xml:space="preserve"> для RSLF: локальная координация, точки сбора/перераспределения, холодовые решения (где применимо), MRV-учёт спасённых объёмов; интеграция с муниципальной логистикой и контрактами обслуживания</w:t>
            </w:r>
          </w:p>
        </w:tc>
      </w:tr>
      <w:tr w:rsidR="00253E3C" w:rsidRPr="00A36636" w14:paraId="4D3D6BEF" w14:textId="77777777" w:rsidTr="00A36636">
        <w:trPr>
          <w:tblCellSpacing w:w="15" w:type="dxa"/>
        </w:trPr>
        <w:tc>
          <w:tcPr>
            <w:tcW w:w="0" w:type="auto"/>
            <w:vAlign w:val="center"/>
          </w:tcPr>
          <w:p w14:paraId="649AE33D" w14:textId="63FF1298" w:rsidR="00253E3C" w:rsidRPr="00A36636" w:rsidRDefault="00CB2493" w:rsidP="00117CFD">
            <w:pPr>
              <w:rPr>
                <w:rFonts w:asciiTheme="majorBidi" w:hAnsiTheme="majorBidi" w:cstheme="majorBidi"/>
                <w:b/>
                <w:bCs/>
                <w:sz w:val="18"/>
                <w:szCs w:val="18"/>
                <w:lang w:val="ru-RU"/>
              </w:rPr>
            </w:pPr>
            <w:r w:rsidRPr="00A36636">
              <w:rPr>
                <w:rFonts w:asciiTheme="majorBidi" w:hAnsiTheme="majorBidi" w:cstheme="majorBidi"/>
                <w:b/>
                <w:bCs/>
                <w:sz w:val="18"/>
                <w:szCs w:val="18"/>
                <w:lang w:val="ru-RU"/>
              </w:rPr>
              <w:t xml:space="preserve">5) </w:t>
            </w:r>
            <w:r w:rsidR="00253E3C"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Устойчивость системы питания и социальная поддержка</w:t>
            </w:r>
          </w:p>
          <w:p w14:paraId="68F70ED0" w14:textId="77777777" w:rsidR="00253E3C" w:rsidRPr="00A36636" w:rsidRDefault="00253E3C" w:rsidP="00EC7FA6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396" w:type="dxa"/>
            <w:vAlign w:val="center"/>
          </w:tcPr>
          <w:p w14:paraId="69003ACB" w14:textId="77777777" w:rsidR="00253E3C" w:rsidRPr="00A36636" w:rsidRDefault="00253E3C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8148" w:type="dxa"/>
            <w:vAlign w:val="center"/>
          </w:tcPr>
          <w:p w14:paraId="48DC79E7" w14:textId="561B30E3" w:rsidR="00253E3C" w:rsidRPr="00A36636" w:rsidRDefault="00117CFD" w:rsidP="00EC7FA6">
            <w:pPr>
              <w:rPr>
                <w:rFonts w:asciiTheme="majorBidi" w:hAnsiTheme="majorBidi" w:cstheme="majorBidi"/>
                <w:sz w:val="18"/>
                <w:szCs w:val="18"/>
                <w:lang w:val="ru-RU"/>
              </w:rPr>
            </w:pPr>
            <w:r w:rsidRPr="00A36636">
              <w:rPr>
                <w:rFonts w:asciiTheme="majorBidi" w:hAnsiTheme="majorBidi" w:cstheme="majorBidi"/>
                <w:sz w:val="18"/>
                <w:szCs w:val="18"/>
              </w:rPr>
              <w:t>Circularity Hubs выступают как физические площадки для Food Rescue (спасения еды). Наличие в Hub-ах инфраструктуры (холодильники, зоны распределения) и MRV-отчетности позволяет легализовать и масштабировать передачу излишков продуктов от ритейла к НКО, снижая объем органики в баках на 15–20%</w:t>
            </w:r>
          </w:p>
        </w:tc>
      </w:tr>
      <w:tr w:rsidR="00EC7FA6" w:rsidRPr="00A36636" w14:paraId="7D244596" w14:textId="77777777" w:rsidTr="00A3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44E4" w14:textId="262AA322" w:rsidR="00EC7FA6" w:rsidRPr="00A36636" w:rsidRDefault="00A3663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val="ru-RU"/>
              </w:rPr>
              <w:t>6</w:t>
            </w:r>
            <w:r w:rsidR="00EC7FA6"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) Координация и синхронизация</w:t>
            </w:r>
          </w:p>
        </w:tc>
        <w:tc>
          <w:tcPr>
            <w:tcW w:w="3396" w:type="dxa"/>
            <w:vAlign w:val="center"/>
            <w:hideMark/>
          </w:tcPr>
          <w:p w14:paraId="771B9825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sz w:val="18"/>
                <w:szCs w:val="18"/>
              </w:rPr>
              <w:t>Межведомственная координация (MoEP+Минсельхоз+др.), связка с общей реформой отходов</w:t>
            </w:r>
          </w:p>
        </w:tc>
        <w:tc>
          <w:tcPr>
            <w:tcW w:w="8148" w:type="dxa"/>
            <w:vAlign w:val="center"/>
            <w:hideMark/>
          </w:tcPr>
          <w:p w14:paraId="78A8C1EB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sz w:val="18"/>
                <w:szCs w:val="18"/>
              </w:rPr>
              <w:t xml:space="preserve">Предложения задают </w:t>
            </w:r>
            <w:r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единый муниципальный интерфейс</w:t>
            </w:r>
            <w:r w:rsidRPr="00A36636">
              <w:rPr>
                <w:rFonts w:asciiTheme="majorBidi" w:hAnsiTheme="majorBidi" w:cstheme="majorBidi"/>
                <w:sz w:val="18"/>
                <w:szCs w:val="18"/>
              </w:rPr>
              <w:t xml:space="preserve"> для межведомственных целей: органика как приоритетный поток, MRV как общий язык данных, PAYT как экономический рычаг, стандарты качества как инструмент надзора; встраивание показателей food waste в общие KPI муниципальной системы отходов</w:t>
            </w:r>
          </w:p>
        </w:tc>
      </w:tr>
      <w:tr w:rsidR="00EC7FA6" w:rsidRPr="00A36636" w14:paraId="50D1D7E0" w14:textId="77777777" w:rsidTr="00A3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7703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Кросс-меры: инновации и рынок</w:t>
            </w:r>
          </w:p>
        </w:tc>
        <w:tc>
          <w:tcPr>
            <w:tcW w:w="3396" w:type="dxa"/>
            <w:vAlign w:val="center"/>
            <w:hideMark/>
          </w:tcPr>
          <w:p w14:paraId="3B78A11B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sz w:val="18"/>
                <w:szCs w:val="18"/>
              </w:rPr>
              <w:t>Пилоты, технологические решения, развитие инструментов предотвращения и перераспределения</w:t>
            </w:r>
          </w:p>
        </w:tc>
        <w:tc>
          <w:tcPr>
            <w:tcW w:w="8148" w:type="dxa"/>
            <w:vAlign w:val="center"/>
            <w:hideMark/>
          </w:tcPr>
          <w:p w14:paraId="1DC95BC2" w14:textId="77777777" w:rsidR="00EC7FA6" w:rsidRPr="00A36636" w:rsidRDefault="00EC7FA6" w:rsidP="00EC7FA6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A36636">
              <w:rPr>
                <w:rFonts w:asciiTheme="majorBidi" w:hAnsiTheme="majorBidi" w:cstheme="majorBidi"/>
                <w:sz w:val="18"/>
                <w:szCs w:val="18"/>
              </w:rPr>
              <w:t xml:space="preserve">Создаётся </w:t>
            </w:r>
            <w:r w:rsidRPr="00A3663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рынок продукта органики</w:t>
            </w:r>
            <w:r w:rsidRPr="00A36636">
              <w:rPr>
                <w:rFonts w:asciiTheme="majorBidi" w:hAnsiTheme="majorBidi" w:cstheme="majorBidi"/>
                <w:sz w:val="18"/>
                <w:szCs w:val="18"/>
              </w:rPr>
              <w:t>: нормы/стандарты публичных закупок для применения продуктов переработки органики + оффтейк-контракты с аграрными потребителями; пилоты локальных решений при строгих протоколах; поддержка repair/sharing снижает upstream-давление на food waste (через бытовые практики и сервисы)</w:t>
            </w:r>
          </w:p>
        </w:tc>
      </w:tr>
    </w:tbl>
    <w:p w14:paraId="0563EC98" w14:textId="1C434143" w:rsidR="00EC7FA6" w:rsidRPr="00A36636" w:rsidRDefault="00EC7FA6" w:rsidP="00EC7FA6">
      <w:pPr>
        <w:rPr>
          <w:rFonts w:asciiTheme="majorBidi" w:hAnsiTheme="majorBidi" w:cstheme="majorBidi"/>
          <w:sz w:val="18"/>
          <w:szCs w:val="18"/>
        </w:rPr>
      </w:pPr>
      <w:r w:rsidRPr="00A36636">
        <w:rPr>
          <w:rFonts w:asciiTheme="majorBidi" w:hAnsiTheme="majorBidi" w:cstheme="majorBidi"/>
          <w:b/>
          <w:bCs/>
          <w:sz w:val="18"/>
          <w:szCs w:val="18"/>
        </w:rPr>
        <w:lastRenderedPageBreak/>
        <w:t>Итоговая логика согласования:</w:t>
      </w:r>
      <w:r w:rsidRPr="00A36636">
        <w:rPr>
          <w:rFonts w:asciiTheme="majorBidi" w:hAnsiTheme="majorBidi" w:cstheme="majorBidi"/>
          <w:sz w:val="18"/>
          <w:szCs w:val="18"/>
        </w:rPr>
        <w:t xml:space="preserve"> Нацплан задаёт цели и рамки по food loss &amp; waste; настоящие предложения обеспечивают </w:t>
      </w:r>
      <w:r w:rsidRPr="00A36636">
        <w:rPr>
          <w:rFonts w:asciiTheme="majorBidi" w:hAnsiTheme="majorBidi" w:cstheme="majorBidi"/>
          <w:b/>
          <w:bCs/>
          <w:sz w:val="18"/>
          <w:szCs w:val="18"/>
        </w:rPr>
        <w:t>муниципальный “мотор внедрения”</w:t>
      </w:r>
      <w:r w:rsidRPr="00A36636">
        <w:rPr>
          <w:rFonts w:asciiTheme="majorBidi" w:hAnsiTheme="majorBidi" w:cstheme="majorBidi"/>
          <w:sz w:val="18"/>
          <w:szCs w:val="18"/>
        </w:rPr>
        <w:t>: измеримость (MRV), экономический стимул (PAYT на residual), качество потоков органики, инфраструктуру на месте возникновения и формирование спроса на продукты переработки органики через закупки и контракты.</w:t>
      </w:r>
    </w:p>
    <w:sectPr w:rsidR="00EC7FA6" w:rsidRPr="00A36636" w:rsidSect="00EC7FA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A6"/>
    <w:rsid w:val="00117CFD"/>
    <w:rsid w:val="002103F1"/>
    <w:rsid w:val="00253E3C"/>
    <w:rsid w:val="00607FB5"/>
    <w:rsid w:val="00A36636"/>
    <w:rsid w:val="00CB2493"/>
    <w:rsid w:val="00EC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8A1E3"/>
  <w15:chartTrackingRefBased/>
  <w15:docId w15:val="{A6E52FAA-0B9A-40C3-AB45-BBDDBA54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375</Words>
  <Characters>3032</Characters>
  <Application>Microsoft Office Word</Application>
  <DocSecurity>0</DocSecurity>
  <Lines>58</Lines>
  <Paragraphs>27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 Nikitina</dc:creator>
  <cp:keywords/>
  <dc:description/>
  <cp:lastModifiedBy>Bela Nikitina</cp:lastModifiedBy>
  <cp:revision>6</cp:revision>
  <dcterms:created xsi:type="dcterms:W3CDTF">2026-02-14T14:41:00Z</dcterms:created>
  <dcterms:modified xsi:type="dcterms:W3CDTF">2026-02-15T01:14:00Z</dcterms:modified>
</cp:coreProperties>
</file>