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4325A"/>
          <w:sz w:val="44"/>
        </w:rPr>
        <w:t>AYAT SHARE COMPANY</w:t>
      </w:r>
    </w:p>
    <w:p>
      <w:pPr>
        <w:spacing w:after="320"/>
        <w:jc w:val="center"/>
      </w:pPr>
      <w:r>
        <w:rPr>
          <w:i/>
          <w:color w:val="5A646E"/>
          <w:sz w:val="24"/>
        </w:rPr>
        <w:t>Comprehensive Real Estate Sales Strategy, Price Matrix, and Payment Terms</w:t>
      </w:r>
    </w:p>
    <w:p>
      <w:pPr>
        <w:spacing w:after="280"/>
        <w:pBdr>
          <w:bottom w:val="single" w:sz="12" w:space="1" w:color="14325A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752"/>
            <w:shd w:val="clear" w:color="auto"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4325A"/>
              </w:rPr>
              <w:t>Ref Number:</w:t>
            </w:r>
            <w:r>
              <w:t xml:space="preserve"> Ayat/SLe/116/2018</w:t>
            </w:r>
          </w:p>
        </w:tc>
        <w:tc>
          <w:tcPr>
            <w:tcW w:type="dxa" w:w="4752"/>
            <w:shd w:val="clear" w:color="auto"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4325A"/>
              </w:rPr>
              <w:t>Document Date:</w:t>
            </w:r>
            <w:r>
              <w:t xml:space="preserve"> 15/05/2018 E.C.</w:t>
            </w:r>
          </w:p>
        </w:tc>
      </w:tr>
      <w:tr>
        <w:tc>
          <w:tcPr>
            <w:tcW w:type="dxa" w:w="4752"/>
            <w:shd w:val="clear" w:color="auto"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4325A"/>
              </w:rPr>
              <w:t>Addressed To:</w:t>
            </w:r>
            <w:r>
              <w:t xml:space="preserve"> Chief Executive Officer</w:t>
            </w:r>
          </w:p>
        </w:tc>
        <w:tc>
          <w:tcPr>
            <w:tcW w:type="dxa" w:w="4752"/>
            <w:shd w:val="clear" w:color="auto"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4325A"/>
              </w:rPr>
              <w:t>Validity Period:</w:t>
            </w:r>
            <w:r>
              <w:t xml:space="preserve"> 15/05/2018 - 15/08/2018 E.C.</w:t>
            </w:r>
          </w:p>
        </w:tc>
      </w:tr>
    </w:tbl>
    <w:p>
      <w:pPr>
        <w:spacing w:before="360" w:after="120"/>
      </w:pPr>
      <w:r>
        <w:rPr>
          <w:b/>
          <w:color w:val="14325A"/>
          <w:sz w:val="28"/>
        </w:rPr>
        <w:t>1. Strategic Sales Framework &amp; Specifications</w:t>
      </w:r>
    </w:p>
    <w:p>
      <w:pPr>
        <w:pStyle w:val="ListBullet"/>
        <w:spacing w:after="60"/>
      </w:pPr>
      <w:r>
        <w:t>5-Year Strategic Plan: Formulated under the new 5-year commercial plan to deliver substantial residential and commercial units for the 2018 Ethiopian Calendar fiscal cycle.</w:t>
      </w:r>
    </w:p>
    <w:p>
      <w:pPr>
        <w:pStyle w:val="ListBullet"/>
        <w:spacing w:after="60"/>
      </w:pPr>
      <w:r>
        <w:t>Pre-Sales Construction Policy: Property structures are scheduled and customized strictly according to initial customer configurations and pre-contract preferences.</w:t>
      </w:r>
    </w:p>
    <w:p>
      <w:pPr>
        <w:pStyle w:val="ListBullet"/>
        <w:spacing w:after="60"/>
      </w:pPr>
      <w:r>
        <w:t>Dynamic Price Valuation: Sale rates for all active apartment options are explicitly subject to review and quarterly adjustments (every 3 months).</w:t>
      </w:r>
    </w:p>
    <w:p>
      <w:pPr>
        <w:pStyle w:val="ListBullet"/>
        <w:spacing w:after="60"/>
      </w:pPr>
      <w:r>
        <w:t>Essential Amenities: Every residential structure features modern passenger elevators (lifts), integrated automated water pumps, internal water reserves, and allocated parking zones.</w:t>
      </w:r>
    </w:p>
    <w:p>
      <w:pPr>
        <w:spacing w:before="120"/>
      </w:pPr>
      <w:r>
        <w:rPr>
          <w:b/>
        </w:rPr>
        <w:t>Available Apartment Dimensions (Net Area):</w:t>
      </w:r>
    </w:p>
    <w:p>
      <w:pPr>
        <w:pStyle w:val="ListBullet2"/>
        <w:spacing w:after="40"/>
      </w:pPr>
      <w:r>
        <w:t>1-Bedroom Units: 40, 45, 55, and 60 m²</w:t>
      </w:r>
    </w:p>
    <w:p>
      <w:pPr>
        <w:pStyle w:val="ListBullet2"/>
        <w:spacing w:after="40"/>
      </w:pPr>
      <w:r>
        <w:t>2-Bedroom Units: 75 and 80 m²</w:t>
      </w:r>
    </w:p>
    <w:p>
      <w:pPr>
        <w:pStyle w:val="ListBullet2"/>
        <w:spacing w:after="40"/>
      </w:pPr>
      <w:r>
        <w:t>3-Bedroom Units: 90, 95, 105, and 115 m²</w:t>
      </w:r>
    </w:p>
    <w:p>
      <w:pPr>
        <w:spacing w:before="120" w:after="80"/>
      </w:pPr>
      <w:r>
        <w:rPr>
          <w:b/>
        </w:rPr>
        <w:t xml:space="preserve">Target Geographic Development Zones: </w:t>
      </w:r>
      <w:r>
        <w:t>Ayat (Main Village), Legetafo, Kazanchis, Bole Bulbula, Bole Michael (behind the church), and CMC.</w:t>
      </w:r>
    </w:p>
    <w:p>
      <w:pPr>
        <w:spacing w:before="320" w:after="120"/>
      </w:pPr>
      <w:r>
        <w:rPr>
          <w:b/>
          <w:color w:val="14325A"/>
          <w:sz w:val="28"/>
        </w:rPr>
        <w:t>2. Base Discount and Employee Commission Schedule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1440"/>
            <w:shd w:val="clear" w:color="auto" w:fill="14325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3312"/>
            <w:shd w:val="clear" w:color="auto" w:fill="14325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Down Payment Threshold</w:t>
            </w:r>
          </w:p>
        </w:tc>
        <w:tc>
          <w:tcPr>
            <w:tcW w:type="dxa" w:w="2160"/>
            <w:shd w:val="clear" w:color="auto" w:fill="14325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Client Discount</w:t>
            </w:r>
          </w:p>
        </w:tc>
        <w:tc>
          <w:tcPr>
            <w:tcW w:type="dxa" w:w="2592"/>
            <w:shd w:val="clear" w:color="auto" w:fill="14325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Sales Staff Commission</w:t>
            </w:r>
          </w:p>
        </w:tc>
      </w:tr>
      <w:tr>
        <w:tc>
          <w:tcPr>
            <w:tcW w:type="dxa" w:w="1440"/>
            <w:shd w:val="clear" w:color="auto"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6.1</w:t>
            </w:r>
          </w:p>
        </w:tc>
        <w:tc>
          <w:tcPr>
            <w:tcW w:type="dxa" w:w="3312"/>
            <w:shd w:val="clear" w:color="auto"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100% Full Advance Payment</w:t>
            </w:r>
          </w:p>
        </w:tc>
        <w:tc>
          <w:tcPr>
            <w:tcW w:type="dxa" w:w="2160"/>
            <w:shd w:val="clear" w:color="auto"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20% Discount</w:t>
            </w:r>
          </w:p>
        </w:tc>
        <w:tc>
          <w:tcPr>
            <w:tcW w:type="dxa" w:w="2592"/>
            <w:shd w:val="clear" w:color="auto"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2.0% Commission</w:t>
            </w:r>
          </w:p>
        </w:tc>
      </w:tr>
      <w:tr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6.2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85% Advance Payment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17% Discount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1.7% Commission</w:t>
            </w:r>
          </w:p>
        </w:tc>
      </w:tr>
      <w:tr>
        <w:tc>
          <w:tcPr>
            <w:tcW w:type="dxa" w:w="1440"/>
            <w:shd w:val="clear" w:color="auto"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6.3</w:t>
            </w:r>
          </w:p>
        </w:tc>
        <w:tc>
          <w:tcPr>
            <w:tcW w:type="dxa" w:w="3312"/>
            <w:shd w:val="clear" w:color="auto"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70% Advance Payment</w:t>
            </w:r>
          </w:p>
        </w:tc>
        <w:tc>
          <w:tcPr>
            <w:tcW w:type="dxa" w:w="2160"/>
            <w:shd w:val="clear" w:color="auto"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14% Discount</w:t>
            </w:r>
          </w:p>
        </w:tc>
        <w:tc>
          <w:tcPr>
            <w:tcW w:type="dxa" w:w="2592"/>
            <w:shd w:val="clear" w:color="auto"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1.4% Commission</w:t>
            </w:r>
          </w:p>
        </w:tc>
      </w:tr>
      <w:tr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6.4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55% Advance Payment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11% Discount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1.1% Commission</w:t>
            </w:r>
          </w:p>
        </w:tc>
      </w:tr>
      <w:tr>
        <w:tc>
          <w:tcPr>
            <w:tcW w:type="dxa" w:w="1440"/>
            <w:shd w:val="clear" w:color="auto"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6.5</w:t>
            </w:r>
          </w:p>
        </w:tc>
        <w:tc>
          <w:tcPr>
            <w:tcW w:type="dxa" w:w="3312"/>
            <w:shd w:val="clear" w:color="auto"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40% Advance Payment</w:t>
            </w:r>
          </w:p>
        </w:tc>
        <w:tc>
          <w:tcPr>
            <w:tcW w:type="dxa" w:w="2160"/>
            <w:shd w:val="clear" w:color="auto"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8% Discount</w:t>
            </w:r>
          </w:p>
        </w:tc>
        <w:tc>
          <w:tcPr>
            <w:tcW w:type="dxa" w:w="2592"/>
            <w:shd w:val="clear" w:color="auto"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0.8% Commission</w:t>
            </w:r>
          </w:p>
        </w:tc>
      </w:tr>
      <w:tr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6.6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35% Advance Payment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7% Discount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0.7% Commission</w:t>
            </w:r>
          </w:p>
        </w:tc>
      </w:tr>
      <w:tr>
        <w:tc>
          <w:tcPr>
            <w:tcW w:type="dxa" w:w="1440"/>
            <w:shd w:val="clear" w:color="auto"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6.7</w:t>
            </w:r>
          </w:p>
        </w:tc>
        <w:tc>
          <w:tcPr>
            <w:tcW w:type="dxa" w:w="3312"/>
            <w:shd w:val="clear" w:color="auto"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60/40 Scheme (60% Advance Payment)</w:t>
            </w:r>
          </w:p>
        </w:tc>
        <w:tc>
          <w:tcPr>
            <w:tcW w:type="dxa" w:w="2160"/>
            <w:shd w:val="clear" w:color="auto"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5% Discount</w:t>
            </w:r>
          </w:p>
        </w:tc>
        <w:tc>
          <w:tcPr>
            <w:tcW w:type="dxa" w:w="2592"/>
            <w:shd w:val="clear" w:color="auto"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0.5% Commission</w:t>
            </w:r>
          </w:p>
        </w:tc>
      </w:tr>
    </w:tbl>
    <w:p>
      <w:pPr>
        <w:spacing w:before="200" w:after="80"/>
      </w:pPr>
      <w:r>
        <w:rPr>
          <w:b/>
          <w:color w:val="14325A"/>
        </w:rPr>
        <w:t>Corporate Group Purchase Bonus Incentives (Section 7):</w:t>
      </w:r>
    </w:p>
    <w:p>
      <w:pPr>
        <w:pStyle w:val="ListBullet"/>
        <w:spacing w:after="40"/>
      </w:pPr>
      <w:r>
        <w:t>Group purchase of 25 to 50 units: Grants an additional 2% discount over the base schedule.</w:t>
      </w:r>
    </w:p>
    <w:p>
      <w:pPr>
        <w:pStyle w:val="ListBullet"/>
        <w:spacing w:after="40"/>
      </w:pPr>
      <w:r>
        <w:t>Group purchase of 51 to 76 units: Grants an additional 4% discount over the base schedule.</w:t>
      </w:r>
    </w:p>
    <w:p>
      <w:pPr>
        <w:pStyle w:val="ListBullet"/>
        <w:spacing w:after="40"/>
      </w:pPr>
      <w:r>
        <w:t>Group purchase of 77 to 105 units: Grants an additional 6% discount over the base schedule.</w:t>
      </w:r>
    </w:p>
    <w:p>
      <w:pPr>
        <w:pStyle w:val="ListBullet"/>
        <w:spacing w:after="40"/>
      </w:pPr>
      <w:r>
        <w:t>Group purchase of 106 units or more: Grants an additional 8% discount over the base schedule.</w:t>
      </w:r>
    </w:p>
    <w:p>
      <w:pPr>
        <w:pStyle w:val="ListBullet"/>
        <w:spacing w:after="40"/>
      </w:pPr>
      <w:r>
        <w:t>Grace Period Variant (Section 8): Customers initiating agreements who transition to complete advance brackets within 75 days qualify dynamically for the targeted discount tier.</w:t>
      </w:r>
    </w:p>
    <w:p>
      <w:pPr>
        <w:spacing w:before="320" w:after="120"/>
      </w:pPr>
      <w:r>
        <w:rPr>
          <w:b/>
          <w:color w:val="14325A"/>
          <w:sz w:val="28"/>
        </w:rPr>
        <w:t>3. Delivery Timelines &amp; Apartment Unit Base Rates</w:t>
      </w:r>
    </w:p>
    <w:p>
      <w:pPr>
        <w:spacing w:after="80"/>
      </w:pPr>
      <w:r>
        <w:rPr>
          <w:b/>
        </w:rPr>
        <w:t xml:space="preserve">Project Delivery Targets (Section 9): </w:t>
      </w:r>
      <w:r>
        <w:t>Fully finished RF (Real Finish) apartments will be turned over within 3 years. Partially finished SF (Semi-Finish) apartments and commercial blocks have a target timeline of 2 years.</w:t>
      </w:r>
    </w:p>
    <w:p>
      <w:pPr>
        <w:spacing w:after="120"/>
      </w:pPr>
      <w:r>
        <w:t>Apartment Unit Base Selling Prices per Square Meter (ETB) based on building height/floor tier (Section 10):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c>
          <w:tcPr>
            <w:tcW w:type="dxa" w:w="1440"/>
            <w:shd w:val="clear" w:color="auto" w:fill="14325A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Floor Bracket</w:t>
            </w:r>
          </w:p>
        </w:tc>
        <w:tc>
          <w:tcPr>
            <w:tcW w:type="dxa" w:w="1152"/>
            <w:shd w:val="clear" w:color="auto" w:fill="14325A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Unit Variant</w:t>
            </w:r>
          </w:p>
        </w:tc>
        <w:tc>
          <w:tcPr>
            <w:tcW w:type="dxa" w:w="1584"/>
            <w:shd w:val="clear" w:color="auto" w:fill="14325A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Ayat (Unstarted)</w:t>
            </w:r>
          </w:p>
        </w:tc>
        <w:tc>
          <w:tcPr>
            <w:tcW w:type="dxa" w:w="1584"/>
            <w:shd w:val="clear" w:color="auto" w:fill="14325A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Kazanchis (Started)</w:t>
            </w:r>
          </w:p>
        </w:tc>
        <w:tc>
          <w:tcPr>
            <w:tcW w:type="dxa" w:w="1584"/>
            <w:shd w:val="clear" w:color="auto" w:fill="14325A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Bole Bulbula (Unstarted)</w:t>
            </w:r>
          </w:p>
        </w:tc>
        <w:tc>
          <w:tcPr>
            <w:tcW w:type="dxa" w:w="1584"/>
            <w:shd w:val="clear" w:color="auto" w:fill="14325A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CMC &amp; Others (Unstarted)</w:t>
            </w:r>
          </w:p>
        </w:tc>
        <w:tc>
          <w:tcPr>
            <w:tcW w:type="dxa" w:w="1584"/>
            <w:shd w:val="clear" w:color="auto" w:fill="14325A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CMC &amp; Others (Near Completion)</w:t>
            </w:r>
          </w:p>
        </w:tc>
      </w:tr>
      <w:tr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Floors 3–10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9"/>
              </w:rPr>
              <w:t>SFCA</w:t>
              <w:br/>
              <w:t>RFCA</w:t>
              <w:br/>
              <w:t>RFCR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9"/>
              </w:rPr>
              <w:t>155,342.00</w:t>
              <w:br/>
              <w:t>189,750.00</w:t>
              <w:br/>
              <w:t>199,870.00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9"/>
              </w:rPr>
              <w:t>146,489.00</w:t>
              <w:br/>
              <w:t>185,449.00</w:t>
              <w:br/>
              <w:t>198,605.00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9"/>
              </w:rPr>
              <w:t>124,223.00</w:t>
              <w:br/>
              <w:t>162,932.00</w:t>
              <w:br/>
              <w:t>197,087.00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9"/>
              </w:rPr>
              <w:t>120,175.00</w:t>
              <w:br/>
              <w:t>157,619.00</w:t>
              <w:br/>
              <w:t>196,075.00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9"/>
              </w:rPr>
              <w:t>125,994.00</w:t>
              <w:br/>
              <w:t>164,197.00</w:t>
              <w:br/>
              <w:t>196,581.00</w:t>
            </w:r>
          </w:p>
        </w:tc>
      </w:tr>
      <w:tr>
        <w:tc>
          <w:tcPr>
            <w:tcW w:type="dxa" w:w="1440"/>
            <w:shd w:val="clear" w:color="auto" w:fill="F9FB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Floors 11–18</w:t>
            </w:r>
          </w:p>
        </w:tc>
        <w:tc>
          <w:tcPr>
            <w:tcW w:type="dxa" w:w="1152"/>
            <w:shd w:val="clear" w:color="auto" w:fill="F9FB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9"/>
              </w:rPr>
              <w:t>SFCA</w:t>
              <w:br/>
              <w:t>RFCA</w:t>
              <w:br/>
              <w:t>RFCR</w:t>
            </w:r>
          </w:p>
        </w:tc>
        <w:tc>
          <w:tcPr>
            <w:tcW w:type="dxa" w:w="1584"/>
            <w:shd w:val="clear" w:color="auto" w:fill="F9FB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9"/>
              </w:rPr>
              <w:t>123,717.00</w:t>
              <w:br/>
              <w:t>157,822.00</w:t>
              <w:br/>
              <w:t>197,340.00</w:t>
            </w:r>
          </w:p>
        </w:tc>
        <w:tc>
          <w:tcPr>
            <w:tcW w:type="dxa" w:w="1584"/>
            <w:shd w:val="clear" w:color="auto" w:fill="F9FB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9"/>
              </w:rPr>
              <w:t>120,175.00</w:t>
              <w:br/>
              <w:t>157,872.00</w:t>
              <w:br/>
              <w:t>196,328.00</w:t>
            </w:r>
          </w:p>
        </w:tc>
        <w:tc>
          <w:tcPr>
            <w:tcW w:type="dxa" w:w="1584"/>
            <w:shd w:val="clear" w:color="auto" w:fill="F9FB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9"/>
              </w:rPr>
              <w:t>108,031.00</w:t>
              <w:br/>
              <w:t>141,680.00</w:t>
              <w:br/>
              <w:t>194,810.00</w:t>
            </w:r>
          </w:p>
        </w:tc>
        <w:tc>
          <w:tcPr>
            <w:tcW w:type="dxa" w:w="1584"/>
            <w:shd w:val="clear" w:color="auto" w:fill="F9FB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9"/>
              </w:rPr>
              <w:t>104,236.00</w:t>
              <w:br/>
              <w:t>136,220.00</w:t>
              <w:br/>
              <w:t>192,786.00</w:t>
            </w:r>
          </w:p>
        </w:tc>
        <w:tc>
          <w:tcPr>
            <w:tcW w:type="dxa" w:w="1584"/>
            <w:shd w:val="clear" w:color="auto" w:fill="F9FB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9"/>
              </w:rPr>
              <w:t>110,055.00</w:t>
              <w:br/>
              <w:t>143,704.00</w:t>
              <w:br/>
              <w:t>194,304.00</w:t>
            </w:r>
          </w:p>
        </w:tc>
      </w:tr>
      <w:tr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Floors 19–26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9"/>
              </w:rPr>
              <w:t>SFCA</w:t>
              <w:br/>
              <w:t>RFCA</w:t>
              <w:br/>
              <w:t>RFCR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9"/>
              </w:rPr>
              <w:t>115,874.00</w:t>
              <w:br/>
              <w:t>150,535.00</w:t>
              <w:br/>
              <w:t>196,834.00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9"/>
              </w:rPr>
              <w:t>106,007.00</w:t>
              <w:br/>
              <w:t>138,897.00</w:t>
              <w:br/>
              <w:t>195,316.00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9"/>
              </w:rPr>
              <w:t>91,839.00</w:t>
              <w:br/>
              <w:t>120,428.00</w:t>
              <w:br/>
              <w:t>192,533.00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9"/>
              </w:rPr>
              <w:t>88,297.00</w:t>
              <w:br/>
              <w:t>115,621.00</w:t>
              <w:br/>
              <w:t>191,774.00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9"/>
              </w:rPr>
              <w:t>94,116.00</w:t>
              <w:br/>
              <w:t>123,211.00</w:t>
              <w:br/>
              <w:t>193,545.00</w:t>
            </w:r>
          </w:p>
        </w:tc>
      </w:tr>
      <w:tr>
        <w:tc>
          <w:tcPr>
            <w:tcW w:type="dxa" w:w="1440"/>
            <w:shd w:val="clear" w:color="auto" w:fill="F9FB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Floors 27–36</w:t>
            </w:r>
          </w:p>
        </w:tc>
        <w:tc>
          <w:tcPr>
            <w:tcW w:type="dxa" w:w="1152"/>
            <w:shd w:val="clear" w:color="auto" w:fill="F9FB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9"/>
              </w:rPr>
              <w:t>SFCA</w:t>
              <w:br/>
              <w:t>RFCA</w:t>
              <w:br/>
              <w:t>RFCR</w:t>
            </w:r>
          </w:p>
        </w:tc>
        <w:tc>
          <w:tcPr>
            <w:tcW w:type="dxa" w:w="1584"/>
            <w:shd w:val="clear" w:color="auto" w:fill="F9FB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9"/>
              </w:rPr>
              <w:t>99,935.00</w:t>
              <w:br/>
              <w:t>133,331.00</w:t>
              <w:br/>
              <w:t>192,280.00</w:t>
            </w:r>
          </w:p>
        </w:tc>
        <w:tc>
          <w:tcPr>
            <w:tcW w:type="dxa" w:w="1584"/>
            <w:shd w:val="clear" w:color="auto" w:fill="F9FB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9"/>
              </w:rPr>
              <w:t>89,815.00</w:t>
              <w:br/>
              <w:t>118,151.00</w:t>
              <w:br/>
              <w:t>192,027.00</w:t>
            </w:r>
          </w:p>
        </w:tc>
        <w:tc>
          <w:tcPr>
            <w:tcW w:type="dxa" w:w="1584"/>
            <w:shd w:val="clear" w:color="auto" w:fill="F9FB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9"/>
              </w:rPr>
              <w:t>-</w:t>
              <w:br/>
              <w:t>-</w:t>
              <w:br/>
              <w:t>-</w:t>
            </w:r>
          </w:p>
        </w:tc>
        <w:tc>
          <w:tcPr>
            <w:tcW w:type="dxa" w:w="1584"/>
            <w:shd w:val="clear" w:color="auto" w:fill="F9FB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9"/>
              </w:rPr>
              <w:t>-</w:t>
              <w:br/>
              <w:t>-</w:t>
              <w:br/>
              <w:t>-</w:t>
            </w:r>
          </w:p>
        </w:tc>
        <w:tc>
          <w:tcPr>
            <w:tcW w:type="dxa" w:w="1584"/>
            <w:shd w:val="clear" w:color="auto" w:fill="F9FB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9"/>
              </w:rPr>
              <w:t>-</w:t>
              <w:br/>
              <w:t>-</w:t>
              <w:br/>
              <w:t>-</w:t>
            </w:r>
          </w:p>
        </w:tc>
      </w:tr>
    </w:tbl>
    <w:p>
      <w:pPr>
        <w:spacing w:before="80"/>
      </w:pPr>
      <w:r>
        <w:rPr>
          <w:i/>
          <w:sz w:val="18"/>
        </w:rPr>
        <w:t>* Key: SFCA = Semi-Finish Apartment Type A | RFCA = Real Finish Apartment Type A | RFCR = Real Finish Commercial Variant</w:t>
      </w:r>
    </w:p>
    <w:p>
      <w:pPr>
        <w:spacing w:before="320" w:after="120"/>
      </w:pPr>
      <w:r>
        <w:rPr>
          <w:b/>
          <w:color w:val="14325A"/>
          <w:sz w:val="28"/>
        </w:rPr>
        <w:t>4. Commercial Shop Base Price Framework</w:t>
      </w:r>
    </w:p>
    <w:p>
      <w:pPr>
        <w:spacing w:after="120"/>
      </w:pPr>
      <w:r>
        <w:t>Commercial Shop Base Selling Prices per Square Meter (ETB) based on floor placement (Section 11):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1067"/>
        <w:gridCol w:w="1067"/>
        <w:gridCol w:w="1067"/>
        <w:gridCol w:w="1067"/>
        <w:gridCol w:w="1067"/>
        <w:gridCol w:w="1067"/>
        <w:gridCol w:w="1067"/>
        <w:gridCol w:w="1067"/>
        <w:gridCol w:w="1067"/>
      </w:tblGrid>
      <w:tr>
        <w:tc>
          <w:tcPr>
            <w:tcW w:type="dxa" w:w="1728"/>
            <w:shd w:val="clear" w:color="auto" w:fill="14325A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Floor Tier</w:t>
            </w:r>
          </w:p>
        </w:tc>
        <w:tc>
          <w:tcPr>
            <w:tcW w:type="dxa" w:w="1152"/>
            <w:shd w:val="clear" w:color="auto" w:fill="14325A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Ayat</w:t>
            </w:r>
          </w:p>
        </w:tc>
        <w:tc>
          <w:tcPr>
            <w:tcW w:type="dxa" w:w="1152"/>
            <w:shd w:val="clear" w:color="auto" w:fill="14325A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Kazanchis</w:t>
            </w:r>
          </w:p>
        </w:tc>
        <w:tc>
          <w:tcPr>
            <w:tcW w:type="dxa" w:w="1152"/>
            <w:shd w:val="clear" w:color="auto" w:fill="14325A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Bole Bulbula</w:t>
            </w:r>
          </w:p>
        </w:tc>
        <w:tc>
          <w:tcPr>
            <w:tcW w:type="dxa" w:w="1152"/>
            <w:shd w:val="clear" w:color="auto" w:fill="14325A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 H-2</w:t>
            </w:r>
          </w:p>
        </w:tc>
        <w:tc>
          <w:tcPr>
            <w:tcW w:type="dxa" w:w="1152"/>
            <w:shd w:val="clear" w:color="auto" w:fill="14325A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Mert 1</w:t>
            </w:r>
          </w:p>
        </w:tc>
        <w:tc>
          <w:tcPr>
            <w:tcW w:type="dxa" w:w="1152"/>
            <w:shd w:val="clear" w:color="auto" w:fill="14325A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Bole</w:t>
            </w:r>
          </w:p>
        </w:tc>
        <w:tc>
          <w:tcPr>
            <w:tcW w:type="dxa" w:w="1152"/>
            <w:shd w:val="clear" w:color="auto" w:fill="14325A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 H-3 Uni.</w:t>
            </w:r>
          </w:p>
        </w:tc>
        <w:tc>
          <w:tcPr>
            <w:tcW w:type="dxa" w:w="1152"/>
            <w:shd w:val="clear" w:color="auto" w:fill="14325A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 H-8 Health</w:t>
            </w:r>
          </w:p>
        </w:tc>
      </w:tr>
      <w:tr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Ground Floor (GF)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8"/>
              </w:rPr>
              <w:t>195,569.00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8"/>
              </w:rPr>
              <w:t>227,953.00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8"/>
              </w:rPr>
              <w:t>126,564.00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8"/>
              </w:rPr>
              <w:t>136,165.00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8"/>
              </w:rPr>
              <w:t>129,473.00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8"/>
              </w:rPr>
              <w:t>136,165.00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8"/>
              </w:rPr>
              <w:t>129,473.00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8"/>
              </w:rPr>
              <w:t>136,165.00</w:t>
            </w:r>
          </w:p>
        </w:tc>
      </w:tr>
      <w:tr>
        <w:tc>
          <w:tcPr>
            <w:tcW w:type="dxa" w:w="1728"/>
            <w:shd w:val="clear" w:color="auto" w:fill="F9FB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1st Floor (1F)</w:t>
            </w:r>
          </w:p>
        </w:tc>
        <w:tc>
          <w:tcPr>
            <w:tcW w:type="dxa" w:w="1152"/>
            <w:shd w:val="clear" w:color="auto" w:fill="F9FB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8"/>
              </w:rPr>
              <w:t>188,485.00</w:t>
            </w:r>
          </w:p>
        </w:tc>
        <w:tc>
          <w:tcPr>
            <w:tcW w:type="dxa" w:w="1152"/>
            <w:shd w:val="clear" w:color="auto" w:fill="F9FB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8"/>
              </w:rPr>
              <w:t>218,592.00</w:t>
            </w:r>
          </w:p>
        </w:tc>
        <w:tc>
          <w:tcPr>
            <w:tcW w:type="dxa" w:w="1152"/>
            <w:shd w:val="clear" w:color="auto" w:fill="F9FB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8"/>
              </w:rPr>
              <w:t>-</w:t>
            </w:r>
          </w:p>
        </w:tc>
        <w:tc>
          <w:tcPr>
            <w:tcW w:type="dxa" w:w="1152"/>
            <w:shd w:val="clear" w:color="auto" w:fill="F9FB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8"/>
              </w:rPr>
              <w:t>130,245.00</w:t>
            </w:r>
          </w:p>
        </w:tc>
        <w:tc>
          <w:tcPr>
            <w:tcW w:type="dxa" w:w="1152"/>
            <w:shd w:val="clear" w:color="auto" w:fill="F9FB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8"/>
              </w:rPr>
              <w:t>123,844.00</w:t>
            </w:r>
          </w:p>
        </w:tc>
        <w:tc>
          <w:tcPr>
            <w:tcW w:type="dxa" w:w="1152"/>
            <w:shd w:val="clear" w:color="auto" w:fill="F9FB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8"/>
              </w:rPr>
              <w:t>130,245.00</w:t>
            </w:r>
          </w:p>
        </w:tc>
        <w:tc>
          <w:tcPr>
            <w:tcW w:type="dxa" w:w="1152"/>
            <w:shd w:val="clear" w:color="auto" w:fill="F9FB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8"/>
              </w:rPr>
              <w:t>123,844.00</w:t>
            </w:r>
          </w:p>
        </w:tc>
        <w:tc>
          <w:tcPr>
            <w:tcW w:type="dxa" w:w="1152"/>
            <w:shd w:val="clear" w:color="auto" w:fill="F9FB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8"/>
              </w:rPr>
              <w:t>130,245.00</w:t>
            </w:r>
          </w:p>
        </w:tc>
      </w:tr>
      <w:tr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2nd Floor (2F)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8"/>
              </w:rPr>
              <w:t>181,654.00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8"/>
              </w:rPr>
              <w:t>208,978.00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8"/>
              </w:rPr>
              <w:t>-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8"/>
              </w:rPr>
              <w:t>124,324.00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8"/>
              </w:rPr>
              <w:t>118,215.00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8"/>
              </w:rPr>
              <w:t>124,324.00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8"/>
              </w:rPr>
              <w:t>118,215.00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8"/>
              </w:rPr>
              <w:t>124,324.00</w:t>
            </w:r>
          </w:p>
        </w:tc>
      </w:tr>
      <w:tr>
        <w:tc>
          <w:tcPr>
            <w:tcW w:type="dxa" w:w="1728"/>
            <w:shd w:val="clear" w:color="auto" w:fill="F9FB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3rd Floor (3F)</w:t>
            </w:r>
          </w:p>
        </w:tc>
        <w:tc>
          <w:tcPr>
            <w:tcW w:type="dxa" w:w="1152"/>
            <w:shd w:val="clear" w:color="auto" w:fill="F9FB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8"/>
              </w:rPr>
              <w:t>174,570.00</w:t>
            </w:r>
          </w:p>
        </w:tc>
        <w:tc>
          <w:tcPr>
            <w:tcW w:type="dxa" w:w="1152"/>
            <w:shd w:val="clear" w:color="auto" w:fill="F9FB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8"/>
              </w:rPr>
              <w:t>199,617.00</w:t>
            </w:r>
          </w:p>
        </w:tc>
        <w:tc>
          <w:tcPr>
            <w:tcW w:type="dxa" w:w="1152"/>
            <w:shd w:val="clear" w:color="auto" w:fill="F9FB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8"/>
              </w:rPr>
              <w:t>-</w:t>
            </w:r>
          </w:p>
        </w:tc>
        <w:tc>
          <w:tcPr>
            <w:tcW w:type="dxa" w:w="1152"/>
            <w:shd w:val="clear" w:color="auto" w:fill="F9FB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8"/>
              </w:rPr>
              <w:t>121,364.00</w:t>
            </w:r>
          </w:p>
        </w:tc>
        <w:tc>
          <w:tcPr>
            <w:tcW w:type="dxa" w:w="1152"/>
            <w:shd w:val="clear" w:color="auto" w:fill="F9FB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8"/>
              </w:rPr>
              <w:t>115,400.00</w:t>
            </w:r>
          </w:p>
        </w:tc>
        <w:tc>
          <w:tcPr>
            <w:tcW w:type="dxa" w:w="1152"/>
            <w:shd w:val="clear" w:color="auto" w:fill="F9FB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8"/>
              </w:rPr>
              <w:t>121,364.00</w:t>
            </w:r>
          </w:p>
        </w:tc>
        <w:tc>
          <w:tcPr>
            <w:tcW w:type="dxa" w:w="1152"/>
            <w:shd w:val="clear" w:color="auto" w:fill="F9FB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8"/>
              </w:rPr>
              <w:t>115,400.00</w:t>
            </w:r>
          </w:p>
        </w:tc>
        <w:tc>
          <w:tcPr>
            <w:tcW w:type="dxa" w:w="1152"/>
            <w:shd w:val="clear" w:color="auto" w:fill="F9FB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8"/>
              </w:rPr>
              <w:t>121,364.00</w:t>
            </w:r>
          </w:p>
        </w:tc>
      </w:tr>
    </w:tbl>
    <w:p>
      <w:pPr>
        <w:spacing w:before="80" w:after="240"/>
      </w:pPr>
      <w:r>
        <w:rPr>
          <w:i/>
          <w:sz w:val="18"/>
        </w:rPr>
        <w:t>* Note: Commercial unit sizing starts from 30 m² up to 240 m² depending on business category. Long-term installment options are strictly unavailable for commercial shops (Section 11.10).</w:t>
      </w:r>
    </w:p>
    <w:p>
      <w:pPr>
        <w:spacing w:before="320" w:after="120"/>
      </w:pPr>
      <w:r>
        <w:rPr>
          <w:b/>
          <w:color w:val="14325A"/>
          <w:sz w:val="28"/>
        </w:rPr>
        <w:t>5. Milestone-Based Installment Structures</w:t>
      </w:r>
    </w:p>
    <w:p>
      <w:pPr>
        <w:spacing w:after="120"/>
      </w:pPr>
      <w:r>
        <w:t>Percent breakdown of required down payment milestones across alternative financing options (Section 13):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c>
          <w:tcPr>
            <w:tcW w:type="dxa" w:w="3456"/>
            <w:shd w:val="clear" w:color="auto" w:fill="14325A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Milestone Stage</w:t>
            </w:r>
          </w:p>
        </w:tc>
        <w:tc>
          <w:tcPr>
            <w:tcW w:type="dxa" w:w="1728"/>
            <w:shd w:val="clear" w:color="auto" w:fill="14325A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Apartment</w:t>
              <w:br/>
              <w:t>(Near Completion) 100%</w:t>
            </w:r>
          </w:p>
        </w:tc>
        <w:tc>
          <w:tcPr>
            <w:tcW w:type="dxa" w:w="1584"/>
            <w:shd w:val="clear" w:color="auto" w:fill="14325A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Apartment</w:t>
              <w:br/>
              <w:t>(Unstarted) 100%</w:t>
            </w:r>
          </w:p>
        </w:tc>
        <w:tc>
          <w:tcPr>
            <w:tcW w:type="dxa" w:w="1584"/>
            <w:shd w:val="clear" w:color="auto" w:fill="14325A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Apartment</w:t>
              <w:br/>
              <w:t>(60/40 Scheme) 60%</w:t>
            </w:r>
          </w:p>
        </w:tc>
        <w:tc>
          <w:tcPr>
            <w:tcW w:type="dxa" w:w="1728"/>
            <w:shd w:val="clear" w:color="auto" w:fill="14325A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Commercial Shop</w:t>
              <w:br/>
              <w:t>(Unstarted) 100%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13.1 Upon Signing Contract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20%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15%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15%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25%</w:t>
            </w:r>
          </w:p>
        </w:tc>
      </w:tr>
      <w:tr>
        <w:tc>
          <w:tcPr>
            <w:tcW w:type="dxa" w:w="3456"/>
            <w:shd w:val="clear" w:color="auto" w:fill="F9FB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13.2 Within 4 Months (Foundation/GF)</w:t>
            </w:r>
          </w:p>
        </w:tc>
        <w:tc>
          <w:tcPr>
            <w:tcW w:type="dxa" w:w="1728"/>
            <w:shd w:val="clear" w:color="auto" w:fill="F9FB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25%</w:t>
            </w:r>
          </w:p>
        </w:tc>
        <w:tc>
          <w:tcPr>
            <w:tcW w:type="dxa" w:w="1584"/>
            <w:shd w:val="clear" w:color="auto" w:fill="F9FB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20%</w:t>
            </w:r>
          </w:p>
        </w:tc>
        <w:tc>
          <w:tcPr>
            <w:tcW w:type="dxa" w:w="1584"/>
            <w:shd w:val="clear" w:color="auto" w:fill="F9FB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20%</w:t>
            </w:r>
          </w:p>
        </w:tc>
        <w:tc>
          <w:tcPr>
            <w:tcW w:type="dxa" w:w="1728"/>
            <w:shd w:val="clear" w:color="auto" w:fill="F9FB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30%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13.3 Within 8 Months (5th Floor Structural)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25%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20%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10%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20%</w:t>
            </w:r>
          </w:p>
        </w:tc>
      </w:tr>
      <w:tr>
        <w:tc>
          <w:tcPr>
            <w:tcW w:type="dxa" w:w="3456"/>
            <w:shd w:val="clear" w:color="auto" w:fill="F9FB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13.4 Within 12 Months (11th Floor Structural)</w:t>
            </w:r>
          </w:p>
        </w:tc>
        <w:tc>
          <w:tcPr>
            <w:tcW w:type="dxa" w:w="1728"/>
            <w:shd w:val="clear" w:color="auto" w:fill="F9FB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20%</w:t>
            </w:r>
          </w:p>
        </w:tc>
        <w:tc>
          <w:tcPr>
            <w:tcW w:type="dxa" w:w="1584"/>
            <w:shd w:val="clear" w:color="auto" w:fill="F9FB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20%</w:t>
            </w:r>
          </w:p>
        </w:tc>
        <w:tc>
          <w:tcPr>
            <w:tcW w:type="dxa" w:w="1584"/>
            <w:shd w:val="clear" w:color="auto" w:fill="F9FB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5%</w:t>
            </w:r>
          </w:p>
        </w:tc>
        <w:tc>
          <w:tcPr>
            <w:tcW w:type="dxa" w:w="1728"/>
            <w:shd w:val="clear" w:color="auto" w:fill="F9FB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-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13.5 Within 18 Months (17th Floor Structural)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15%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5%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-</w:t>
            </w:r>
          </w:p>
        </w:tc>
      </w:tr>
      <w:tr>
        <w:tc>
          <w:tcPr>
            <w:tcW w:type="dxa" w:w="3456"/>
            <w:shd w:val="clear" w:color="auto" w:fill="F9FB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13.6 Within 24 Months (24th Floor Structural)</w:t>
            </w:r>
          </w:p>
        </w:tc>
        <w:tc>
          <w:tcPr>
            <w:tcW w:type="dxa" w:w="1728"/>
            <w:shd w:val="clear" w:color="auto" w:fill="F9FB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type="dxa" w:w="1584"/>
            <w:shd w:val="clear" w:color="auto" w:fill="F9FB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5%</w:t>
            </w:r>
          </w:p>
        </w:tc>
        <w:tc>
          <w:tcPr>
            <w:tcW w:type="dxa" w:w="1584"/>
            <w:shd w:val="clear" w:color="auto" w:fill="F9FB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3%</w:t>
            </w:r>
          </w:p>
        </w:tc>
        <w:tc>
          <w:tcPr>
            <w:tcW w:type="dxa" w:w="1728"/>
            <w:shd w:val="clear" w:color="auto" w:fill="F9FB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-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13.7 Upon Structure/Masonry Completion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15%</w:t>
            </w:r>
          </w:p>
        </w:tc>
      </w:tr>
      <w:tr>
        <w:tc>
          <w:tcPr>
            <w:tcW w:type="dxa" w:w="3456"/>
            <w:shd w:val="clear" w:color="auto" w:fill="F9FB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13.8 Upon Handover &amp; Key Distribution</w:t>
            </w:r>
          </w:p>
        </w:tc>
        <w:tc>
          <w:tcPr>
            <w:tcW w:type="dxa" w:w="1728"/>
            <w:shd w:val="clear" w:color="auto" w:fill="F9FB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10%</w:t>
            </w:r>
          </w:p>
        </w:tc>
        <w:tc>
          <w:tcPr>
            <w:tcW w:type="dxa" w:w="1584"/>
            <w:shd w:val="clear" w:color="auto" w:fill="F9FB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5%</w:t>
            </w:r>
          </w:p>
        </w:tc>
        <w:tc>
          <w:tcPr>
            <w:tcW w:type="dxa" w:w="1584"/>
            <w:shd w:val="clear" w:color="auto" w:fill="F9FB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2%</w:t>
            </w:r>
          </w:p>
        </w:tc>
        <w:tc>
          <w:tcPr>
            <w:tcW w:type="dxa" w:w="1728"/>
            <w:shd w:val="clear" w:color="auto" w:fill="F9FB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10%</w:t>
            </w:r>
          </w:p>
        </w:tc>
      </w:tr>
    </w:tbl>
    <w:p>
      <w:pPr>
        <w:spacing w:before="320" w:after="120"/>
      </w:pPr>
      <w:r>
        <w:rPr>
          <w:b/>
          <w:color w:val="14325A"/>
          <w:sz w:val="28"/>
        </w:rPr>
        <w:t>6. Operational Regulations &amp; Structuring</w:t>
      </w:r>
    </w:p>
    <w:p>
      <w:pPr>
        <w:pStyle w:val="ListBullet"/>
        <w:spacing w:after="60"/>
      </w:pPr>
      <w:r>
        <w:t>Structural Boundary Deviations (Section 12): Total physical structural variation within ±5% margin of target net area is explicitly accepted. Confirmed property prices won't fluctuate for finalized contract owners.</w:t>
      </w:r>
    </w:p>
    <w:p>
      <w:pPr>
        <w:pStyle w:val="ListBullet"/>
        <w:spacing w:after="60"/>
      </w:pPr>
      <w:r>
        <w:t>Organizational Sector Divisions (Section 15): Implementation tasks are handled via 4 distinct operational desks: Apartment Sales Sector (15.1), General Office Sales Sector (15.2), Sales Agents Sector (15.3), and Freelance / Brokerage Sector (15.4).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D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