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Полугодовой обзор</w:t>
      </w:r>
    </w:p>
    <w:p>
      <w:r>
        <w:t>За полгода продукт достиг стабильного роста во всех сегментах.</w:t>
      </w:r>
    </w:p>
    <w:p>
      <w:pPr>
        <w:pStyle w:val="Heading2"/>
      </w:pPr>
      <w:r>
        <w:t>Динамика по кварталам</w:t>
      </w:r>
    </w:p>
    <w:p>
      <w:r>
        <w:t>Q1: рост конверсии 18%.</w:t>
      </w:r>
    </w:p>
    <w:p>
      <w:r>
        <w:t>Q2: рост конверсии 12%, итого 30% за полугодие.</w:t>
      </w:r>
    </w:p>
    <w:p>
      <w:pPr>
        <w:pStyle w:val="Heading2"/>
      </w:pPr>
      <w:r>
        <w:t>Рекомендации</w:t>
      </w:r>
    </w:p>
    <w:p>
      <w:r>
        <w:t>Продолжить инвестиции в аналитику и удержание.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