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C1D7" w14:textId="32B0252B" w:rsid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Preventivo del cofre de baterías</w:t>
      </w:r>
      <w:r>
        <w:rPr>
          <w:b/>
          <w:bCs/>
          <w:lang w:val="es-ES"/>
        </w:rPr>
        <w:t>.</w:t>
      </w:r>
    </w:p>
    <w:p w14:paraId="49EA8B31" w14:textId="6FE72685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1. Detención y desconexión del sistema</w:t>
      </w:r>
    </w:p>
    <w:p w14:paraId="55486F1D" w14:textId="4F951409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Detener completamente la máquina mediante la pulsación del botón de parada y proceder al apagado del sistema utilizando el interruptor general.</w:t>
      </w:r>
      <w:r w:rsidRPr="00132D6D">
        <w:rPr>
          <w:lang w:val="es-ES"/>
        </w:rPr>
        <w:br/>
        <w:t>Antes de continuar, verificar que no existe ningún movimiento residual y que el sistema permanece fuera de operación.</w:t>
      </w:r>
    </w:p>
    <w:p w14:paraId="56DB9781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2. Aislamiento eléctrico y retirada de la batería</w:t>
      </w:r>
    </w:p>
    <w:p w14:paraId="3AD83ECA" w14:textId="0C5FBAFC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 xml:space="preserve">Accionar el magnetotérmico de la batería, colocándolo en posición </w:t>
      </w:r>
      <w:r w:rsidRPr="00132D6D">
        <w:rPr>
          <w:b/>
          <w:bCs/>
          <w:lang w:val="es-ES"/>
        </w:rPr>
        <w:t>OFF</w:t>
      </w:r>
      <w:r w:rsidRPr="00132D6D">
        <w:rPr>
          <w:lang w:val="es-ES"/>
        </w:rPr>
        <w:t>, asegurando la completa desconexión eléctrica.</w:t>
      </w:r>
      <w:r w:rsidRPr="00132D6D">
        <w:rPr>
          <w:lang w:val="es-ES"/>
        </w:rPr>
        <w:br/>
        <w:t>Una vez aislada, retirar la batería del interior de la máquina utilizando el útil adaptado, garantizando una manipulación estable y segura durante la extracción.</w:t>
      </w:r>
    </w:p>
    <w:p w14:paraId="14EDA78C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3. Verificación del conector del sistema</w:t>
      </w:r>
    </w:p>
    <w:p w14:paraId="74742E3C" w14:textId="37427A6F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Inspeccionar visualmente el conector del sistema, comprobando que no presenta golpes, deformaciones ni signos evidentes de desgaste.</w:t>
      </w:r>
      <w:r w:rsidRPr="00132D6D">
        <w:rPr>
          <w:lang w:val="es-ES"/>
        </w:rPr>
        <w:br/>
        <w:t>Todos los pines deben encontrarse correctamente alineados, en buen estado y sin daños visibles que puedan afectar a la conexión eléctrica.</w:t>
      </w:r>
    </w:p>
    <w:p w14:paraId="281EB400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4. Comprobación del conector del cofre de baterías</w:t>
      </w:r>
    </w:p>
    <w:p w14:paraId="3CEC35BF" w14:textId="77777777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Revisar la integridad del conector ubicado en el cofre de baterías, verificando que el cableado asociado se encuentra en buen estado y correctamente conectado.</w:t>
      </w:r>
      <w:r w:rsidRPr="00132D6D">
        <w:rPr>
          <w:lang w:val="es-ES"/>
        </w:rPr>
        <w:br/>
        <w:t>El terminal debe presentar un aspecto limpio, sin presencia de impurezas, suciedad o corrosión que pueda comprometer la calidad del contacto eléctrico.</w:t>
      </w:r>
    </w:p>
    <w:p w14:paraId="5AA29E66" w14:textId="470CCF46" w:rsidR="00DC778B" w:rsidRDefault="00132D6D">
      <w:pPr>
        <w:rPr>
          <w:lang w:val="es-ES"/>
        </w:rPr>
      </w:pPr>
      <w:r w:rsidRPr="00132D6D">
        <w:rPr>
          <w:b/>
          <w:bCs/>
          <w:lang w:val="es-ES"/>
        </w:rPr>
        <w:t xml:space="preserve">5º Paso: </w:t>
      </w:r>
      <w:r w:rsidRPr="00132D6D">
        <w:rPr>
          <w:lang w:val="es-ES"/>
        </w:rPr>
        <w:t xml:space="preserve">Con </w:t>
      </w:r>
      <w:proofErr w:type="gramStart"/>
      <w:r w:rsidRPr="00132D6D">
        <w:rPr>
          <w:lang w:val="es-ES"/>
        </w:rPr>
        <w:t>la cofre</w:t>
      </w:r>
      <w:proofErr w:type="gramEnd"/>
      <w:r w:rsidRPr="00132D6D">
        <w:rPr>
          <w:lang w:val="es-ES"/>
        </w:rPr>
        <w:t xml:space="preserve"> de baterías desinstalado, accionar su magnetotérmico a la posición de ON y encender el interruptor. Mediante un polímetro comprobamos la tensión de salida de la batería y así comprobar su buen estado</w:t>
      </w:r>
      <w:r>
        <w:rPr>
          <w:lang w:val="es-ES"/>
        </w:rPr>
        <w:t>.</w:t>
      </w:r>
    </w:p>
    <w:p w14:paraId="5A04C1D4" w14:textId="77777777" w:rsidR="00132D6D" w:rsidRDefault="00132D6D">
      <w:pPr>
        <w:rPr>
          <w:b/>
          <w:bCs/>
          <w:lang w:val="es-ES"/>
        </w:rPr>
      </w:pPr>
    </w:p>
    <w:p w14:paraId="48C4D598" w14:textId="77777777" w:rsidR="00132D6D" w:rsidRDefault="00132D6D">
      <w:pPr>
        <w:rPr>
          <w:b/>
          <w:bCs/>
          <w:lang w:val="es-ES"/>
        </w:rPr>
      </w:pPr>
    </w:p>
    <w:p w14:paraId="1E70D99C" w14:textId="77777777" w:rsidR="00132D6D" w:rsidRDefault="00132D6D">
      <w:pPr>
        <w:rPr>
          <w:b/>
          <w:bCs/>
          <w:lang w:val="es-ES"/>
        </w:rPr>
      </w:pPr>
    </w:p>
    <w:p w14:paraId="7011E72E" w14:textId="77777777" w:rsidR="00132D6D" w:rsidRDefault="00132D6D">
      <w:pPr>
        <w:rPr>
          <w:b/>
          <w:bCs/>
          <w:lang w:val="es-ES"/>
        </w:rPr>
      </w:pPr>
    </w:p>
    <w:p w14:paraId="735C9B71" w14:textId="77777777" w:rsidR="00132D6D" w:rsidRDefault="00132D6D">
      <w:pPr>
        <w:rPr>
          <w:b/>
          <w:bCs/>
          <w:lang w:val="es-ES"/>
        </w:rPr>
      </w:pPr>
    </w:p>
    <w:p w14:paraId="7CFF9C15" w14:textId="77777777" w:rsidR="00132D6D" w:rsidRDefault="00132D6D">
      <w:pPr>
        <w:rPr>
          <w:b/>
          <w:bCs/>
          <w:lang w:val="es-ES"/>
        </w:rPr>
      </w:pPr>
    </w:p>
    <w:p w14:paraId="12FE5A5F" w14:textId="77777777" w:rsidR="00132D6D" w:rsidRDefault="00132D6D">
      <w:pPr>
        <w:rPr>
          <w:b/>
          <w:bCs/>
          <w:lang w:val="es-ES"/>
        </w:rPr>
      </w:pPr>
    </w:p>
    <w:p w14:paraId="1B543F9A" w14:textId="7513C876" w:rsidR="00132D6D" w:rsidRDefault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lastRenderedPageBreak/>
        <w:t>Preventivo del panel frontal</w:t>
      </w:r>
    </w:p>
    <w:p w14:paraId="3E6F8379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1. Detención y apagado del sistema</w:t>
      </w:r>
    </w:p>
    <w:p w14:paraId="219234B6" w14:textId="428C3FE8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Detener completamente la máquina mediante la pulsación del botón de parada y proceder al apagado utilizando el interruptor principal.</w:t>
      </w:r>
      <w:r w:rsidRPr="00132D6D">
        <w:rPr>
          <w:lang w:val="es-ES"/>
        </w:rPr>
        <w:br/>
      </w:r>
      <w:proofErr w:type="gramStart"/>
      <w:r w:rsidRPr="00132D6D">
        <w:rPr>
          <w:lang w:val="es-ES"/>
        </w:rPr>
        <w:t>Confirmar</w:t>
      </w:r>
      <w:proofErr w:type="gramEnd"/>
      <w:r w:rsidRPr="00132D6D">
        <w:rPr>
          <w:lang w:val="es-ES"/>
        </w:rPr>
        <w:t xml:space="preserve"> que el sistema permanece inmóvil y fuera de operación antes de continuar con la intervención.</w:t>
      </w:r>
    </w:p>
    <w:p w14:paraId="00FCE9F6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2. Aislamiento eléctrico y acceso al compartimento frontal</w:t>
      </w:r>
    </w:p>
    <w:p w14:paraId="2BC2012E" w14:textId="0C9FE71C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 xml:space="preserve">Accionar el magnetotérmico de la batería, colocándolo en posición </w:t>
      </w:r>
      <w:r w:rsidRPr="00132D6D">
        <w:rPr>
          <w:b/>
          <w:bCs/>
          <w:lang w:val="es-ES"/>
        </w:rPr>
        <w:t>OFF</w:t>
      </w:r>
      <w:r w:rsidRPr="00132D6D">
        <w:rPr>
          <w:lang w:val="es-ES"/>
        </w:rPr>
        <w:t>.</w:t>
      </w:r>
      <w:r w:rsidRPr="00132D6D">
        <w:rPr>
          <w:lang w:val="es-ES"/>
        </w:rPr>
        <w:br/>
        <w:t>Retirar la batería de la máquina utilizando el útil adaptado y levantar la tapa frontal para permitir el acceso a los elementos internos del compartimento.</w:t>
      </w:r>
    </w:p>
    <w:p w14:paraId="4CB40C86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3. Revisión de órganos de accionamiento</w:t>
      </w:r>
    </w:p>
    <w:p w14:paraId="325154D3" w14:textId="77777777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 xml:space="preserve">Realizar una inspección visual de los órganos de accionamiento, incluyendo la botonera de </w:t>
      </w:r>
      <w:r w:rsidRPr="00132D6D">
        <w:rPr>
          <w:b/>
          <w:bCs/>
          <w:lang w:val="es-ES"/>
        </w:rPr>
        <w:t>Inicio</w:t>
      </w:r>
      <w:r w:rsidRPr="00132D6D">
        <w:rPr>
          <w:lang w:val="es-ES"/>
        </w:rPr>
        <w:t xml:space="preserve">, </w:t>
      </w:r>
      <w:r w:rsidRPr="00132D6D">
        <w:rPr>
          <w:b/>
          <w:bCs/>
          <w:lang w:val="es-ES"/>
        </w:rPr>
        <w:t>Parada</w:t>
      </w:r>
      <w:r w:rsidRPr="00132D6D">
        <w:rPr>
          <w:lang w:val="es-ES"/>
        </w:rPr>
        <w:t xml:space="preserve">, </w:t>
      </w:r>
      <w:r w:rsidRPr="00132D6D">
        <w:rPr>
          <w:b/>
          <w:bCs/>
          <w:lang w:val="es-ES"/>
        </w:rPr>
        <w:t>Rearme</w:t>
      </w:r>
      <w:r w:rsidRPr="00132D6D">
        <w:rPr>
          <w:lang w:val="es-ES"/>
        </w:rPr>
        <w:t xml:space="preserve"> y el </w:t>
      </w:r>
      <w:r w:rsidRPr="00132D6D">
        <w:rPr>
          <w:b/>
          <w:bCs/>
          <w:lang w:val="es-ES"/>
        </w:rPr>
        <w:t>Interruptor general</w:t>
      </w:r>
      <w:r w:rsidRPr="00132D6D">
        <w:rPr>
          <w:lang w:val="es-ES"/>
        </w:rPr>
        <w:t>.</w:t>
      </w:r>
      <w:r w:rsidRPr="00132D6D">
        <w:rPr>
          <w:lang w:val="es-ES"/>
        </w:rPr>
        <w:br/>
        <w:t>Verificar que no presentan daños físicos ni desplazamientos anómalos.</w:t>
      </w:r>
    </w:p>
    <w:p w14:paraId="48BA9033" w14:textId="2EC987DE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Comprobar el correcto crimpado de las conexiones asociadas a los indicadores luminosos, asegurándose de que los cables no se encuentran excesivamente tensados ni presentan signos de fatiga o deterioro.</w:t>
      </w:r>
    </w:p>
    <w:p w14:paraId="383AE119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4. Reinstalación y verificación funcional</w:t>
      </w:r>
    </w:p>
    <w:p w14:paraId="45DA5D7D" w14:textId="77777777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 xml:space="preserve">Instalar nuevamente la batería con el magnetotérmico en posición </w:t>
      </w:r>
      <w:r w:rsidRPr="00132D6D">
        <w:rPr>
          <w:b/>
          <w:bCs/>
          <w:lang w:val="es-ES"/>
        </w:rPr>
        <w:t>OFF</w:t>
      </w:r>
      <w:r w:rsidRPr="00132D6D">
        <w:rPr>
          <w:lang w:val="es-ES"/>
        </w:rPr>
        <w:t>.</w:t>
      </w:r>
      <w:r w:rsidRPr="00132D6D">
        <w:rPr>
          <w:lang w:val="es-ES"/>
        </w:rPr>
        <w:br/>
        <w:t xml:space="preserve">Una vez colocada, accionar el magnetotérmico a la posición </w:t>
      </w:r>
      <w:r w:rsidRPr="00132D6D">
        <w:rPr>
          <w:b/>
          <w:bCs/>
          <w:lang w:val="es-ES"/>
        </w:rPr>
        <w:t>ON</w:t>
      </w:r>
      <w:r w:rsidRPr="00132D6D">
        <w:rPr>
          <w:lang w:val="es-ES"/>
        </w:rPr>
        <w:t>, encender la batería y poner el sistema en marcha.</w:t>
      </w:r>
    </w:p>
    <w:p w14:paraId="188D0621" w14:textId="07CEE148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Accionar los distintos elementos de la botonera y verificar que la máquina responde correctamente a cada orden, ejecutando las acciones esperadas y mostrando la señalización luminosa conforme al patrón establecido.</w:t>
      </w:r>
      <w:r w:rsidRPr="00132D6D">
        <w:rPr>
          <w:lang w:val="es-ES"/>
        </w:rPr>
        <w:br/>
        <w:t>En caso de disponer de un sistema de proyección luminosa auxiliar, comprobar su correcta iluminación, alineación y funcionamiento, realizando un reapriete si fuese necesario.</w:t>
      </w:r>
    </w:p>
    <w:p w14:paraId="7530EDB0" w14:textId="73341FEB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5. Comprobación de pantallas</w:t>
      </w:r>
      <w:r>
        <w:rPr>
          <w:b/>
          <w:bCs/>
          <w:lang w:val="es-ES"/>
        </w:rPr>
        <w:t>.</w:t>
      </w:r>
    </w:p>
    <w:p w14:paraId="711B60A3" w14:textId="77777777" w:rsidR="00132D6D" w:rsidRPr="00132D6D" w:rsidRDefault="00132D6D" w:rsidP="00132D6D">
      <w:pPr>
        <w:rPr>
          <w:lang w:val="es-ES"/>
        </w:rPr>
      </w:pPr>
      <w:r w:rsidRPr="00132D6D">
        <w:rPr>
          <w:lang w:val="es-ES"/>
        </w:rPr>
        <w:t>Localizar la(s) pantalla(s) de interfaz hombre-máquina y realizar las siguientes verificaciones en cada una de ellas:</w:t>
      </w:r>
    </w:p>
    <w:p w14:paraId="4257360A" w14:textId="77777777" w:rsidR="00132D6D" w:rsidRPr="00132D6D" w:rsidRDefault="00132D6D" w:rsidP="00132D6D">
      <w:pPr>
        <w:numPr>
          <w:ilvl w:val="0"/>
          <w:numId w:val="10"/>
        </w:numPr>
        <w:rPr>
          <w:lang w:val="es-ES"/>
        </w:rPr>
      </w:pPr>
      <w:r w:rsidRPr="00132D6D">
        <w:rPr>
          <w:lang w:val="es-ES"/>
        </w:rPr>
        <w:t>Comprobar la integridad física de la pantalla.</w:t>
      </w:r>
    </w:p>
    <w:p w14:paraId="26C0FBF8" w14:textId="77777777" w:rsidR="00132D6D" w:rsidRPr="00132D6D" w:rsidRDefault="00132D6D" w:rsidP="00132D6D">
      <w:pPr>
        <w:numPr>
          <w:ilvl w:val="0"/>
          <w:numId w:val="10"/>
        </w:numPr>
        <w:rPr>
          <w:lang w:val="es-ES"/>
        </w:rPr>
      </w:pPr>
      <w:r w:rsidRPr="00132D6D">
        <w:rPr>
          <w:lang w:val="es-ES"/>
        </w:rPr>
        <w:t>Verificar que la iluminación es correcta, que la visualización es completa y que no existen golpes ni daños visibles.</w:t>
      </w:r>
    </w:p>
    <w:p w14:paraId="548F26DE" w14:textId="77777777" w:rsidR="00132D6D" w:rsidRPr="00132D6D" w:rsidRDefault="00132D6D" w:rsidP="00132D6D">
      <w:pPr>
        <w:numPr>
          <w:ilvl w:val="0"/>
          <w:numId w:val="10"/>
        </w:numPr>
        <w:rPr>
          <w:lang w:val="es-ES"/>
        </w:rPr>
      </w:pPr>
      <w:r w:rsidRPr="00132D6D">
        <w:rPr>
          <w:lang w:val="es-ES"/>
        </w:rPr>
        <w:lastRenderedPageBreak/>
        <w:t>Acceder al menú y confirmar que responde adecuadamente a las órdenes introducidas.</w:t>
      </w:r>
    </w:p>
    <w:p w14:paraId="12D30152" w14:textId="77777777" w:rsidR="00132D6D" w:rsidRPr="00132D6D" w:rsidRDefault="00132D6D" w:rsidP="00132D6D">
      <w:pPr>
        <w:numPr>
          <w:ilvl w:val="0"/>
          <w:numId w:val="10"/>
        </w:numPr>
        <w:rPr>
          <w:lang w:val="es-ES"/>
        </w:rPr>
      </w:pPr>
      <w:r w:rsidRPr="00132D6D">
        <w:rPr>
          <w:lang w:val="es-ES"/>
        </w:rPr>
        <w:t>Navegar por las distintas opciones del menú para comprobar el correcto funcionamiento táctil en todas las zonas de la superficie.</w:t>
      </w:r>
    </w:p>
    <w:p w14:paraId="43E66521" w14:textId="5515970D" w:rsidR="00132D6D" w:rsidRPr="00132D6D" w:rsidRDefault="00132D6D" w:rsidP="00132D6D">
      <w:pPr>
        <w:rPr>
          <w:lang w:val="es-ES"/>
        </w:rPr>
      </w:pPr>
    </w:p>
    <w:p w14:paraId="78C2819F" w14:textId="77777777" w:rsidR="00132D6D" w:rsidRPr="00132D6D" w:rsidRDefault="00132D6D" w:rsidP="00132D6D">
      <w:pPr>
        <w:rPr>
          <w:b/>
          <w:bCs/>
          <w:lang w:val="es-ES"/>
        </w:rPr>
      </w:pPr>
      <w:r w:rsidRPr="00132D6D">
        <w:rPr>
          <w:b/>
          <w:bCs/>
          <w:lang w:val="es-ES"/>
        </w:rPr>
        <w:t>Paso 6. Actuación ante comportamientos anómalos</w:t>
      </w:r>
    </w:p>
    <w:p w14:paraId="58F39A69" w14:textId="77777777" w:rsidR="00132D6D" w:rsidRDefault="00132D6D" w:rsidP="00132D6D">
      <w:pPr>
        <w:rPr>
          <w:lang w:val="es-ES"/>
        </w:rPr>
      </w:pPr>
      <w:r w:rsidRPr="00132D6D">
        <w:rPr>
          <w:lang w:val="es-ES"/>
        </w:rPr>
        <w:t>En caso de que alguna de las comprobaciones anteriores presente un comportamiento anómalo, el sistema deberá ser evaluado conforme al procedimiento de mantenimiento correctivo o configuración de la interfaz correspondiente antes de reanudar la operación normal.</w:t>
      </w:r>
    </w:p>
    <w:p w14:paraId="2E78B8FE" w14:textId="77777777" w:rsidR="008E5769" w:rsidRPr="00132D6D" w:rsidRDefault="008E5769" w:rsidP="00132D6D">
      <w:pPr>
        <w:rPr>
          <w:lang w:val="es-ES"/>
        </w:rPr>
      </w:pPr>
    </w:p>
    <w:p w14:paraId="6DB24C26" w14:textId="518C883D" w:rsidR="00132D6D" w:rsidRDefault="008E5769">
      <w:pPr>
        <w:rPr>
          <w:b/>
          <w:bCs/>
          <w:lang w:val="es-ES"/>
        </w:rPr>
      </w:pPr>
      <w:proofErr w:type="gramStart"/>
      <w:r w:rsidRPr="008E5769">
        <w:rPr>
          <w:b/>
          <w:bCs/>
          <w:lang w:val="es-ES"/>
        </w:rPr>
        <w:t>Preventivo limpieza</w:t>
      </w:r>
      <w:proofErr w:type="gramEnd"/>
    </w:p>
    <w:p w14:paraId="61CB2713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1º Paso</w:t>
      </w:r>
      <w:r w:rsidRPr="008E5769">
        <w:rPr>
          <w:lang w:val="es-ES"/>
        </w:rPr>
        <w:t xml:space="preserve">: Detener la máquina presionando el botón de stop y apagar la máquina del interruptor. </w:t>
      </w:r>
    </w:p>
    <w:p w14:paraId="49A6DD11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2º Paso</w:t>
      </w:r>
      <w:r w:rsidRPr="008E5769">
        <w:rPr>
          <w:lang w:val="es-ES"/>
        </w:rPr>
        <w:t xml:space="preserve">: Accionar el magnetotérmico de la batería a la posición OFF y retirar la batería de la máquina con el útil adaptado. Retirar la batería con el útil adaptado. </w:t>
      </w:r>
    </w:p>
    <w:p w14:paraId="217BB4DD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3º Paso</w:t>
      </w:r>
      <w:r w:rsidRPr="008E5769">
        <w:rPr>
          <w:lang w:val="es-ES"/>
        </w:rPr>
        <w:t xml:space="preserve">: Mediante trapos, eliminar la suciedad superficial del chasis. </w:t>
      </w:r>
    </w:p>
    <w:p w14:paraId="21D6340A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4º Paso</w:t>
      </w:r>
      <w:r w:rsidRPr="008E5769">
        <w:rPr>
          <w:lang w:val="es-ES"/>
        </w:rPr>
        <w:t xml:space="preserve">: Mediante un jabón desengrasante y trapos limpios limpiar completamente el chasis de la máquina. Poner especial atención a elementos visibles y de control como son la consola, botonera y pulsadores de seguridad. Evitar el uso de jabón en la limpieza de elementos electrónicos, eléctricos y la cúpula de escáner, que podrían verse afectados. </w:t>
      </w:r>
    </w:p>
    <w:p w14:paraId="31972E7D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5º Paso</w:t>
      </w:r>
      <w:r w:rsidRPr="008E5769">
        <w:rPr>
          <w:lang w:val="es-ES"/>
        </w:rPr>
        <w:t xml:space="preserve">: Abrir las tapas superiores, frontal y de la mochila trasera, si precisa, para visualizar su interior. </w:t>
      </w:r>
    </w:p>
    <w:p w14:paraId="0FDF367F" w14:textId="77777777" w:rsidR="008E5769" w:rsidRPr="008E5769" w:rsidRDefault="008E5769" w:rsidP="008E5769">
      <w:pPr>
        <w:rPr>
          <w:lang w:val="es-ES"/>
        </w:rPr>
      </w:pPr>
      <w:r w:rsidRPr="008E5769">
        <w:rPr>
          <w:b/>
          <w:bCs/>
          <w:lang w:val="es-ES"/>
        </w:rPr>
        <w:t>6º Paso</w:t>
      </w:r>
      <w:r w:rsidRPr="008E5769">
        <w:rPr>
          <w:lang w:val="es-ES"/>
        </w:rPr>
        <w:t xml:space="preserve">: Mediante un aspirador adecuado, aspirar todos los elementos electrónicos, eléctricos y mecánicos. </w:t>
      </w:r>
    </w:p>
    <w:p w14:paraId="2AD230A2" w14:textId="013A6BC0" w:rsidR="008E5769" w:rsidRPr="008E5769" w:rsidRDefault="008E5769" w:rsidP="008E5769">
      <w:pPr>
        <w:rPr>
          <w:lang w:val="es-ES"/>
        </w:rPr>
      </w:pPr>
      <w:r w:rsidRPr="008E5769">
        <w:rPr>
          <w:lang w:val="es-ES"/>
        </w:rPr>
        <w:t>Con especial atención a la mecánica del pin de arrastre, la parte superior de la RFID, el interior de la mochila trasera y el exterior e interior del grupo motor, que son aquellos lugares donde con mayor cantidad y frecuencia se acumula suciedad y elementos externos que se puede afectar a su correcto funcionamiento de la máquina.</w:t>
      </w:r>
    </w:p>
    <w:p w14:paraId="1288F9C4" w14:textId="77777777" w:rsidR="008E5769" w:rsidRPr="00132D6D" w:rsidRDefault="008E5769">
      <w:pPr>
        <w:rPr>
          <w:lang w:val="es-ES"/>
        </w:rPr>
      </w:pPr>
    </w:p>
    <w:sectPr w:rsidR="008E5769" w:rsidRPr="00132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8F001A"/>
    <w:multiLevelType w:val="multilevel"/>
    <w:tmpl w:val="3FF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36165">
    <w:abstractNumId w:val="8"/>
  </w:num>
  <w:num w:numId="2" w16cid:durableId="17051823">
    <w:abstractNumId w:val="6"/>
  </w:num>
  <w:num w:numId="3" w16cid:durableId="461194302">
    <w:abstractNumId w:val="5"/>
  </w:num>
  <w:num w:numId="4" w16cid:durableId="228610942">
    <w:abstractNumId w:val="4"/>
  </w:num>
  <w:num w:numId="5" w16cid:durableId="1028722035">
    <w:abstractNumId w:val="7"/>
  </w:num>
  <w:num w:numId="6" w16cid:durableId="2105421057">
    <w:abstractNumId w:val="3"/>
  </w:num>
  <w:num w:numId="7" w16cid:durableId="707877633">
    <w:abstractNumId w:val="2"/>
  </w:num>
  <w:num w:numId="8" w16cid:durableId="71393155">
    <w:abstractNumId w:val="1"/>
  </w:num>
  <w:num w:numId="9" w16cid:durableId="799110320">
    <w:abstractNumId w:val="0"/>
  </w:num>
  <w:num w:numId="10" w16cid:durableId="199448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D6D"/>
    <w:rsid w:val="0015074B"/>
    <w:rsid w:val="0029639D"/>
    <w:rsid w:val="00326F90"/>
    <w:rsid w:val="008E5769"/>
    <w:rsid w:val="00986948"/>
    <w:rsid w:val="00AA1D8D"/>
    <w:rsid w:val="00B14AB9"/>
    <w:rsid w:val="00B47730"/>
    <w:rsid w:val="00CB0664"/>
    <w:rsid w:val="00DC77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23627"/>
  <w14:defaultImageDpi w14:val="300"/>
  <w15:docId w15:val="{BAA971F2-F5F1-4262-A48C-2998FB35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Altuzarra García</cp:lastModifiedBy>
  <cp:revision>4</cp:revision>
  <dcterms:created xsi:type="dcterms:W3CDTF">2013-12-23T23:15:00Z</dcterms:created>
  <dcterms:modified xsi:type="dcterms:W3CDTF">2026-04-28T07:01:00Z</dcterms:modified>
  <cp:category/>
</cp:coreProperties>
</file>