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Enseñanza del sistema nervioso en segundo medio</w:t>
      </w:r>
    </w:p>
    <w:p>
      <w:r>
        <w:rPr>
          <w:b/>
        </w:rPr>
        <w:t>Planificación de la secuencia digital y registro de evidencias para la Unidad Técnico Pedagógica</w:t>
      </w:r>
    </w:p>
    <w:p>
      <w:r>
        <w:rPr>
          <w:b w:val="0"/>
        </w:rPr>
        <w:t>Establecimiento: Liceo Bicentenario de Excelencia Polivalente San Nicolás.</w:t>
        <w:br/>
        <w:t>Recurso: NeuroAula. Preparado para el equipo docente y de apoyo.</w:t>
        <w:br/>
        <w:t>Destinatarios de resultados: Belén Acuña y Francisco Pinto.</w:t>
        <w:br/>
        <w:t>Fecha de elaboración: 26 de septiembre de 2026. Versión 2.0.</w:t>
      </w:r>
    </w:p>
    <w:p>
      <w:pPr>
        <w:pStyle w:val="Heading2"/>
      </w:pPr>
      <w:r>
        <w:t>Propósito y alcance</w:t>
      </w:r>
    </w:p>
    <w:p>
      <w:r>
        <w:rPr>
          <w:b w:val="0"/>
        </w:rPr>
        <w:t>Se propone una secuencia de cuatro clases que transforma las presentaciones aportadas en pasos visuales breves, preguntas de aplicación y evaluaciones formativas. El hilo conductor sigue una señal desde la detección de un estímulo hasta la respuesta, pasando por estructuras, impulso nervioso y sinapsis. Los apoyos de acceso se dirigen al curso y pueden ajustarse a estudiantes con TDAH sin reducir el objetivo conceptual.</w:t>
      </w:r>
    </w:p>
    <w:p>
      <w:r>
        <w:rPr>
          <w:b w:val="0"/>
        </w:rPr>
        <w:t>Este documento acredita el diseño del recurso y entrega un formato para documentar su aplicación. No acredita asistencia, logro, mejora de atención ni resultados de estudiantes: esos antecedentes deben registrarse después de la clase. La solicitud de envío por correo está implementada con FormSubmit y requiere una activación inicial y una prueba controlada de recepción.</w:t>
      </w:r>
    </w:p>
    <w:p>
      <w:pPr>
        <w:pStyle w:val="Heading2"/>
      </w:pPr>
      <w:r>
        <w:t>Vinculación curricular</w:t>
      </w:r>
    </w:p>
    <w:p>
      <w:r>
        <w:rPr>
          <w:b w:val="0"/>
        </w:rPr>
        <w:t>Referencia: CN2M OA 01, Ciencias Naturales, 2° medio, MINEDUC. Se aborda la coordinación del organismo ante estímulos por señales neuronales y el cuidado del sistema nervioso en relación con descanso, sustancias y prevención de traumatismos. Esta formulación es una síntesis; el enlace al objetivo oficial figura en las fuentes.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6"/>
        <w:gridCol w:w="4320"/>
      </w:tblGrid>
      <w:tr>
        <w:trPr>
          <w:cantSplit/>
          <w:tblHeader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Aprendizaje esperado de la secuencia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Evidencia observable</w:t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Distinguir SNC, SNP, neuronas y glía.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Rotula estructuras y explica funciones en una ruta.</w:t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Explicar un reflejo y vincular anatomía con función.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Ordena el circuito y justifica el papel de la médula.</w:t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Interpretar el potencial de acción.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Relaciona fases, voltaje, Na⁺, K⁺ y mielina.</w:t>
            </w:r>
          </w:p>
        </w:tc>
      </w:tr>
      <w:tr>
        <w:trPr>
          <w:cantSplit/>
        </w:trPr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Comparar sinapsis y fundamentar medidas de cuidado.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Explica mecanismos y analiza un caso sin diagnosticar.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Correspondencia con el material docente</w:t>
      </w:r>
    </w:p>
    <w:p>
      <w:r>
        <w:rPr>
          <w:b w:val="0"/>
        </w:rPr>
        <w:t>Se revisaron las 72 diapositivas de los cuatro archivos recibidos, principalmente compuestas por imágenes. La web reorganiza sus contenidos en 29 pasos. Incorpora láminas clave junto a explicaciones accesibles en texto y permite desplegar las 72 diapositivas originales en galerías por clase.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5112"/>
        <w:gridCol w:w="1944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Presentación aportada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Contenidos incorporados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Organización web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Clase N°1 Sistema nervioso</w:t>
              <w:br/>
              <w:t>19 diapositivas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Coordinación; SNC y SNP; neurona; tipos funcionales; astrocitos, microglía, oligodendrocitos, Schwann, ependimarias y satélite.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Clase 1</w:t>
              <w:br/>
              <w:t>6 pasos</w:t>
              <w:br/>
              <w:t>8 preguntas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Clase 2 Arco reflejo anatomía enfermedades</w:t>
              <w:br/>
              <w:t>20 diapositivas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Circuito de retirada y rotuliano; encéfalo y lóbulos; meninges; raíces medulares; mielina; enfermedades desmielinizantes y neurodegenerativas.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Clase 2</w:t>
              <w:br/>
              <w:t>9 pasos</w:t>
              <w:br/>
              <w:t>8 preguntas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Clase 3 Impulso nervioso</w:t>
              <w:br/>
              <w:t>15 diapositivas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Reposo, umbral, despolarización, repolarización, refractariedad, gráfico y conducción saltatoria. Enlace a PhET conservado como recurso externo.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Clase 3</w:t>
              <w:br/>
              <w:t>6 pasos</w:t>
              <w:br/>
              <w:t>8 preguntas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Clase 4 Sinapsis y drogas</w:t>
              <w:br/>
              <w:t>18 diapositivas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Sinapsis química y eléctrica; receptores; simpático y parasimpático; cafeína, THC, alcohol; cuidado del sistema nervioso.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Clase 4</w:t>
              <w:br/>
              <w:t>8 pasos</w:t>
              <w:br/>
              <w:t>8 preguntas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pPr>
        <w:pStyle w:val="Heading2"/>
      </w:pPr>
      <w:r>
        <w:t>Precisiones científicas incorporadas</w:t>
      </w:r>
    </w:p>
    <w:p>
      <w:r>
        <w:rPr>
          <w:b w:val="0"/>
        </w:rPr>
        <w:t>Clase 4, diapositiva 13: la distribución visual ubica cafeína bajo agonista y THC bajo antagonista. La web enseña cafeína como antagonista de receptores de adenosina y THC como agonista parcial cannabinoide. La lámina original se conserva con una advertencia junto a ella. Se recomienda corregir esas columnas antes de proyectar el PPT original.</w:t>
      </w:r>
    </w:p>
    <w:p>
      <w:r>
        <w:rPr>
          <w:b w:val="0"/>
        </w:rPr>
        <w:t>En el arco reflejo se diferencia el circuito de la respuesta observable y se explica que la médula pertenece al SNC. La retirada es polisináptica; el componente excitador principal del reflejo rotuliano es monosináptico. No todos los reflejos se integran en la médula.</w:t>
      </w:r>
    </w:p>
    <w:p>
      <w:r>
        <w:rPr>
          <w:b w:val="0"/>
        </w:rPr>
        <w:t>El potencial de acción se regenera a lo largo del axón y no “salta por el aire”. Los valores de voltaje son ilustrativos. La bomba Na⁺/K⁺ mantiene gradientes y los canales explican las fases rápidas. La sinapsis química puede excitar o inhibir, sin garantizar un nuevo potencial en cada contacto.</w:t>
      </w:r>
    </w:p>
    <w:p>
      <w:r>
        <w:br w:type="page"/>
      </w:r>
    </w:p>
    <w:p>
      <w:pPr>
        <w:pStyle w:val="Heading1"/>
      </w:pPr>
      <w:r>
        <w:t>Secuencia de clases y productos</w:t>
      </w:r>
    </w:p>
    <w:p>
      <w:r>
        <w:rPr>
          <w:b w:val="0"/>
        </w:rPr>
        <w:t>Duración sugerida: cuatro sesiones de 90 minutos, divisibles en bloques de 45 minutos. El correo original indica que la clase 1 ya fue revisada; puede emplearse como repaso diagnóstico. Una sesión adicional de 45 minutos permite aplicar el simulacro y retroalimentar. Los tiempos son orientativos y admiten ajustes individuales.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032"/>
        <w:gridCol w:w="4248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Clase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Trabajo del estudiante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Producto y criterio de logro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</w:t>
              <w:br/>
              <w:t>Organización y células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Parte del caso de una pelota. Explora la ruta sensorial y motora; distingue SNC y SNP; explica las partes de una neurona y el aporte de las glías.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Esquema rotulado y explicación oral de 30 segundos. Diferencia receptor, centro integrador y efector, sin atribuir todas las funciones al cerebro.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2</w:t>
              <w:br/>
              <w:t>Reflejo y anatomía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Ordena la retirada; compara con el rotuliano en un modelo; ubica lóbulos, meninges y raíces; analiza un caso ficticio de daño de mielina.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Explicación con afirmación, evidencia y razonamiento. Relaciona una estructura con una consecuencia posible, sin diagnosticar.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3</w:t>
              <w:br/>
              <w:t>Impulso nervioso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Interpreta ejes y fases de un gráfico; identifica entrada de Na⁺ y salida de K⁺; compara conducción continua y saltatoria. Puede usar PhET con guía.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Gráfico rotulado y explicación de 30 segundos. Relaciona fase, ion y cambio de voltaje; distingue frecuencia de amplitud.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4</w:t>
              <w:br/>
              <w:t>Sinapsis y cuidado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Compara transmisión química y eléctrica; explica receptores; analiza simpático y parasimpático; relaciona sustancias con mecanismos y cuidado.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Tabla comparativa y recomendación fundamentada. Explica un mecanismo y su consecuencia sin estigmatizar ni solicitar experiencias personales.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pPr>
        <w:pStyle w:val="Heading2"/>
      </w:pPr>
      <w:r>
        <w:t>Distribución sugerida de cada sesión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008"/>
        <w:gridCol w:w="6552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Intervención docente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Activación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10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Recuperar una idea anterior y presentar una pregunta guía.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Exploración inicial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15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Mostrar pocos pasos y solicitar una explicación breve.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Pausa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5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Ofrecer movimiento suave o descanso visual voluntario.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Exploración final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15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Completar el modelo y comprobar comprensión.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Aplicación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20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Producir el esquema, gráfico o explicación de la clase.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Quiz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15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Responder ocho preguntas y revisar sus explicaciones.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Cierre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10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Recoger un ticket de salida y definir qué reforzar.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Apoyos para la atención y evaluación de explicaciones</w:t>
      </w:r>
    </w:p>
    <w:p>
      <w:r>
        <w:rPr>
          <w:b w:val="0"/>
        </w:rPr>
        <w:t>La segmentación, las instrucciones claras, la retroalimentación y las pausas son apoyos de aula compatibles con las orientaciones de los CDC. Su utilidad debe observarse en cada estudiante. El recurso no diagnostica ni trata TDAH, y no garantiza mantener la atención por un tiempo determinado.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960"/>
        <w:gridCol w:w="309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Necesidad observada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Apoyo disponible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Qué registrar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Dificultad para iniciar o seguir varios pasos.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Una consigna visible por bloque; anticipar el recorrido; pedir que reformule la instrucción.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Tipo de recordatorio y nivel de autonomía posterior.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Distracción o sobrecarga visual.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Modo enfoque; texto ampliable; láminas desplegables; ausencia de sonido y animación automática.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Qué configuración facilita participación y comprensión.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Fatiga o necesidad de movimiento.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Pausas flexibles; continuar en el mismo punto mientras la página permanezca abierta.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Pausa aplicada y retorno a la tarea, sin penalización.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Dificultad para expresar por escrito.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Respuesta oral, lectura acompañada o apoyo acordado con el equipo docente y PIE.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Modalidad utilizada y evidencia del mismo objetivo conceptual.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pPr>
        <w:pStyle w:val="Heading2"/>
      </w:pPr>
      <w:r>
        <w:t>Rúbrica breve para la actividad de aplicación</w:t>
      </w:r>
    </w:p>
    <w:p>
      <w:r>
        <w:rPr>
          <w:b w:val="0"/>
        </w:rPr>
        <w:t>Puntaje sugerido de 0 a 8. Se aplica al producto oral o escrito de cada clase y complementa el quiz. No forma parte de la corrección automática de la web.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880"/>
        <w:gridCol w:w="2736"/>
        <w:gridCol w:w="2736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2 puntos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1 punto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0 puntos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Afirmación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Responde el problema con una idea científicamente adecuada.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Idea parcialmente adecuada o poco precisa.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No responde o mantiene una idea incompatible.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Evidencia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Usa un dato relevante del caso, gráfico o modelo.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Menciona un dato sin vincularlo con claridad.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No usa evidencia pertinente.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Razonamiento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Relaciona estructura, mecanismo y consecuencia.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La relación está incompleta.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No explica la relación causal.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Comunicación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Ordena su explicación y usa términos clave comprensibles.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Se entiende con aclaraciones.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No permite reconocer la explicación.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r>
        <w:rPr>
          <w:b w:val="0"/>
        </w:rPr>
        <w:t>Ejemplo de respuesta: “La conducción puede alterarse” (afirmación); “el caso informa daño de mielina” (evidencia); “la mielina favorece la conducción rápida y su alteración puede dificultarla” (razonamiento). Aceptar formulaciones equivalentes científicamente correctas. Registrar los apoyos sin descontar puntaje por utilizarlos.</w:t>
      </w:r>
    </w:p>
    <w:p>
      <w:r>
        <w:br w:type="page"/>
      </w:r>
    </w:p>
    <w:p>
      <w:pPr>
        <w:pStyle w:val="Heading1"/>
      </w:pPr>
      <w:r>
        <w:t>Instrumentos y criterios de corrección</w:t>
      </w:r>
    </w:p>
    <w:p>
      <w:r>
        <w:rPr>
          <w:b w:val="0"/>
        </w:rPr>
        <w:t>Los cuatro quizzes contienen ocho preguntas cada uno y retroalimentación inmediata. El simulacro contiene 20 preguntas distintas, cinco por clase, con revisión antes de finalizar y explicaciones al cierre. Cada acierto vale un punto; no hay descuento por error ni límite de tiempo automático. El porcentaje es formativo y no se transforma automáticamente en nota.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384"/>
        <w:gridCol w:w="2880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Clase y foco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Quiz en orden de aplicación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Simulacro en orden global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 Organización y células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q1 a q5 y q21 a q23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 a 4 y 17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2 Reflejo y anatomía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q6 a q10 y q24 a q26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5 a 8 y 18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3 Impulso y gráfico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q11 a q15 y q27 a q29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9 a 12 y 19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4 Sinapsis y cuidado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q16 a q20 y q30 a q32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13 a 16 y 20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pPr>
        <w:pStyle w:val="Heading2"/>
      </w:pPr>
      <w:r>
        <w:t>Clave de los quizzes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000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Clase</w:t>
            </w:r>
          </w:p>
        </w:tc>
        <w:tc>
          <w:tcPr>
            <w:tcW w:type="dxa" w:w="90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Respuestas en orden de aparición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</w:t>
            </w:r>
          </w:p>
        </w:tc>
        <w:tc>
          <w:tcPr>
            <w:tcW w:type="dxa" w:w="90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 B · 2 C · 3 A · 4 D · 5 B · 6 A · 7 C · 8 B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2</w:t>
            </w:r>
          </w:p>
        </w:tc>
        <w:tc>
          <w:tcPr>
            <w:tcW w:type="dxa" w:w="90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 C · 2 A · 3 D · 4 B · 5 C · 6 D · 7 B · 8 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3</w:t>
            </w:r>
          </w:p>
        </w:tc>
        <w:tc>
          <w:tcPr>
            <w:tcW w:type="dxa" w:w="90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 A · 2 D · 3 B · 4 C · 5 A · 6 C · 7 D · 8 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4</w:t>
            </w:r>
          </w:p>
        </w:tc>
        <w:tc>
          <w:tcPr>
            <w:tcW w:type="dxa" w:w="90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 D · 2 B · 3 C · 4 A · 5 D · 6 B · 7 C · 8 D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pPr>
        <w:pStyle w:val="Heading2"/>
      </w:pPr>
      <w:r>
        <w:t>Clave del simulacro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Preguntas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Respuestas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 a 5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 B · 2 C · 3 A · 4 D · 5 B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6 a 10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6 C · 7 A · 8 D · 9 B · 10 C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11 a 15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11 A · 12 D · 13 B · 14 C · 15 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16 a 20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16 D · 17 A · 18 B · 19 C · 20 D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pPr>
        <w:pStyle w:val="Heading2"/>
      </w:pPr>
      <w:r>
        <w:t>Uso de los resultados</w:t>
      </w:r>
    </w:p>
    <w:p>
      <w:r>
        <w:rPr>
          <w:b w:val="0"/>
        </w:rPr>
        <w:t>Contrastar el puntaje con las explicaciones y productos de aula. Priorizar errores persistentes; un mejor segundo intento puede reflejar familiaridad con las preguntas.</w:t>
      </w:r>
    </w:p>
    <w:p>
      <w:r>
        <w:rPr>
          <w:b w:val="0"/>
        </w:rPr>
        <w:t>Uso formativo: las claves y el cálculo se incluyen en el código cliente. El recurso no es una prueba segura ni permite inferir un diagnóstico o eficacia clínica.</w:t>
      </w:r>
    </w:p>
    <w:p>
      <w:r>
        <w:br w:type="page"/>
      </w:r>
    </w:p>
    <w:p>
      <w:pPr>
        <w:pStyle w:val="Heading1"/>
      </w:pPr>
      <w:r>
        <w:t>Registro de aplicación y evidencias para UTP</w:t>
      </w:r>
    </w:p>
    <w:p>
      <w:r>
        <w:rPr>
          <w:b w:val="0"/>
        </w:rPr>
        <w:t>Completar después de aplicar la actividad. Los espacios siguientes se dejan sin datos porque no se ha documentado una aplicación real. Utilizar identificadores o resultados agregados en la copia destinada a UTP cuando no sea necesario identificar estudiantes.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6192"/>
      </w:tblGrid>
      <w:tr>
        <w:trPr>
          <w:cantSplit/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Antecedente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Registro docente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Docente responsable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Curso y sección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Fecha y horario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Clases o pasos trabajados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Estudiantes convocados y participantes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Convocados: ______   Participantes: ______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Apoyos efectivamente utilizados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________________________________________________</w:t>
              <w:br/>
              <w:t>________________________________________________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pPr>
        <w:pStyle w:val="Heading2"/>
      </w:pPr>
      <w:r>
        <w:t>Resultados reales de la actividad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2088"/>
        <w:gridCol w:w="4320"/>
      </w:tblGrid>
      <w:tr>
        <w:trPr>
          <w:cantSplit/>
          <w:tblHeader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Dato registrado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F5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Fuente de evidencia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Quizzes completados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____________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Archivos de resultado o correos confirmados.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Simulacros completados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____________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Archivos de resultado o correos confirmados.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Contenido con mayor logro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____________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Desglose por clase y explicación observada.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Contenido por reforzar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____________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Ítems con error y productos de aplicación.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Participación y uso de apoyos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____________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8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color w:val="203348"/>
                <w:sz w:val="20"/>
              </w:rPr>
              <w:t>Registro de observación docente.</w:t>
            </w:r>
          </w:p>
        </w:tc>
      </w:tr>
    </w:tbl>
    <w:p>
      <w:pPr>
        <w:spacing w:after="60" w:before="0" w:line="20" w:lineRule="exact"/>
      </w:pPr>
      <w:r>
        <w:rPr>
          <w:sz w:val="2"/>
        </w:rPr>
      </w:r>
    </w:p>
    <w:p>
      <w:pPr>
        <w:pStyle w:val="Heading2"/>
      </w:pPr>
      <w:r>
        <w:t>Interpretación y próximos pasos</w:t>
      </w:r>
    </w:p>
    <w:p>
      <w:r>
        <w:rPr>
          <w:b w:val="0"/>
        </w:rPr>
        <w:t>Aprendizaje observado y evidencia que lo respalda:</w:t>
        <w:br/>
        <w:t>____________________________________________________________________</w:t>
        <w:br/>
        <w:t>____________________________________________________________________</w:t>
      </w:r>
    </w:p>
    <w:p>
      <w:r>
        <w:rPr>
          <w:b w:val="0"/>
        </w:rPr>
        <w:t>Dificultad detectada y acción de reenseñanza acordada:</w:t>
        <w:br/>
        <w:t>____________________________________________________________________</w:t>
        <w:br/>
        <w:t>____________________________________________________________________</w:t>
      </w:r>
    </w:p>
    <w:p>
      <w:r>
        <w:rPr>
          <w:b w:val="0"/>
        </w:rPr>
        <w:t>Adjuntos sugeridos: un esquema o gráfico anonimizado, una explicación valorada con rúbrica y resultados reales. Las capturas deben excluir información personal innecesaria.</w:t>
        <w:br/>
        <w:t>Nombre y firma docente: _______________________   Fecha: ______________</w:t>
      </w:r>
    </w:p>
    <w:p>
      <w:r>
        <w:br w:type="page"/>
      </w:r>
    </w:p>
    <w:p>
      <w:pPr>
        <w:pStyle w:val="Heading1"/>
      </w:pPr>
      <w:r>
        <w:t>Funcionamiento del recurso y envío de resultados</w:t>
      </w:r>
    </w:p>
    <w:p>
      <w:pPr>
        <w:pStyle w:val="Heading2"/>
      </w:pPr>
      <w:r>
        <w:t>Recorrido del estudiante</w:t>
      </w:r>
    </w:p>
    <w:p>
      <w:r>
        <w:rPr>
          <w:b w:val="0"/>
        </w:rPr>
        <w:t>1. Elegir una clase y explorar sus pasos. Las galerías permiten desplegar todas las láminas originales.</w:t>
        <w:br/>
        <w:t>2. Abrir Quiz y simulacro e ingresar nombre o identificador, sección y correo.</w:t>
        <w:br/>
        <w:t>3. Responder las preguntas y completar el ticket de salida.</w:t>
        <w:br/>
        <w:t>4. Ver el puntaje, las explicaciones y el desglose por clase. Descargar el resultado en formato de texto.</w:t>
        <w:br/>
        <w:t>5. Cuando FormSubmit esté activado, el cierre solicitará el envío; ante un fallo, se conserva la descarga local.</w:t>
      </w:r>
    </w:p>
    <w:p>
      <w:pPr>
        <w:pStyle w:val="Heading2"/>
      </w:pPr>
      <w:r>
        <w:t>Destinatarios y contenido</w:t>
      </w:r>
    </w:p>
    <w:p>
      <w:r>
        <w:rPr>
          <w:b w:val="0"/>
        </w:rPr>
        <w:t>El formulario se dirige a belenacuna@liceosannicolas.cl y solicita copia a franciscopinto@liceosannicolas.cl y al correo ingresado por el estudiante. Los dos destinatarios docentes están fijados en el sitio y el estudiante no puede sustituirlos desde el formulario.</w:t>
      </w:r>
    </w:p>
    <w:p>
      <w:r>
        <w:rPr>
          <w:b w:val="0"/>
        </w:rPr>
        <w:t>El reporte incluye identificación, sección, tipo de actividad, fecha, puntaje, desglose, ticket, respuestas correctas y explicaciones. No se solicita diagnóstico ni antecedentes de salud. El último reporte también queda en el almacenamiento local del navegador para facilitar su recuperación en el mismo dispositivo.</w:t>
      </w:r>
    </w:p>
    <w:p>
      <w:pPr>
        <w:pStyle w:val="Heading2"/>
      </w:pPr>
      <w:r>
        <w:t>Estado de habilitación</w:t>
      </w:r>
    </w:p>
    <w:p>
      <w:r>
        <w:rPr>
          <w:b w:val="0"/>
        </w:rPr>
        <w:t>La versión entregada permite estudiar, responder y descargar resultados. El envío usa FormSubmit y no incorpora claves privadas en el repositorio. La primera prueba genera un mensaje de activación en el correo principal de Belén; después de confirmar ese mensaje se debe realizar un segundo intento controlado y verificar la recepción en los tres buzones. Esta recepción aún no se ha comprobado.</w:t>
      </w:r>
    </w:p>
    <w:p>
      <w:r>
        <w:rPr>
          <w:b w:val="0"/>
        </w:rPr>
        <w:t>La aceptación del proveedor significa que recibió la solicitud de envío; no prueba que el correo haya llegado a la bandeja de entrada. Antes de aplicar con un curso, realizar una prueba con datos ficticios controlados y comprobar recepción, carpeta de spam y destinatarios. Conservar el archivo descargado si existe un problema de conexión.</w:t>
      </w:r>
    </w:p>
    <w:p>
      <w:pPr>
        <w:pStyle w:val="Heading2"/>
      </w:pPr>
      <w:r>
        <w:t>Condiciones de uso y continuidad</w:t>
      </w:r>
    </w:p>
    <w:p>
      <w:r>
        <w:rPr>
          <w:b w:val="0"/>
        </w:rPr>
        <w:t>El proyecto es estático y está preparado para publicarse en GitHub Pages. Por defecto, una publicación de GitHub Pages será accesible mediante su URL; el establecimiento debe decidir si ese nivel de acceso es apropiado y comunicarlo solo al curso correspondiente.</w:t>
      </w:r>
    </w:p>
    <w:p>
      <w:r>
        <w:rPr>
          <w:b w:val="0"/>
        </w:rPr>
        <w:t>La web no incluye una base de datos institucional de resultados. Las respuestas del intento permanecen en memoria mientras la página está abierta y el último reporte queda guardado localmente en el navegador; se recomienda descargarlo al finalizar. El establecimiento debe definir custodia y plazos de conservación de correos y archivos. Los pasos de publicación y activación están detallados en el README del proyecto.</w:t>
      </w:r>
    </w:p>
    <w:p>
      <w:r>
        <w:br w:type="page"/>
      </w:r>
    </w:p>
    <w:p>
      <w:pPr>
        <w:pStyle w:val="Heading1"/>
      </w:pPr>
      <w:r>
        <w:t>Fuentes y orientaciones de implementación</w:t>
      </w:r>
    </w:p>
    <w:p>
      <w:r>
        <w:rPr>
          <w:b w:val="0"/>
        </w:rPr>
        <w:t>Los contenidos parten de los cuatro PowerPoint aportados por el equipo docente. Las fuentes siguientes respaldan el marco curricular, los apoyos de aula y las precisiones incorporadas. Consulta de preparación realizada entre el 24 y el 26 de septiembre de 2026.</w:t>
      </w:r>
    </w:p>
    <w:p>
      <w:pPr>
        <w:spacing w:after="140"/>
      </w:pPr>
      <w:r>
        <w:rPr>
          <w:b/>
        </w:rPr>
        <w:t xml:space="preserve">MINEDUC. CN2M OA 01. </w:t>
      </w:r>
      <w:hyperlink r:id="rId11">
        <w:r>
          <w:rPr>
            <w:color w:val="175A7D"/>
          </w:rPr>
          <w:t>Consultar fuente</w:t>
        </w:r>
      </w:hyperlink>
    </w:p>
    <w:p>
      <w:pPr>
        <w:spacing w:after="140"/>
      </w:pPr>
      <w:r>
        <w:rPr>
          <w:b/>
        </w:rPr>
        <w:t xml:space="preserve">NICHD. Partes del sistema nervioso. </w:t>
      </w:r>
      <w:hyperlink r:id="rId12">
        <w:r>
          <w:rPr>
            <w:color w:val="175A7D"/>
          </w:rPr>
          <w:t>Consultar fuente</w:t>
        </w:r>
      </w:hyperlink>
    </w:p>
    <w:p>
      <w:pPr>
        <w:spacing w:after="140"/>
      </w:pPr>
      <w:r>
        <w:rPr>
          <w:b/>
        </w:rPr>
        <w:t xml:space="preserve">NINDS. Glosario de términos neurológicos. </w:t>
      </w:r>
      <w:hyperlink r:id="rId13">
        <w:r>
          <w:rPr>
            <w:color w:val="175A7D"/>
          </w:rPr>
          <w:t>Consultar fuente</w:t>
        </w:r>
      </w:hyperlink>
    </w:p>
    <w:p>
      <w:pPr>
        <w:spacing w:after="140"/>
      </w:pPr>
      <w:r>
        <w:rPr>
          <w:b/>
        </w:rPr>
        <w:t xml:space="preserve">NINDS. Esclerosis múltiple. </w:t>
      </w:r>
      <w:hyperlink r:id="rId14">
        <w:r>
          <w:rPr>
            <w:color w:val="175A7D"/>
          </w:rPr>
          <w:t>Consultar fuente</w:t>
        </w:r>
      </w:hyperlink>
    </w:p>
    <w:p>
      <w:pPr>
        <w:spacing w:after="140"/>
      </w:pPr>
      <w:r>
        <w:rPr>
          <w:b/>
        </w:rPr>
        <w:t xml:space="preserve">NIDA. Drugs and the Brain. </w:t>
      </w:r>
      <w:hyperlink r:id="rId15">
        <w:r>
          <w:rPr>
            <w:color w:val="175A7D"/>
          </w:rPr>
          <w:t>Consultar fuente</w:t>
        </w:r>
      </w:hyperlink>
    </w:p>
    <w:p>
      <w:pPr>
        <w:spacing w:after="140"/>
      </w:pPr>
      <w:r>
        <w:rPr>
          <w:b/>
        </w:rPr>
        <w:t xml:space="preserve">CDC. ADHD in the Classroom. </w:t>
      </w:r>
      <w:hyperlink r:id="rId16">
        <w:r>
          <w:rPr>
            <w:color w:val="175A7D"/>
          </w:rPr>
          <w:t>Consultar fuente</w:t>
        </w:r>
      </w:hyperlink>
    </w:p>
    <w:p>
      <w:pPr>
        <w:spacing w:after="140"/>
      </w:pPr>
      <w:r>
        <w:rPr>
          <w:b/>
        </w:rPr>
        <w:t xml:space="preserve">Reichert y colaboradores. Adenosine caffeine and sleep wake regulation. </w:t>
      </w:r>
      <w:hyperlink r:id="rId17">
        <w:r>
          <w:rPr>
            <w:color w:val="175A7D"/>
          </w:rPr>
          <w:t>Consultar fuente</w:t>
        </w:r>
      </w:hyperlink>
    </w:p>
    <w:p>
      <w:pPr>
        <w:spacing w:after="140"/>
      </w:pPr>
      <w:r>
        <w:rPr>
          <w:b/>
        </w:rPr>
        <w:t xml:space="preserve">IUPHAR BPS. Farmacología del THC. </w:t>
      </w:r>
      <w:hyperlink r:id="rId18">
        <w:r>
          <w:rPr>
            <w:color w:val="175A7D"/>
          </w:rPr>
          <w:t>Consultar fuente</w:t>
        </w:r>
      </w:hyperlink>
    </w:p>
    <w:p>
      <w:pPr>
        <w:spacing w:after="140"/>
      </w:pPr>
      <w:r>
        <w:rPr>
          <w:b/>
        </w:rPr>
        <w:t xml:space="preserve">PhET Colorado. Simulación Neurona incluida en el material. </w:t>
      </w:r>
      <w:hyperlink r:id="rId19">
        <w:r>
          <w:rPr>
            <w:color w:val="175A7D"/>
          </w:rPr>
          <w:t>Consultar fuente</w:t>
        </w:r>
      </w:hyperlink>
    </w:p>
    <w:p>
      <w:pPr>
        <w:spacing w:after="140"/>
      </w:pPr>
      <w:r>
        <w:rPr>
          <w:b/>
        </w:rPr>
        <w:t xml:space="preserve">EducaPlus. Modelo del reflejo rotuliano incluido en el material. </w:t>
      </w:r>
      <w:hyperlink r:id="rId20">
        <w:r>
          <w:rPr>
            <w:color w:val="175A7D"/>
          </w:rPr>
          <w:t>Consultar fuente</w:t>
        </w:r>
      </w:hyperlink>
    </w:p>
    <w:p>
      <w:pPr>
        <w:pStyle w:val="Heading2"/>
      </w:pPr>
      <w:r>
        <w:t>Mejoras sugeridas para una segunda aplicación</w:t>
      </w:r>
    </w:p>
    <w:p>
      <w:r>
        <w:rPr>
          <w:b w:val="0"/>
        </w:rPr>
        <w:t>Incorporar una breve pregunta abierta al final de cada sesión y valorar su explicación con la rúbrica. Esto permite observar razonamiento que una selección múltiple puede ocultar. Ajustar el tiempo de cada bloque a partir de la observación del curso y revisar los distractores que resulten demasiado evidentes.</w:t>
      </w:r>
    </w:p>
    <w:p>
      <w:r>
        <w:rPr>
          <w:b w:val="0"/>
        </w:rPr>
        <w:t>Si se necesita seguimiento longitudinal, agregar posteriormente autenticación institucional y un registro de resultados con permisos por rol. Esta función no está incluida en la versión actual. Mantener el envío mínimo de datos y evitar reportar diagnósticos en correos de resultados.</w:t>
      </w:r>
    </w:p>
    <w:p>
      <w:r>
        <w:rPr>
          <w:b w:val="0"/>
        </w:rPr>
        <w:t>Priorizar una primera aplicación acompañada. Utilizar ejemplos simulados para reflejos: no provocar dolor, calor intenso ni golpes. Las enfermedades se presentan para comprender relaciones entre estructura y función, sin pedir diagnósticos personales ni experiencias de consumo.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NeuroAula · Planificación y registro docente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2687A"/>
        <w:sz w:val="18"/>
      </w:rPr>
      <w:t>LICEO SAN NICOLÁS   /   CIENCIAS NATURALES   /   2° MEDIO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73F5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173F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urriculumnacional.cl/614/w3-article-80740.html" TargetMode="External"/><Relationship Id="rId12" Type="http://schemas.openxmlformats.org/officeDocument/2006/relationships/hyperlink" Target="https://espanol.nichd.nih.gov/salud/temas/neuro/informacion/partes" TargetMode="External"/><Relationship Id="rId13" Type="http://schemas.openxmlformats.org/officeDocument/2006/relationships/hyperlink" Target="https://www.ninds.nih.gov/health-information/disorders/glossary-neurological-terms" TargetMode="External"/><Relationship Id="rId14" Type="http://schemas.openxmlformats.org/officeDocument/2006/relationships/hyperlink" Target="https://www.ninds.nih.gov/health-information/disorders/multiple-sclerosis-ms" TargetMode="External"/><Relationship Id="rId15" Type="http://schemas.openxmlformats.org/officeDocument/2006/relationships/hyperlink" Target="https://nida.nih.gov/publications/drugs-brains-behavior-science-addiction/drugs-brain" TargetMode="External"/><Relationship Id="rId16" Type="http://schemas.openxmlformats.org/officeDocument/2006/relationships/hyperlink" Target="https://www.cdc.gov/adhd/treatment/classroom.html" TargetMode="External"/><Relationship Id="rId17" Type="http://schemas.openxmlformats.org/officeDocument/2006/relationships/hyperlink" Target="https://pmc.ncbi.nlm.nih.gov/articles/PMC9541543/" TargetMode="External"/><Relationship Id="rId18" Type="http://schemas.openxmlformats.org/officeDocument/2006/relationships/hyperlink" Target="https://www.guidetopharmacology.org/GRAC/LigandDisplayForward?ligandId=2424&amp;tab=biology" TargetMode="External"/><Relationship Id="rId19" Type="http://schemas.openxmlformats.org/officeDocument/2006/relationships/hyperlink" Target="https://phet.colorado.edu/sims/html/neuron/latest/neuron_all.html?locale=es" TargetMode="External"/><Relationship Id="rId20" Type="http://schemas.openxmlformats.org/officeDocument/2006/relationships/hyperlink" Target="https://www.educaplus.org/game/reflejo-rotulia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