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2600" w:after="360"/>
      </w:pPr>
      <w:r>
        <w:t xml:space="preserve">Generación</w:t>
      </w:r>
      <w:r>
        <w:t xml:space="preserve"> </w:t>
      </w:r>
      <w:r>
        <w:t xml:space="preserve">procedural</w:t>
      </w:r>
      <w:r>
        <w:t xml:space="preserve"> </w:t>
      </w:r>
      <w:r>
        <w:t xml:space="preserve">de</w:t>
      </w:r>
      <w:r>
        <w:t xml:space="preserve"> </w:t>
      </w:r>
      <w:r>
        <w:t xml:space="preserve">contenido</w:t>
      </w:r>
      <w:r>
        <w:t xml:space="preserve"> </w:t>
      </w:r>
      <w:r>
        <w:t xml:space="preserve">mediante</w:t>
      </w:r>
      <w:r>
        <w:t xml:space="preserve"> </w:t>
      </w:r>
      <w:r>
        <w:t xml:space="preserve">optimización</w:t>
      </w:r>
      <w:r>
        <w:t xml:space="preserve"> </w:t>
      </w:r>
      <w:r>
        <w:t xml:space="preserve">cuántica</w:t>
      </w:r>
    </w:p>
    <w:p>
      <w:pPr>
        <w:pStyle w:val="Subtitle"/>
        <w:spacing w:after="600"/>
      </w:pPr>
      <w:r>
        <w:t xml:space="preserve">Estudio</w:t>
      </w:r>
      <w:r>
        <w:t xml:space="preserve"> </w:t>
      </w:r>
      <w:r>
        <w:t xml:space="preserve">exploratorio</w:t>
      </w:r>
      <w:r>
        <w:t xml:space="preserve"> </w:t>
      </w:r>
      <w:r>
        <w:t xml:space="preserve">con</w:t>
      </w:r>
      <w:r>
        <w:t xml:space="preserve"> </w:t>
      </w:r>
      <w:r>
        <w:t xml:space="preserve">formulaciones</w:t>
      </w:r>
      <w:r>
        <w:t xml:space="preserve"> </w:t>
      </w:r>
      <w:r>
        <w:t xml:space="preserve">QUBO</w:t>
      </w:r>
      <w:r>
        <w:t xml:space="preserve"> </w:t>
      </w:r>
      <w:r>
        <w:t xml:space="preserve">en</w:t>
      </w:r>
      <w:r>
        <w:t xml:space="preserve"> </w:t>
      </w:r>
      <w:r>
        <w:t xml:space="preserve">entornos</w:t>
      </w:r>
      <w:r>
        <w:t xml:space="preserve"> </w:t>
      </w:r>
      <w:r>
        <w:t xml:space="preserve">tridimensionales</w:t>
      </w:r>
    </w:p>
    <w:p>
      <w:pPr>
        <w:pStyle w:val="Author"/>
        <w:spacing w:after="160"/>
      </w:pPr>
      <w:r>
        <w:t xml:space="preserve">Borrador</w:t>
      </w:r>
      <w:r>
        <w:t xml:space="preserve"> </w:t>
      </w:r>
      <w:r>
        <w:t xml:space="preserve">de</w:t>
      </w:r>
      <w:r>
        <w:t xml:space="preserve"> </w:t>
      </w:r>
      <w:r>
        <w:t xml:space="preserve">trabajo</w:t>
      </w:r>
      <w:r>
        <w:t xml:space="preserve"> </w:t>
      </w:r>
      <w:r>
        <w:t xml:space="preserve">para</w:t>
      </w:r>
      <w:r>
        <w:t xml:space="preserve"> </w:t>
      </w:r>
      <w:r>
        <w:t xml:space="preserve">el</w:t>
      </w:r>
      <w:r>
        <w:t xml:space="preserve"> </w:t>
      </w:r>
      <w:r>
        <w:t xml:space="preserve">TFM</w:t>
      </w:r>
    </w:p>
    <w:p>
      <w:pPr>
        <w:pStyle w:val="Date"/>
        <w:spacing w:after="0"/>
      </w:pPr>
      <w:r>
        <w:t xml:space="preserve">6</w:t>
      </w:r>
      <w:r>
        <w:t xml:space="preserve"> </w:t>
      </w:r>
      <w:r>
        <w:t xml:space="preserve">de</w:t>
      </w:r>
      <w:r>
        <w:t xml:space="preserve"> </w:t>
      </w:r>
      <w:r>
        <w:t xml:space="preserve">agosto</w:t>
      </w:r>
      <w:r>
        <w:t xml:space="preserve"> </w:t>
      </w:r>
      <w:r>
        <w:t xml:space="preserve">de</w:t>
      </w:r>
      <w:r>
        <w:t xml:space="preserve"> </w:t>
      </w:r>
      <w:r>
        <w:t xml:space="preserve">2026</w:t>
      </w:r>
      <w:r>
        <w:br w:type="page"/>
      </w:r>
    </w:p>
    <w:sdt>
      <w:sdtPr>
        <w:docPartObj>
          <w:docPartGallery w:val="Table of Contents"/>
          <w:docPartUnique/>
        </w:docPartObj>
      </w:sdtPr>
      <w:sdtContent>
        <w:p>
          <w:pPr>
            <w:pStyle w:val="TOCHeading"/>
          </w:pPr>
          <w:r>
            <w:t xml:space="preserve">Índice</w:t>
          </w:r>
        </w:p>
        <w:p>
          <w:pPr>
            <w:spacing w:before="0" w:after="12" w:line="240" w:lineRule="auto"/>
            <w:ind w:left="420"/>
            <w:keepNext/>
          </w:pPr>
          <w:r>
            <w:rPr>
              <w:rFonts w:ascii="Times New Roman" w:hAnsi="Times New Roman"/>
              <w:sz w:val="22"/>
              <w:szCs w:val="22"/>
              <w:i/>
            </w:rPr>
            <w:t>Índice provisional sin paginación automática.</w:t>
          </w:r>
        </w:p>
        <w:p>
          <w:pPr>
            <w:spacing w:before="20" w:after="40" w:line="240" w:lineRule="auto"/>
            <w:ind w:left="0"/>
            <w:keepNext/>
          </w:pPr>
          <w:r>
            <w:rPr>
              <w:rFonts w:ascii="Times New Roman" w:hAnsi="Times New Roman"/>
              <w:sz w:val="22"/>
              <w:szCs w:val="22"/>
              <w:b/>
              <w:color w:val="2F75B5"/>
            </w:rPr>
            <w:t>1. Introducción</w:t>
          </w:r>
        </w:p>
        <w:p>
          <w:pPr>
            <w:spacing w:before="0" w:after="12" w:line="240" w:lineRule="auto"/>
            <w:ind w:left="420"/>
            <w:keepNext/>
          </w:pPr>
          <w:r>
            <w:rPr>
              <w:rFonts w:ascii="Times New Roman" w:hAnsi="Times New Roman"/>
              <w:sz w:val="22"/>
              <w:szCs w:val="22"/>
            </w:rPr>
            <w:t>1.1. Contexto y motivación</w:t>
          </w:r>
        </w:p>
        <w:p>
          <w:pPr>
            <w:spacing w:before="0" w:after="12" w:line="240" w:lineRule="auto"/>
            <w:ind w:left="420"/>
            <w:keepNext/>
          </w:pPr>
          <w:r>
            <w:rPr>
              <w:rFonts w:ascii="Times New Roman" w:hAnsi="Times New Roman"/>
              <w:sz w:val="22"/>
              <w:szCs w:val="22"/>
            </w:rPr>
            <w:t>1.2. Planteamiento del problema</w:t>
          </w:r>
        </w:p>
        <w:p>
          <w:pPr>
            <w:spacing w:before="0" w:after="12" w:line="240" w:lineRule="auto"/>
            <w:ind w:left="420"/>
            <w:keepNext/>
          </w:pPr>
          <w:r>
            <w:rPr>
              <w:rFonts w:ascii="Times New Roman" w:hAnsi="Times New Roman"/>
              <w:sz w:val="22"/>
              <w:szCs w:val="22"/>
            </w:rPr>
            <w:t>1.3. Preguntas e hipótesis de investigación</w:t>
          </w:r>
        </w:p>
        <w:p>
          <w:pPr>
            <w:spacing w:before="0" w:after="12" w:line="240" w:lineRule="auto"/>
            <w:ind w:left="420"/>
            <w:keepNext/>
          </w:pPr>
          <w:r>
            <w:rPr>
              <w:rFonts w:ascii="Times New Roman" w:hAnsi="Times New Roman"/>
              <w:sz w:val="22"/>
              <w:szCs w:val="22"/>
            </w:rPr>
            <w:t>1.4. Objetivos</w:t>
          </w:r>
        </w:p>
        <w:p>
          <w:pPr>
            <w:spacing w:before="0" w:after="12" w:line="240" w:lineRule="auto"/>
            <w:ind w:left="420"/>
            <w:keepNext/>
          </w:pPr>
          <w:r>
            <w:rPr>
              <w:rFonts w:ascii="Times New Roman" w:hAnsi="Times New Roman"/>
              <w:sz w:val="22"/>
              <w:szCs w:val="22"/>
            </w:rPr>
            <w:t>1.5. Metodología general</w:t>
          </w:r>
        </w:p>
        <w:p>
          <w:pPr>
            <w:spacing w:before="0" w:after="12" w:line="240" w:lineRule="auto"/>
            <w:ind w:left="420"/>
            <w:keepNext/>
          </w:pPr>
          <w:r>
            <w:rPr>
              <w:rFonts w:ascii="Times New Roman" w:hAnsi="Times New Roman"/>
              <w:sz w:val="22"/>
              <w:szCs w:val="22"/>
            </w:rPr>
            <w:t>1.6. Evaluación experimental</w:t>
          </w:r>
        </w:p>
        <w:p>
          <w:pPr>
            <w:spacing w:before="0" w:after="12" w:line="240" w:lineRule="auto"/>
            <w:ind w:left="420"/>
            <w:keepNext/>
          </w:pPr>
          <w:r>
            <w:rPr>
              <w:rFonts w:ascii="Times New Roman" w:hAnsi="Times New Roman"/>
              <w:sz w:val="22"/>
              <w:szCs w:val="22"/>
            </w:rPr>
            <w:t>1.7. Alcance y limitaciones</w:t>
          </w:r>
        </w:p>
        <w:p>
          <w:pPr>
            <w:spacing w:before="0" w:after="12" w:line="240" w:lineRule="auto"/>
            <w:ind w:left="420"/>
            <w:keepNext/>
          </w:pPr>
          <w:r>
            <w:rPr>
              <w:rFonts w:ascii="Times New Roman" w:hAnsi="Times New Roman"/>
              <w:sz w:val="22"/>
              <w:szCs w:val="22"/>
            </w:rPr>
            <w:t>1.8. Estructura de la memoria</w:t>
          </w:r>
        </w:p>
        <w:p>
          <w:pPr>
            <w:spacing w:before="20" w:after="40" w:line="240" w:lineRule="auto"/>
            <w:ind w:left="0"/>
            <w:keepNext/>
          </w:pPr>
          <w:r>
            <w:rPr>
              <w:rFonts w:ascii="Times New Roman" w:hAnsi="Times New Roman"/>
              <w:sz w:val="22"/>
              <w:szCs w:val="22"/>
              <w:b/>
              <w:color w:val="2F75B5"/>
            </w:rPr>
            <w:t>2. Estado del arte</w:t>
          </w:r>
        </w:p>
        <w:p>
          <w:pPr>
            <w:spacing w:before="0" w:after="12" w:line="240" w:lineRule="auto"/>
            <w:ind w:left="420"/>
            <w:keepNext/>
          </w:pPr>
          <w:r>
            <w:rPr>
              <w:rFonts w:ascii="Times New Roman" w:hAnsi="Times New Roman"/>
              <w:sz w:val="22"/>
              <w:szCs w:val="22"/>
            </w:rPr>
            <w:t>2.1. Generación procedural de contenido</w:t>
          </w:r>
        </w:p>
        <w:p>
          <w:pPr>
            <w:spacing w:before="0" w:after="12" w:line="240" w:lineRule="auto"/>
            <w:ind w:left="420"/>
            <w:keepNext/>
          </w:pPr>
          <w:r>
            <w:rPr>
              <w:rFonts w:ascii="Times New Roman" w:hAnsi="Times New Roman"/>
              <w:sz w:val="22"/>
              <w:szCs w:val="22"/>
            </w:rPr>
            <w:t>2.2. Generación procedural basada en optimización</w:t>
          </w:r>
        </w:p>
        <w:p>
          <w:pPr>
            <w:spacing w:before="0" w:after="12" w:line="240" w:lineRule="auto"/>
            <w:ind w:left="420"/>
            <w:keepNext/>
          </w:pPr>
          <w:r>
            <w:rPr>
              <w:rFonts w:ascii="Times New Roman" w:hAnsi="Times New Roman"/>
              <w:sz w:val="22"/>
              <w:szCs w:val="22"/>
            </w:rPr>
            <w:t>2.3. Antecedentes de los tres casos de estudio</w:t>
          </w:r>
        </w:p>
        <w:p>
          <w:pPr>
            <w:spacing w:before="0" w:after="12" w:line="240" w:lineRule="auto"/>
            <w:ind w:left="420"/>
            <w:keepNext/>
          </w:pPr>
          <w:r>
            <w:rPr>
              <w:rFonts w:ascii="Times New Roman" w:hAnsi="Times New Roman"/>
              <w:sz w:val="22"/>
              <w:szCs w:val="22"/>
            </w:rPr>
            <w:t>2.4. Optimización binaria cuadrática sin restricciones</w:t>
          </w:r>
        </w:p>
        <w:p>
          <w:pPr>
            <w:spacing w:before="0" w:after="12" w:line="240" w:lineRule="auto"/>
            <w:ind w:left="420"/>
            <w:keepNext/>
          </w:pPr>
          <w:r>
            <w:rPr>
              <w:rFonts w:ascii="Times New Roman" w:hAnsi="Times New Roman"/>
              <w:sz w:val="22"/>
              <w:szCs w:val="22"/>
            </w:rPr>
            <w:t>2.5. Métodos clásicos y cuánticos de optimización energética</w:t>
          </w:r>
        </w:p>
        <w:p>
          <w:pPr>
            <w:spacing w:before="0" w:after="12" w:line="240" w:lineRule="auto"/>
            <w:ind w:left="420"/>
            <w:keepNext/>
          </w:pPr>
          <w:r>
            <w:rPr>
              <w:rFonts w:ascii="Times New Roman" w:hAnsi="Times New Roman"/>
              <w:sz w:val="22"/>
              <w:szCs w:val="22"/>
            </w:rPr>
            <w:t>2.6. Computación cuántica aplicada a generación procedural</w:t>
          </w:r>
        </w:p>
        <w:p>
          <w:pPr>
            <w:spacing w:before="0" w:after="12" w:line="240" w:lineRule="auto"/>
            <w:ind w:left="420"/>
            <w:keepNext/>
          </w:pPr>
          <w:r>
            <w:rPr>
              <w:rFonts w:ascii="Times New Roman" w:hAnsi="Times New Roman"/>
              <w:sz w:val="22"/>
              <w:szCs w:val="22"/>
            </w:rPr>
            <w:t>2.7. Síntesis del estado del arte y oportunidad de investigación</w:t>
          </w:r>
        </w:p>
        <w:p>
          <w:pPr>
            <w:spacing w:before="20" w:after="40" w:line="240" w:lineRule="auto"/>
            <w:ind w:left="0"/>
            <w:keepNext/>
          </w:pPr>
          <w:r>
            <w:rPr>
              <w:rFonts w:ascii="Times New Roman" w:hAnsi="Times New Roman"/>
              <w:sz w:val="22"/>
              <w:szCs w:val="22"/>
              <w:b/>
              <w:color w:val="2F75B5"/>
            </w:rPr>
            <w:t>Referencias</w:t>
          </w:r>
        </w:p>
        <w:p>
          <w:pPr>
            <w:spacing w:before="20" w:after="40" w:line="240" w:lineRule="auto"/>
            <w:ind w:left="0"/>
            <w:keepNext/>
          </w:pPr>
          <w:r>
            <w:rPr>
              <w:rFonts w:ascii="Times New Roman" w:hAnsi="Times New Roman"/>
              <w:sz w:val="22"/>
              <w:szCs w:val="22"/>
              <w:b/>
              <w:color w:val="2F75B5"/>
            </w:rPr>
            <w:t>Puntos pendientes para la siguiente revisión</w:t>
          </w:r>
        </w:p>
      </w:sdtContent>
    </w:sdt>
    <w:bookmarkStart w:id="20" w:name="nota-sobre-este-borrador"/>
    <w:p>
      <w:pPr>
        <w:pStyle w:val="Heading1"/>
        <w:keepNext/>
        <w:keepLines/>
        <w:ind w:firstLine="0"/>
      </w:pPr>
      <w:r>
        <w:t xml:space="preserve">Nota sobre este borrador</w:t>
      </w:r>
    </w:p>
    <w:p>
      <w:pPr>
        <w:pStyle w:val="FirstParagraph"/>
        <w:widowControl/>
      </w:pPr>
      <w:r>
        <w:t xml:space="preserve">Este documento reúne y revisa el material desarrollado hasta el momento para los capítulos de</w:t>
      </w:r>
      <w:r>
        <w:t xml:space="preserve"> </w:t>
      </w:r>
      <w:r>
        <w:rPr>
          <w:b/>
          <w:bCs/>
        </w:rPr>
        <w:t xml:space="preserve">Introducción</w:t>
      </w:r>
      <w:r>
        <w:t xml:space="preserve"> </w:t>
      </w:r>
      <w:r>
        <w:t xml:space="preserve">y</w:t>
      </w:r>
      <w:r>
        <w:t xml:space="preserve"> </w:t>
      </w:r>
      <w:r>
        <w:rPr>
          <w:b/>
          <w:bCs/>
        </w:rPr>
        <w:t xml:space="preserve">Estado del arte</w:t>
      </w:r>
      <w:r>
        <w:t xml:space="preserve">. Se ha redactado como un texto académico continuo, con citas en estilo APA 7 y ecuaciones editables en Microsoft Word. No constituye todavía una versión definitiva de la memoria: las formulaciones específicas de los tres casos de estudio se desarrollarán con detalle en el capítulo dedicado a la descripción y formulación del problema, una vez que se cierren las variables, restricciones y métricas experimentales.</w:t>
      </w:r>
    </w:p>
    <w:p>
      <w:pPr>
        <w:pStyle w:val="BodyText"/>
        <w:widowControl/>
      </w:pPr>
      <w:r>
        <w:t xml:space="preserve">El título se mantiene como propuesta provisional:</w:t>
      </w:r>
    </w:p>
    <w:p>
      <w:pPr>
        <w:pStyle w:val="BlockText"/>
        <w:widowControl/>
      </w:pPr>
      <w:r>
        <w:rPr>
          <w:b/>
          <w:bCs/>
        </w:rPr>
        <w:t xml:space="preserve">Generación procedural de contenido mediante optimización cuántica: estudio exploratorio con formulaciones QUBO en entornos tridimensionales.</w:t>
      </w:r>
    </w:p>
    <w:p>
      <w:pPr>
        <w:pStyle w:val="FirstParagraph"/>
        <w:widowControl/>
      </w:pPr>
      <w:r>
        <w:t xml:space="preserve">Las expresiones matemáticas de este documento establecen la notación y los patrones de modelado que se utilizarán posteriormente. La formulación completa de monedas, plataformas y mapas deberá contrastarse mediante instancias pequeñas y solucionadores exactos antes de considerarse cerrada.</w:t>
      </w:r>
    </w:p>
    <w:bookmarkEnd w:id="20"/>
    <w:bookmarkStart w:id="31" w:name="introducción"/>
    <w:p>
      <w:pPr>
        <w:pStyle w:val="Heading1"/>
        <w:keepNext/>
        <w:keepLines/>
        <w:ind w:firstLine="0"/>
      </w:pPr>
      <w:r>
        <w:t xml:space="preserve">1. Introducción</w:t>
      </w:r>
    </w:p>
    <w:bookmarkStart w:id="21" w:name="contexto-y-motivación"/>
    <w:p>
      <w:pPr>
        <w:pStyle w:val="Heading2"/>
        <w:keepNext/>
        <w:keepLines/>
        <w:ind w:firstLine="0"/>
      </w:pPr>
      <w:r>
        <w:t xml:space="preserve">1.1. Contexto y motivación</w:t>
      </w:r>
    </w:p>
    <w:p>
      <w:pPr>
        <w:pStyle w:val="FirstParagraph"/>
        <w:widowControl/>
      </w:pPr>
      <w:r>
        <w:t xml:space="preserve">La generación procedural de contenido, conocida habitualmente por las siglas PCG del término inglés</w:t>
      </w:r>
      <w:r>
        <w:t xml:space="preserve"> </w:t>
      </w:r>
      <w:r>
        <w:rPr>
          <w:i/>
          <w:iCs/>
        </w:rPr>
        <w:t xml:space="preserve">procedural content generation</w:t>
      </w:r>
      <w:r>
        <w:t xml:space="preserve">, comprende el uso de procedimientos computacionales para crear de forma automática o semiautomática elementos que forman parte de una experiencia digital. En el ámbito de los videojuegos y los entornos virtuales, dichos elementos pueden incluir mapas, niveles, terrenos, objetos, reglas, misiones, narrativas o configuraciones espaciales. El concepto no exige que el proceso sea completamente autónomo: también engloba herramientas mixtas en las que el sistema genera, completa o modifica contenido bajo la supervisión de una persona diseñadora (Hendrikx et al., 2013; Togelius et al., 2011).</w:t>
      </w:r>
    </w:p>
    <w:p>
      <w:pPr>
        <w:pStyle w:val="BodyText"/>
        <w:widowControl/>
      </w:pPr>
      <w:r>
        <w:t xml:space="preserve">Uno de los principales motivos para utilizar generación procedural es la posibilidad de producir múltiples configuraciones sin diseñarlas de manera individual. Esta capacidad puede reducir parte del esfuerzo manual, ampliar el espacio de contenidos disponibles y facilitar la variabilidad o la rejugabilidad. Sin embargo, producir muchas configuraciones no equivale a producir contenido útil. Las soluciones generadas deben respetar propiedades funcionales, estructurales y, en determinados contextos, estéticas. Un mapa puede ser diverso y, al mismo tiempo, impedir el paso entre dos regiones; una secuencia de plataformas puede presentar posiciones plausibles de manera aislada, pero no permitir alcanzar la meta; y una distribución de objetos puede cumplir una cantidad requerida, aunque concentrarlos todos en una zona reducida.</w:t>
      </w:r>
    </w:p>
    <w:p>
      <w:pPr>
        <w:pStyle w:val="BodyText"/>
        <w:widowControl/>
      </w:pPr>
      <w:r>
        <w:t xml:space="preserve">La literatura diferencia varias familias de métodos de generación procedural. Los métodos constructivos generan el contenido mediante la aplicación sucesiva de reglas; los métodos basados en búsqueda exploran un espacio de soluciones guiados por una función de calidad; los métodos basados en solucionadores expresan restricciones que deben cumplirse; y los enfoques basados en aprendizaje automático generan contenido a partir de patrones aprendidos en datos existentes (Hendrikx et al., 2013; Summerville et al., 2018). Estas categorías no son excluyentes. Un sistema puede construir una solución inicial, optimizarla mediante una metaheurística y comprobar después su validez con un algoritmo de recorrido o un solucionador de restricciones.</w:t>
      </w:r>
    </w:p>
    <w:p>
      <w:pPr>
        <w:pStyle w:val="BodyText"/>
        <w:widowControl/>
      </w:pPr>
      <w:r>
        <w:t xml:space="preserve">Dentro de este marco, la generación procedural basada en búsqueda representa el contenido mediante una estructura computacional, define una función que valora cada configuración y utiliza un algoritmo para localizar soluciones adecuadas. Togelius et al. (2011) sistematizaron este paradigma bajo la denominación</w:t>
      </w:r>
      <w:r>
        <w:t xml:space="preserve"> </w:t>
      </w:r>
      <w:r>
        <w:rPr>
          <w:i/>
          <w:iCs/>
        </w:rPr>
        <w:t xml:space="preserve">search-based procedural content generation</w:t>
      </w:r>
      <w:r>
        <w:t xml:space="preserve"> </w:t>
      </w:r>
      <w:r>
        <w:t xml:space="preserve">y destacaron el papel de los algoritmos evolutivos y otras metaheurísticas. Esta perspectiva resulta especialmente relevante para el presente trabajo porque permite interpretar la generación de contenido como un problema de optimización, sin reducirla a una simple selección aleatoria de elementos.</w:t>
      </w:r>
    </w:p>
    <w:p>
      <w:pPr>
        <w:pStyle w:val="BodyText"/>
        <w:widowControl/>
      </w:pPr>
      <w:r>
        <w:t xml:space="preserve">La formulación como problema de optimización es natural cuando el contenido puede describirse mediante decisiones discretas. La colocación de un objeto en una posición candidata, la selección de una plataforma o la asignación de un obstáculo a una celda pueden representarse mediante variables binarias. Sobre dichas decisiones es posible establecer objetivos de calidad y condiciones de validez. Así, una misma estructura matemática puede utilizarse para estudiar diferentes contenidos y analizar cómo aumenta la complejidad al incorporar restricciones más exigentes.</w:t>
      </w:r>
    </w:p>
    <w:p>
      <w:pPr>
        <w:pStyle w:val="BodyText"/>
        <w:widowControl/>
      </w:pPr>
      <w:r>
        <w:t xml:space="preserve">Sea un vector de decisión binario</w:t>
      </w:r>
    </w:p>
    <w:p>
      <w:pPr>
        <w:pStyle w:val="BodyText"/>
        <w:widowControl/>
        <w:spacing w:line="240" w:lineRule="auto" w:before="120" w:after="120"/>
        <w:ind w:firstLine="0" w:left="0" w:right="0"/>
        <w:jc w:val="center"/>
      </w:pPr>
      <m:oMathPara>
        <m:oMathParaPr>
          <m:jc m:val="center"/>
        </m:oMathParaPr>
        <m:oMath>
          <m:r>
            <m:rPr>
              <m:sty m:val="b"/>
            </m:rPr>
            <m:t>x</m:t>
          </m:r>
          <m:r>
            <m:rPr>
              <m:sty m:val="p"/>
            </m:rPr>
            <m:t>=</m:t>
          </m:r>
          <m:d>
            <m:dPr>
              <m:begChr m:val="("/>
              <m:endChr m:val=")"/>
              <m:sep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d>
          <m:r>
            <m:rPr>
              <m:sty m:val="p"/>
            </m:rPr>
            <m:t>,</m:t>
          </m:r>
          <m:r>
            <m:t>  </m:t>
          </m:r>
          <m:sSub>
            <m:e>
              <m:r>
                <m:t>x</m:t>
              </m:r>
            </m:e>
            <m:sub>
              <m:r>
                <m:t>i</m:t>
              </m:r>
            </m:sub>
          </m:sSub>
          <m:r>
            <m:rPr>
              <m:sty m:val="p"/>
            </m:rPr>
            <m:t>∈</m:t>
          </m:r>
          <m:r>
            <m:rPr>
              <m:sty m:val="p"/>
            </m:rPr>
            <m:t>{</m:t>
          </m:r>
          <m:r>
            <m:t>0</m:t>
          </m:r>
          <m:r>
            <m:rPr>
              <m:sty m:val="p"/>
            </m:rPr>
            <m:t>,</m:t>
          </m:r>
          <m:r>
            <m:t>1</m:t>
          </m:r>
          <m:r>
            <m:rPr>
              <m:sty m:val="p"/>
            </m:rPr>
            <m:t>}</m:t>
          </m:r>
          <m:r>
            <m:rPr>
              <m:sty m:val="p"/>
            </m:rPr>
            <m:t>.</m:t>
          </m:r>
        </m:oMath>
      </m:oMathPara>
    </w:p>
    <w:p>
      <w:pPr>
        <w:pStyle w:val="FirstParagraph"/>
        <w:widowControl/>
      </w:pPr>
      <w:r>
        <w:t xml:space="preserve">Cada variable puede indicar, según el caso, si se coloca una moneda, si se selecciona una plataforma o si una celda contiene un obstáculo. El espacio de configuraciones posibles tiene tamaño</w:t>
      </w:r>
    </w:p>
    <w:p>
      <w:pPr>
        <w:pStyle w:val="BodyText"/>
        <w:widowControl/>
        <w:spacing w:line="240" w:lineRule="auto" w:before="120" w:after="120"/>
        <w:ind w:firstLine="0" w:left="0" w:right="0"/>
        <w:jc w:val="center"/>
      </w:pPr>
      <m:oMathPara>
        <m:oMathParaPr>
          <m:jc m:val="center"/>
        </m:oMathParaPr>
        <m:oMath>
          <m:d>
            <m:dPr>
              <m:begChr m:val="|"/>
              <m:endChr m:val="|"/>
              <m:sepChr m:val=""/>
              <m:grow/>
            </m:dPr>
            <m:e>
              <m:r>
                <m:t>Ω</m:t>
              </m:r>
            </m:e>
          </m:d>
          <m:r>
            <m:rPr>
              <m:sty m:val="p"/>
            </m:rPr>
            <m:t>=</m:t>
          </m:r>
          <m:sSup>
            <m:e>
              <m:r>
                <m:t>2</m:t>
              </m:r>
            </m:e>
            <m:sup>
              <m:r>
                <m:t>n</m:t>
              </m:r>
            </m:sup>
          </m:sSup>
          <m:r>
            <m:rPr>
              <m:sty m:val="p"/>
            </m:rPr>
            <m:t>,</m:t>
          </m:r>
        </m:oMath>
      </m:oMathPara>
    </w:p>
    <w:p>
      <w:pPr>
        <w:pStyle w:val="FirstParagraph"/>
        <w:widowControl/>
      </w:pPr>
      <w:r>
        <w:t xml:space="preserve">antes de aplicar restricciones. Incluso en modelos simplificados, este crecimiento exponencial hace necesario utilizar métodos de búsqueda, optimización o satisfacción de restricciones en lugar de enumerar todas las soluciones cuando el tamaño aumenta.</w:t>
      </w:r>
    </w:p>
    <w:p>
      <w:pPr>
        <w:pStyle w:val="BodyText"/>
        <w:widowControl/>
      </w:pPr>
      <w:r>
        <w:t xml:space="preserve">Dentro de los modelos de optimización binaria, QUBO —</w:t>
      </w:r>
      <w:r>
        <w:rPr>
          <w:i/>
          <w:iCs/>
        </w:rPr>
        <w:t xml:space="preserve">Quadratic Unconstrained Binary Optimization</w:t>
      </w:r>
      <w:r>
        <w:t xml:space="preserve">— expresa una función objetivo cuadrática sobre variables binarias. Aunque el modelo se denomina</w:t>
      </w:r>
      <w:r>
        <w:t xml:space="preserve"> </w:t>
      </w:r>
      <w:r>
        <w:t xml:space="preserve">“</w:t>
      </w:r>
      <w:r>
        <w:t xml:space="preserve">sin restricciones</w:t>
      </w:r>
      <w:r>
        <w:t xml:space="preserve">”</w:t>
      </w:r>
      <w:r>
        <w:t xml:space="preserve">, las condiciones del problema pueden incorporarse mediante términos de penalización. QUBO se ha convertido en una representación habitual para problemas de optimización combinatoria relacionados con modelos de Ising, quantum annealing y determinados algoritmos cuánticos variacionales (Glover et al., 2019; Lucas, 2014).</w:t>
      </w:r>
    </w:p>
    <w:p>
      <w:pPr>
        <w:pStyle w:val="BodyText"/>
        <w:widowControl/>
      </w:pPr>
      <w:r>
        <w:t xml:space="preserve">La forma matricial básica es</w:t>
      </w:r>
    </w:p>
    <w:p>
      <w:pPr>
        <w:pStyle w:val="BodyText"/>
        <w:widowControl/>
        <w:spacing w:line="240" w:lineRule="auto" w:before="120" w:after="120"/>
        <w:ind w:firstLine="0" w:left="0" w:right="0"/>
        <w:jc w:val="center"/>
      </w:pPr>
      <m:oMathPara>
        <m:oMathParaPr>
          <m:jc m:val="center"/>
        </m:oMathParaPr>
        <m:oMath>
          <m:limLow>
            <m:e>
              <m:r>
                <m:rPr>
                  <m:sty m:val="p"/>
                </m:rPr>
                <m:t>min</m:t>
              </m:r>
            </m:e>
            <m:lim>
              <m:r>
                <m:rPr>
                  <m:sty m:val="b"/>
                </m:rPr>
                <m:t>x</m:t>
              </m:r>
              <m:r>
                <m:rPr>
                  <m:sty m:val="p"/>
                </m:rPr>
                <m:t>∈</m:t>
              </m:r>
              <m:r>
                <m:rPr>
                  <m:sty m:val="p"/>
                </m:rPr>
                <m:t>{</m:t>
              </m:r>
              <m:r>
                <m:t>0</m:t>
              </m:r>
              <m:r>
                <m:rPr>
                  <m:sty m:val="p"/>
                </m:rPr>
                <m:t>,</m:t>
              </m:r>
              <m:r>
                <m:t>1</m:t>
              </m:r>
              <m:sSup>
                <m:e>
                  <m:r>
                    <m:rPr>
                      <m:sty m:val="p"/>
                    </m:rPr>
                    <m:t>}</m:t>
                  </m:r>
                </m:e>
                <m:sup>
                  <m:r>
                    <m:t>n</m:t>
                  </m:r>
                </m:sup>
              </m:sSup>
            </m:lim>
          </m:limLow>
          <m:r>
            <m:t>F</m:t>
          </m:r>
          <m:d>
            <m:dPr>
              <m:begChr m:val="("/>
              <m:endChr m:val=")"/>
              <m:sepChr m:val=""/>
              <m:grow/>
            </m:dPr>
            <m:e>
              <m:r>
                <m:rPr>
                  <m:sty m:val="b"/>
                </m:rPr>
                <m:t>x</m:t>
              </m:r>
            </m:e>
          </m:d>
          <m:r>
            <m:rPr>
              <m:sty m:val="p"/>
            </m:rPr>
            <m:t>=</m:t>
          </m:r>
          <m:limLow>
            <m:e>
              <m:r>
                <m:rPr>
                  <m:sty m:val="p"/>
                </m:rPr>
                <m:t>min</m:t>
              </m:r>
            </m:e>
            <m:lim>
              <m:r>
                <m:rPr>
                  <m:sty m:val="b"/>
                </m:rPr>
                <m:t>x</m:t>
              </m:r>
              <m:r>
                <m:rPr>
                  <m:sty m:val="p"/>
                </m:rPr>
                <m:t>∈</m:t>
              </m:r>
              <m:r>
                <m:rPr>
                  <m:sty m:val="p"/>
                </m:rPr>
                <m:t>{</m:t>
              </m:r>
              <m:r>
                <m:t>0</m:t>
              </m:r>
              <m:r>
                <m:rPr>
                  <m:sty m:val="p"/>
                </m:rPr>
                <m:t>,</m:t>
              </m:r>
              <m:r>
                <m:t>1</m:t>
              </m:r>
              <m:sSup>
                <m:e>
                  <m:r>
                    <m:rPr>
                      <m:sty m:val="p"/>
                    </m:rPr>
                    <m:t>}</m:t>
                  </m:r>
                </m:e>
                <m:sup>
                  <m:r>
                    <m:t>n</m:t>
                  </m:r>
                </m:sup>
              </m:sSup>
            </m:lim>
          </m:limLow>
          <m:sSup>
            <m:e>
              <m:r>
                <m:rPr>
                  <m:sty m:val="b"/>
                </m:rPr>
                <m:t>x</m:t>
              </m:r>
            </m:e>
            <m:sup>
              <m:r>
                <m:rPr>
                  <m:sty m:val="p"/>
                  <m:scr m:val="sans-serif"/>
                </m:rPr>
                <m:t>T</m:t>
              </m:r>
            </m:sup>
          </m:sSup>
          <m:r>
            <m:t>Q</m:t>
          </m:r>
          <m:r>
            <m:rPr>
              <m:sty m:val="b"/>
            </m:rPr>
            <m:t>x</m:t>
          </m:r>
          <m:r>
            <m:rPr>
              <m:sty m:val="p"/>
            </m:rPr>
            <m:t>,</m:t>
          </m:r>
        </m:oMath>
      </m:oMathPara>
    </w:p>
    <w:p>
      <w:pPr>
        <w:pStyle w:val="FirstParagraph"/>
        <w:widowControl/>
        <w:spacing w:line="240" w:lineRule="auto" w:before="120" w:after="120"/>
        <w:ind w:firstLine="0" w:left="0" w:right="0"/>
        <w:jc w:val="center"/>
      </w:pPr>
      <w:r>
        <w:t xml:space="preserve">donde</w:t>
      </w:r>
      <w:r>
        <w:t xml:space="preserve"> </w:t>
      </w:r>
      <m:oMath>
        <m:r>
          <m:t>Q</m:t>
        </m:r>
      </m:oMath>
      <w:r>
        <w:t xml:space="preserve"> </w:t>
      </w:r>
      <w:r>
        <w:t xml:space="preserve">es una matriz real de coeficientes. De forma expandida, una convención frecuente es</w:t>
      </w:r>
    </w:p>
    <w:p>
      <w:pPr>
        <w:pStyle w:val="BodyText"/>
        <w:widowControl/>
        <w:spacing w:line="240" w:lineRule="auto" w:before="120" w:after="120"/>
        <w:ind w:firstLine="0" w:left="0" w:right="0"/>
        <w:jc w:val="center"/>
      </w:pPr>
      <m:oMathPara>
        <m:oMathParaPr>
          <m:jc m:val="center"/>
        </m:oMathParaPr>
        <m:oMath>
          <m:r>
            <m:t>F</m:t>
          </m:r>
          <m:d>
            <m:dPr>
              <m:begChr m:val="("/>
              <m:endChr m:val=")"/>
              <m:sepChr m:val=""/>
              <m:grow/>
            </m:dPr>
            <m:e>
              <m:r>
                <m:rPr>
                  <m:sty m:val="b"/>
                </m:rPr>
                <m:t>x</m:t>
              </m:r>
            </m:e>
          </m:d>
          <m:r>
            <m:rPr>
              <m:sty m:val="p"/>
            </m:rPr>
            <m:t>=</m:t>
          </m:r>
          <m:nary>
            <m:naryPr>
              <m:chr m:val="∑"/>
              <m:limLoc m:val="undOvr"/>
              <m:subHide m:val="off"/>
              <m:supHide m:val="off"/>
            </m:naryPr>
            <m:sub>
              <m:r>
                <m:t>i</m:t>
              </m:r>
              <m:r>
                <m:rPr>
                  <m:sty m:val="p"/>
                </m:rPr>
                <m:t>=</m:t>
              </m:r>
              <m:r>
                <m:t>1</m:t>
              </m:r>
            </m:sub>
            <m:sup>
              <m:r>
                <m:t>n</m:t>
              </m:r>
            </m:sup>
            <m:e>
              <m:sSub>
                <m:e>
                  <m:r>
                    <m:t>Q</m:t>
                  </m:r>
                </m:e>
                <m:sub>
                  <m:r>
                    <m:t>i</m:t>
                  </m:r>
                  <m:r>
                    <m:t>i</m:t>
                  </m:r>
                </m:sub>
              </m:sSub>
            </m:e>
          </m:nary>
          <m:sSub>
            <m:e>
              <m:r>
                <m:t>x</m:t>
              </m:r>
            </m:e>
            <m:sub>
              <m:r>
                <m:t>i</m:t>
              </m:r>
            </m:sub>
          </m:sSub>
          <m:r>
            <m:rPr>
              <m:sty m:val="p"/>
            </m:rPr>
            <m:t>+</m:t>
          </m:r>
          <m:nary>
            <m:naryPr>
              <m:chr m:val="∑"/>
              <m:limLoc m:val="undOvr"/>
              <m:subHide m:val="off"/>
              <m:supHide m:val="on"/>
            </m:naryPr>
            <m:sub>
              <m:r>
                <m:t>1</m:t>
              </m:r>
              <m:r>
                <m:rPr>
                  <m:sty m:val="p"/>
                </m:rPr>
                <m:t>≤</m:t>
              </m:r>
              <m:r>
                <m:t>i</m:t>
              </m:r>
              <m:r>
                <m:rPr>
                  <m:sty m:val="p"/>
                </m:rPr>
                <m:t>&lt;</m:t>
              </m:r>
              <m:r>
                <m:t>j</m:t>
              </m:r>
              <m:r>
                <m:rPr>
                  <m:sty m:val="p"/>
                </m:rPr>
                <m:t>≤</m:t>
              </m:r>
              <m:r>
                <m:t>n</m:t>
              </m:r>
            </m:sub>
            <m:sup>
              <m:r>
                <m:t>​</m:t>
              </m:r>
            </m:sup>
            <m:e>
              <m:sSub>
                <m:e>
                  <m:r>
                    <m:t>Q</m:t>
                  </m:r>
                </m:e>
                <m:sub>
                  <m:r>
                    <m:t>i</m:t>
                  </m:r>
                  <m:r>
                    <m:t>j</m:t>
                  </m:r>
                </m:sub>
              </m:sSub>
            </m:e>
          </m:nary>
          <m:sSub>
            <m:e>
              <m:r>
                <m:t>x</m:t>
              </m:r>
            </m:e>
            <m:sub>
              <m:r>
                <m:t>i</m:t>
              </m:r>
            </m:sub>
          </m:sSub>
          <m:sSub>
            <m:e>
              <m:r>
                <m:t>x</m:t>
              </m:r>
            </m:e>
            <m:sub>
              <m:r>
                <m:t>j</m:t>
              </m:r>
            </m:sub>
          </m:sSub>
          <m:r>
            <m:rPr>
              <m:sty m:val="p"/>
            </m:rPr>
            <m:t>.</m:t>
          </m:r>
        </m:oMath>
      </m:oMathPara>
    </w:p>
    <w:p>
      <w:pPr>
        <w:pStyle w:val="FirstParagraph"/>
        <w:widowControl/>
      </w:pPr>
      <w:r>
        <w:t xml:space="preserve">Los términos diagonales representan contribuciones individuales y los términos fuera de la diagonal representan interacciones entre decisiones. Esta estructura es apropiada para penalizar pares incompatibles, favorecer selecciones concretas o incorporar restricciones mediante expresiones cuadráticas.</w:t>
      </w:r>
    </w:p>
    <w:p>
      <w:pPr>
        <w:pStyle w:val="BodyText"/>
        <w:widowControl/>
      </w:pPr>
      <w:r>
        <w:t xml:space="preserve">No obstante, la posibilidad de transformar un problema a QUBO no garantiza que la representación sea compacta ni fácil de resolver. Condiciones locales, como seleccionar exactamente un número de elementos o impedir que dos posiciones incompatibles se activen a la vez, pueden expresarse mediante penalizaciones relativamente directas. En cambio, las restricciones de orden, recorrido y conectividad global suelen requerir variables auxiliares, restricciones de flujo o codificaciones temporales. El coste de la representación debe evaluarse en términos de número de variables, densidad de interacciones, magnitud de los coeficientes y sensibilidad a las penalizaciones.</w:t>
      </w:r>
    </w:p>
    <w:p>
      <w:pPr>
        <w:pStyle w:val="BodyText"/>
        <w:widowControl/>
      </w:pPr>
      <w:r>
        <w:t xml:space="preserve">La relación entre optimización binaria y computación cuántica constituye la motivación tecnológica del trabajo. Una formulación QUBO puede resolverse mediante métodos clásicos exactos, programación matemática, búsqueda local o simulated annealing, pero también puede traducirse a un Hamiltoniano de Ising y utilizarse en quantum annealing o en algoritmos variacionales de circuitos. Esta coexistencia permite mantener una representación común y comparar paradigmas de resolución diferentes sin asumir que los métodos cuánticos deban superar a las alternativas clásicas.</w:t>
      </w:r>
    </w:p>
    <w:p>
      <w:pPr>
        <w:pStyle w:val="BodyText"/>
        <w:widowControl/>
      </w:pPr>
      <w:r>
        <w:t xml:space="preserve">La aplicación de la computación cuántica a la generación procedural es todavía una línea exploratoria. Wootton (2020a) propuso un procedimiento cuántico para generar mapas geopolíticos y su historia asociada mediante una red de qubits cuyas interacciones codifican un proceso rudimentario de decisión. En otro trabajo, Wootton (2020b) presentó una generalización cuántica de un proceso de desenfoque en la que la interferencia se utiliza para producir un efecto procedural. Ambos estudios son pruebas de concepto orientadas a explorar qué puede hacerse con recursos cuánticos de pequeña escala; no utilizan el mismo planteamiento QUBO ni realizan la comparación de algoritmos prevista en este TFM.</w:t>
      </w:r>
    </w:p>
    <w:p>
      <w:pPr>
        <w:pStyle w:val="BodyText"/>
        <w:widowControl/>
      </w:pPr>
      <w:r>
        <w:t xml:space="preserve">El presente trabajo adopta, por tanto, un enfoque distinto. Se estudiarán tres problemas de generación procedural como problemas de optimización combinatoria de dificultad creciente. Para cada caso se definirá una representación binaria, se desarrollará una formulación clásica y una formulación QUBO, se seleccionarán líneas base clásicas y se evaluarán métodos de annealing. Además, se intentará implementar una instancia reducida mediante un algoritmo cuántico de circuitos, previsiblemente QAOA. El objetivo no será demostrar ventaja cuántica, sino analizar de forma crítica la expresividad, el coste y las limitaciones de estas formulaciones.</w:t>
      </w:r>
    </w:p>
    <w:bookmarkEnd w:id="21"/>
    <w:bookmarkStart w:id="22" w:name="planteamiento-del-problema"/>
    <w:p>
      <w:pPr>
        <w:pStyle w:val="Heading2"/>
        <w:keepNext/>
        <w:keepLines/>
        <w:ind w:firstLine="0"/>
      </w:pPr>
      <w:r>
        <w:t xml:space="preserve">1.2. Planteamiento del problema</w:t>
      </w:r>
    </w:p>
    <w:p>
      <w:pPr>
        <w:pStyle w:val="FirstParagraph"/>
        <w:widowControl/>
      </w:pPr>
      <w:r>
        <w:t xml:space="preserve">El problema general abordado en este TFM consiste en generar configuraciones espaciales que satisfagan simultáneamente requisitos de validez y criterios de calidad. La dificultad no se limita a obtener un vector binario de baja energía. También es necesario determinar qué representa cada variable, cómo se relacionan las decisiones con el contenido, cómo se introducen las restricciones y cómo se comprueba que una solución matemática corresponde a una escena válida.</w:t>
      </w:r>
    </w:p>
    <w:p>
      <w:pPr>
        <w:pStyle w:val="BodyText"/>
        <w:widowControl/>
      </w:pPr>
      <w:r>
        <w:t xml:space="preserve">Para estudiar esta cuestión se plantean tres casos de complejidad creciente. La progresión no se definirá únicamente por el número de variables, sino también por la naturaleza de las restricciones, la densidad de las interacciones y la necesidad de representar propiedades globales.</w:t>
      </w:r>
    </w:p>
    <w:p>
      <w:pPr>
        <w:pStyle w:val="BodyText"/>
        <w:widowControl/>
      </w:pPr>
      <w:r>
        <w:t xml:space="preserve">El primer caso consiste en seleccionar las posiciones en las que deben colocarse monedas dentro de un escenario formado por un conjunto discreto de coordenadas candidatas. Cada posición tendrá asociada una variable binaria. La formulación controlará, al menos, el número total de monedas, la validez de las posiciones y la separación mínima entre objetos. También podrá incorporar criterios de distribución, cobertura o accesibilidad. Este caso representa principalmente un problema de selección con restricciones locales y será el principal candidato para la búsqueda exhaustiva y la implementación mediante un circuito cuántico pequeño.</w:t>
      </w:r>
    </w:p>
    <w:p>
      <w:pPr>
        <w:pStyle w:val="BodyText"/>
        <w:widowControl/>
      </w:pPr>
      <w:r>
        <w:t xml:space="preserve">El segundo caso consiste en generar una secuencia de plataformas que permita desplazarse desde una posición inicial hasta una meta. Las plataformas se seleccionarán entre un conjunto de ubicaciones tridimensionales candidatas. Una relación de alcanzabilidad determinará qué saltos son posibles según un modelo simplificado del movimiento, que tendrá en cuenta la distancia horizontal, la diferencia de altura y unos umbrales máximos de ascenso y descenso. El escenario podrá representarse mediante un grafo dirigido</w:t>
      </w:r>
    </w:p>
    <w:p>
      <w:pPr>
        <w:pStyle w:val="BodyText"/>
        <w:widowControl/>
        <w:spacing w:line="240" w:lineRule="auto" w:before="120" w:after="120"/>
        <w:ind w:firstLine="0" w:left="0" w:right="0"/>
        <w:jc w:val="center"/>
      </w:pPr>
      <m:oMathPara>
        <m:oMathParaPr>
          <m:jc m:val="center"/>
        </m:oMathParaPr>
        <m:oMath>
          <m:r>
            <m:t>G</m:t>
          </m:r>
          <m:r>
            <m:rPr>
              <m:sty m:val="p"/>
            </m:rPr>
            <m:t>=</m:t>
          </m:r>
          <m:d>
            <m:dPr>
              <m:begChr m:val="("/>
              <m:endChr m:val=")"/>
              <m:sepChr m:val=""/>
              <m:grow/>
            </m:dPr>
            <m:e>
              <m:r>
                <m:t>V</m:t>
              </m:r>
              <m:r>
                <m:rPr>
                  <m:sty m:val="p"/>
                </m:rPr>
                <m:t>,</m:t>
              </m:r>
              <m:r>
                <m:t>E</m:t>
              </m:r>
            </m:e>
          </m:d>
          <m:r>
            <m:rPr>
              <m:sty m:val="p"/>
            </m:rPr>
            <m:t>,</m:t>
          </m:r>
        </m:oMath>
      </m:oMathPara>
    </w:p>
    <w:p>
      <w:pPr>
        <w:pStyle w:val="FirstParagraph"/>
        <w:widowControl/>
        <w:spacing w:line="240" w:lineRule="auto" w:before="120" w:after="120"/>
        <w:ind w:firstLine="0" w:left="0" w:right="0"/>
        <w:jc w:val="center"/>
      </w:pPr>
      <w:r>
        <w:t xml:space="preserve">donde</w:t>
      </w:r>
      <w:r>
        <w:t xml:space="preserve"> </w:t>
      </w:r>
      <m:oMath>
        <m:r>
          <m:t>V</m:t>
        </m:r>
      </m:oMath>
      <w:r>
        <w:t xml:space="preserve"> </w:t>
      </w:r>
      <w:r>
        <w:t xml:space="preserve">contiene las plataformas candidatas y</w:t>
      </w:r>
      <w:r>
        <w:t xml:space="preserve"> </w:t>
      </w:r>
      <m:oMath>
        <m:r>
          <m:t>E</m:t>
        </m:r>
      </m:oMath>
      <w:r>
        <w:t xml:space="preserve"> </w:t>
      </w:r>
      <w:r>
        <w:t xml:space="preserve">las transiciones físicamente permitidas. Este caso añade relaciones entre elementos y la necesidad de formar una secuencia válida.</w:t>
      </w:r>
    </w:p>
    <w:p>
      <w:pPr>
        <w:pStyle w:val="BodyText"/>
        <w:widowControl/>
      </w:pPr>
      <w:r>
        <w:t xml:space="preserve">La importancia de modelar la alcanzabilidad aparece en trabajos de generación de plataformas basados en restricciones. Tanagra combina planificación reactiva y resolución de restricciones para producir niveles de plataformas coherentes con las decisiones del diseñador (Smith et al., 2011). Lee et al. (2020) proponen precalcular estados y transiciones del movimiento para generar niveles que garanticen la alcanzabilidad de metas y elementos coleccionables. Estos antecedentes respaldan la separación entre el modelo de movimiento y el problema combinatorio de selección.</w:t>
      </w:r>
    </w:p>
    <w:p>
      <w:pPr>
        <w:pStyle w:val="BodyText"/>
        <w:widowControl/>
      </w:pPr>
      <w:r>
        <w:t xml:space="preserve">El tercer caso consiste en generar un mapa sobre una cuadrícula, colocar obstáculos y garantizar la conectividad entre una celda inicial y una celda objetivo. Cada celda podrá ser transitable u ocupada. La colocación de obstáculos es una decisión local, pero la existencia de una ruta depende de la configuración completa del mapa. Por esta razón se estudiarán dos estrategias complementarias.</w:t>
      </w:r>
    </w:p>
    <w:p>
      <w:pPr>
        <w:pStyle w:val="BodyText"/>
        <w:widowControl/>
      </w:pPr>
      <w:r>
        <w:t xml:space="preserve">En la</w:t>
      </w:r>
      <w:r>
        <w:t xml:space="preserve"> </w:t>
      </w:r>
      <w:r>
        <w:rPr>
          <w:b/>
          <w:bCs/>
        </w:rPr>
        <w:t xml:space="preserve">formulación conjunta</w:t>
      </w:r>
      <w:r>
        <w:t xml:space="preserve">, el modelo decidirá simultáneamente la distribución de obstáculos y una ruta válida entre inicio y meta. La conectividad se incorporará mediante variables adicionales asociadas a celdas, aristas, flujo u orden. Este enfoque permitirá analizar el coste de incluir una propiedad global dentro del propio QUBO.</w:t>
      </w:r>
    </w:p>
    <w:p>
      <w:pPr>
        <w:pStyle w:val="BodyText"/>
        <w:widowControl/>
      </w:pPr>
      <w:r>
        <w:t xml:space="preserve">En la estrategia de</w:t>
      </w:r>
      <w:r>
        <w:t xml:space="preserve"> </w:t>
      </w:r>
      <w:r>
        <w:rPr>
          <w:b/>
          <w:bCs/>
        </w:rPr>
        <w:t xml:space="preserve">generación y validación separadas</w:t>
      </w:r>
      <w:r>
        <w:t xml:space="preserve">, el algoritmo generará la distribución de obstáculos y un algoritmo clásico comprobará posteriormente la conectividad. Las soluciones desconectadas podrán rechazarse, penalizarse o repararse. Este enfoque reduce el tamaño del modelo, pero puede producir configuraciones inválidas y requerir una fase externa.</w:t>
      </w:r>
    </w:p>
    <w:p>
      <w:pPr>
        <w:pStyle w:val="BodyText"/>
        <w:widowControl/>
      </w:pPr>
      <w:r>
        <w:t xml:space="preserve">La comparación entre las dos estrategias del mapa es uno de los ejes principales del trabajo. No se limitará al tiempo de ejecución. Se analizarán el número de variables, el número de términos cuadráticos, la tasa de soluciones válidas, la densidad de obstáculos, la longitud de la ruta, la sensibilidad a las penalizaciones y el tamaño máximo de las instancias abordables.</w:t>
      </w:r>
    </w:p>
    <w:p>
      <w:pPr>
        <w:pStyle w:val="BodyText"/>
        <w:widowControl/>
      </w:pPr>
      <w:r>
        <w:t xml:space="preserve">Los resultados se contrastarán con métodos clásicos adecuados para cada función. La búsqueda exhaustiva proporcionará óptimos de referencia para instancias pequeñas; CP-SAT o programación entera permitirán mantener las restricciones explícitas; simulated annealing actuará como heurística común sobre una función energética; y BFS, Dijkstra o A* se utilizarán para comprobar u obtener recorridos en grafos y cuadrículas. Estos algoritmos no tendrán siempre el mismo papel: los algoritmos de caminos validarán o medirán la conectividad, mientras que los optimizadores decidirán la configuración del contenido.</w:t>
      </w:r>
    </w:p>
    <w:p>
      <w:pPr>
        <w:pStyle w:val="BodyText"/>
        <w:widowControl/>
      </w:pPr>
      <w:r>
        <w:t xml:space="preserve">Las soluciones se representarán en Blender mediante la biblioteca de Python</w:t>
      </w:r>
      <w:r>
        <w:t xml:space="preserve"> </w:t>
      </w:r>
      <w:r>
        <w:rPr>
          <w:rStyle w:val="VerbatimChar"/>
        </w:rPr>
        <w:t xml:space="preserve">bpy</w:t>
      </w:r>
      <w:r>
        <w:t xml:space="preserve">. Blender no formará parte del proceso interno de optimización. Funcionará como una capa de visualización que transformará vectores, grafos y matrices en escenas tridimensionales. Las monedas se colocarán en coordenadas discretas, las plataformas se crearán o importarán en las posiciones seleccionadas y las celdas del mapa se convertirán en suelo, obstáculos, inicio, meta y, cuando corresponda, una representación de la ruta.</w:t>
      </w:r>
    </w:p>
    <w:bookmarkEnd w:id="22"/>
    <w:bookmarkStart w:id="23" w:name="preguntas-e-hipótesis-de-investigación"/>
    <w:p>
      <w:pPr>
        <w:pStyle w:val="Heading2"/>
        <w:keepNext/>
        <w:keepLines/>
        <w:ind w:firstLine="0"/>
      </w:pPr>
      <w:r>
        <w:t xml:space="preserve">1.3. Preguntas e hipótesis de investigación</w:t>
      </w:r>
    </w:p>
    <w:p>
      <w:pPr>
        <w:pStyle w:val="FirstParagraph"/>
        <w:widowControl/>
      </w:pPr>
      <w:r>
        <w:t xml:space="preserve">La pregunta principal que guía el trabajo es la siguiente:</w:t>
      </w:r>
    </w:p>
    <w:p>
      <w:pPr>
        <w:pStyle w:val="BlockText"/>
        <w:widowControl/>
        <w:spacing w:before="160" w:after="160"/>
        <w:ind w:left="709" w:right="709" w:firstLine="0"/>
        <w:jc w:val="both"/>
      </w:pPr>
      <w:r>
        <w:rPr>
          <w:b/>
          <w:bCs/>
        </w:rPr>
        <w:t xml:space="preserve">¿En qué medida las formulaciones QUBO y los métodos de optimización cuántica permiten modelar y resolver problemas de generación procedural de contenido de complejidad creciente, en comparación con métodos clásicos?</w:t>
      </w:r>
    </w:p>
    <w:p>
      <w:pPr>
        <w:pStyle w:val="FirstParagraph"/>
        <w:widowControl/>
      </w:pPr>
      <w:r>
        <w:t xml:space="preserve">Esta cuestión se concreta en las siguientes preguntas secundarias:</w:t>
      </w:r>
    </w:p>
    <w:p>
      <w:pPr>
        <w:pStyle w:val="Compact"/>
        <w:widowControl/>
        <w:numPr>
          <w:ilvl w:val="0"/>
          <w:numId w:val="1001"/>
        </w:numPr>
      </w:pPr>
      <w:r>
        <w:t xml:space="preserve">¿Cómo evolucionan el número de variables, la densidad del QUBO y la cantidad de variables auxiliares entre los tres casos?</w:t>
      </w:r>
    </w:p>
    <w:p>
      <w:pPr>
        <w:pStyle w:val="Compact"/>
        <w:widowControl/>
        <w:numPr>
          <w:ilvl w:val="0"/>
          <w:numId w:val="1001"/>
        </w:numPr>
      </w:pPr>
      <w:r>
        <w:t xml:space="preserve">¿Qué calidad de solución obtiene cada método en términos de objetivo, validez y proximidad al óptimo o a la mejor solución conocida?</w:t>
      </w:r>
    </w:p>
    <w:p>
      <w:pPr>
        <w:pStyle w:val="Compact"/>
        <w:widowControl/>
        <w:numPr>
          <w:ilvl w:val="0"/>
          <w:numId w:val="1001"/>
        </w:numPr>
      </w:pPr>
      <w:r>
        <w:t xml:space="preserve">¿Qué diferencias aparecen entre los métodos clásicos exactos, simulated annealing, quantum annealing o su simulación y QAOA?</w:t>
      </w:r>
    </w:p>
    <w:p>
      <w:pPr>
        <w:pStyle w:val="Compact"/>
        <w:widowControl/>
        <w:numPr>
          <w:ilvl w:val="0"/>
          <w:numId w:val="1001"/>
        </w:numPr>
      </w:pPr>
      <w:r>
        <w:t xml:space="preserve">¿Cómo afecta la elección de los coeficientes de penalización a la validez y a la calidad de las soluciones?</w:t>
      </w:r>
    </w:p>
    <w:p>
      <w:pPr>
        <w:pStyle w:val="Compact"/>
        <w:widowControl/>
        <w:numPr>
          <w:ilvl w:val="0"/>
          <w:numId w:val="1001"/>
        </w:numPr>
      </w:pPr>
      <w:r>
        <w:t xml:space="preserve">¿Qué coste introduce la representación de secuencias y conectividad global?</w:t>
      </w:r>
    </w:p>
    <w:p>
      <w:pPr>
        <w:pStyle w:val="Compact"/>
        <w:widowControl/>
        <w:numPr>
          <w:ilvl w:val="0"/>
          <w:numId w:val="1001"/>
        </w:numPr>
      </w:pPr>
      <w:r>
        <w:t xml:space="preserve">¿Qué diferencias existen entre integrar la conectividad en la formulación del mapa y validarla mediante un algoritmo externo?</w:t>
      </w:r>
    </w:p>
    <w:p>
      <w:pPr>
        <w:pStyle w:val="Compact"/>
        <w:widowControl/>
        <w:numPr>
          <w:ilvl w:val="0"/>
          <w:numId w:val="1001"/>
        </w:numPr>
      </w:pPr>
      <w:r>
        <w:t xml:space="preserve">¿Qué tamaño de instancia puede abordarse razonablemente mediante circuitos cuánticos dentro del alcance del TFM?</w:t>
      </w:r>
    </w:p>
    <w:p>
      <w:pPr>
        <w:pStyle w:val="Compact"/>
        <w:widowControl/>
        <w:numPr>
          <w:ilvl w:val="0"/>
          <w:numId w:val="1001"/>
        </w:numPr>
      </w:pPr>
      <w:r>
        <w:t xml:space="preserve">¿En qué medida la visualización en Blender facilita la interpretación espacial y la detección de soluciones anómalas?</w:t>
      </w:r>
    </w:p>
    <w:p>
      <w:pPr>
        <w:pStyle w:val="FirstParagraph"/>
        <w:widowControl/>
      </w:pPr>
      <w:r>
        <w:t xml:space="preserve">Como hipótesis de trabajo se plantea que QUBO permitirá representar los tres casos mediante un marco binario común, pero que el crecimiento de la complejidad estructural producirá un incremento significativo del número de variables y de interacciones. Se espera que la conectividad global sea la propiedad más costosa de incorporar directamente y que limite de forma especial las instancias ejecutables mediante circuitos cuánticos.</w:t>
      </w:r>
    </w:p>
    <w:p>
      <w:pPr>
        <w:pStyle w:val="BodyText"/>
        <w:widowControl/>
      </w:pPr>
      <w:r>
        <w:t xml:space="preserve">No se parte de la hipótesis de que los métodos cuánticos obtendrán mejores resultados que los clásicos. La comparación pretende identificar posibilidades, costes de modelado y limitaciones. En particular, se espera que los métodos clásicos exactos y heurísticos sigan siendo necesarios como referencia de calidad, como mecanismo de validación y como alternativa para instancias que excedan los recursos disponibles.</w:t>
      </w:r>
    </w:p>
    <w:bookmarkEnd w:id="23"/>
    <w:bookmarkStart w:id="26" w:name="objetivos"/>
    <w:p>
      <w:pPr>
        <w:pStyle w:val="Heading2"/>
        <w:keepNext/>
        <w:keepLines/>
        <w:ind w:firstLine="0"/>
      </w:pPr>
      <w:r>
        <w:t xml:space="preserve">1.4. Objetivos</w:t>
      </w:r>
    </w:p>
    <w:bookmarkStart w:id="24" w:name="objetivo-general"/>
    <w:p>
      <w:pPr>
        <w:pStyle w:val="Heading3"/>
        <w:keepNext/>
        <w:keepLines/>
        <w:ind w:firstLine="0"/>
      </w:pPr>
      <w:r>
        <w:t xml:space="preserve">1.4.1. Objetivo general</w:t>
      </w:r>
    </w:p>
    <w:p>
      <w:pPr>
        <w:pStyle w:val="FirstParagraph"/>
        <w:widowControl/>
      </w:pPr>
      <w:r>
        <w:t xml:space="preserve">Diseñar, formular y evaluar tres problemas de generación procedural de contenido de complejidad creciente mediante modelos QUBO, comparar su resolución con métodos clásicos, técnicas de annealing y, para instancias reducidas, algoritmos cuánticos basados en circuitos, y visualizar las soluciones obtenidas mediante Blender.</w:t>
      </w:r>
    </w:p>
    <w:bookmarkEnd w:id="24"/>
    <w:bookmarkStart w:id="25" w:name="objetivos-específicos"/>
    <w:p>
      <w:pPr>
        <w:pStyle w:val="Heading3"/>
        <w:keepNext/>
        <w:keepLines/>
        <w:ind w:firstLine="0"/>
      </w:pPr>
      <w:r>
        <w:t xml:space="preserve">1.4.2. Objetivos específicos</w:t>
      </w:r>
    </w:p>
    <w:p>
      <w:pPr>
        <w:pStyle w:val="Compact"/>
        <w:widowControl/>
        <w:numPr>
          <w:ilvl w:val="0"/>
          <w:numId w:val="1002"/>
        </w:numPr>
      </w:pPr>
      <w:r>
        <w:t xml:space="preserve">Analizar el estado del arte sobre generación procedural, optimización combinatoria, QUBO, quantum annealing y algoritmos cuánticos variacionales.</w:t>
      </w:r>
    </w:p>
    <w:p>
      <w:pPr>
        <w:pStyle w:val="Compact"/>
        <w:widowControl/>
        <w:numPr>
          <w:ilvl w:val="0"/>
          <w:numId w:val="1002"/>
        </w:numPr>
      </w:pPr>
      <w:r>
        <w:t xml:space="preserve">Diseñar los casos de colocación de monedas, secuencia alcanzable de plataformas y mapa en cuadrícula con obstáculos.</w:t>
      </w:r>
    </w:p>
    <w:p>
      <w:pPr>
        <w:pStyle w:val="Compact"/>
        <w:widowControl/>
        <w:numPr>
          <w:ilvl w:val="0"/>
          <w:numId w:val="1002"/>
        </w:numPr>
      </w:pPr>
      <w:r>
        <w:t xml:space="preserve">Definir para cada caso las variables, los objetivos, las restricciones y los criterios de validez.</w:t>
      </w:r>
    </w:p>
    <w:p>
      <w:pPr>
        <w:pStyle w:val="Compact"/>
        <w:widowControl/>
        <w:numPr>
          <w:ilvl w:val="0"/>
          <w:numId w:val="1002"/>
        </w:numPr>
      </w:pPr>
      <w:r>
        <w:t xml:space="preserve">Transformar los tres problemas en formulaciones QUBO y estudiar el coste de las penalizaciones y las variables auxiliares.</w:t>
      </w:r>
    </w:p>
    <w:p>
      <w:pPr>
        <w:pStyle w:val="Compact"/>
        <w:widowControl/>
        <w:numPr>
          <w:ilvl w:val="0"/>
          <w:numId w:val="1002"/>
        </w:numPr>
      </w:pPr>
      <w:r>
        <w:t xml:space="preserve">Seleccionar e implementar líneas base clásicas exactas, heurísticas y de validación de conectividad.</w:t>
      </w:r>
    </w:p>
    <w:p>
      <w:pPr>
        <w:pStyle w:val="Compact"/>
        <w:widowControl/>
        <w:numPr>
          <w:ilvl w:val="0"/>
          <w:numId w:val="1002"/>
        </w:numPr>
      </w:pPr>
      <w:r>
        <w:t xml:space="preserve">Resolver los QUBO mediante simulated annealing y técnicas de quantum annealing o simulación equivalente.</w:t>
      </w:r>
    </w:p>
    <w:p>
      <w:pPr>
        <w:pStyle w:val="Compact"/>
        <w:widowControl/>
        <w:numPr>
          <w:ilvl w:val="0"/>
          <w:numId w:val="1002"/>
        </w:numPr>
      </w:pPr>
      <w:r>
        <w:t xml:space="preserve">Implementar una prueba de concepto con QAOA para una instancia reducida, siempre que el tamaño sea compatible con los recursos disponibles.</w:t>
      </w:r>
    </w:p>
    <w:p>
      <w:pPr>
        <w:pStyle w:val="Compact"/>
        <w:widowControl/>
        <w:numPr>
          <w:ilvl w:val="0"/>
          <w:numId w:val="1002"/>
        </w:numPr>
      </w:pPr>
      <w:r>
        <w:t xml:space="preserve">Comparar los métodos mediante métricas de calidad, validez, estabilidad, coste de representación y escalabilidad.</w:t>
      </w:r>
    </w:p>
    <w:p>
      <w:pPr>
        <w:pStyle w:val="Compact"/>
        <w:widowControl/>
        <w:numPr>
          <w:ilvl w:val="0"/>
          <w:numId w:val="1002"/>
        </w:numPr>
      </w:pPr>
      <w:r>
        <w:t xml:space="preserve">Comparar, para el mapa, la formulación conjunta y la generación con validación separada.</w:t>
      </w:r>
    </w:p>
    <w:p>
      <w:pPr>
        <w:pStyle w:val="Compact"/>
        <w:widowControl/>
        <w:numPr>
          <w:ilvl w:val="0"/>
          <w:numId w:val="1002"/>
        </w:numPr>
      </w:pPr>
      <w:r>
        <w:t xml:space="preserve">Automatizar la representación de las soluciones con Blender y</w:t>
      </w:r>
      <w:r>
        <w:t xml:space="preserve"> </w:t>
      </w:r>
      <w:r>
        <w:rPr>
          <w:rStyle w:val="VerbatimChar"/>
        </w:rPr>
        <w:t xml:space="preserve">bpy</w:t>
      </w:r>
      <w:r>
        <w:t xml:space="preserve">.</w:t>
      </w:r>
    </w:p>
    <w:p>
      <w:pPr>
        <w:pStyle w:val="Compact"/>
        <w:widowControl/>
        <w:numPr>
          <w:ilvl w:val="0"/>
          <w:numId w:val="1002"/>
        </w:numPr>
      </w:pPr>
      <w:r>
        <w:t xml:space="preserve">Identificar las principales limitaciones del estudio y proponer líneas de trabajo futuro.</w:t>
      </w:r>
    </w:p>
    <w:bookmarkEnd w:id="25"/>
    <w:bookmarkEnd w:id="26"/>
    <w:bookmarkStart w:id="27" w:name="metodología-general"/>
    <w:p>
      <w:pPr>
        <w:pStyle w:val="Heading2"/>
        <w:keepNext/>
        <w:keepLines/>
        <w:ind w:firstLine="0"/>
      </w:pPr>
      <w:r>
        <w:t xml:space="preserve">1.5. Metodología general</w:t>
      </w:r>
    </w:p>
    <w:p>
      <w:pPr>
        <w:pStyle w:val="FirstParagraph"/>
        <w:widowControl/>
      </w:pPr>
      <w:r>
        <w:t xml:space="preserve">El trabajo seguirá una metodología experimental y comparativa. En primer lugar, se realizará una revisión bibliográfica de los métodos de generación procedural, las técnicas clásicas aplicables a los casos, la formulación QUBO y los métodos cuánticos de optimización. La revisión no se utilizará únicamente como contextualización: servirá para justificar las decisiones de representación, seleccionar líneas base y establecer qué afirmaciones pueden sostenerse con trabajos previos.</w:t>
      </w:r>
    </w:p>
    <w:p>
      <w:pPr>
        <w:pStyle w:val="BodyText"/>
        <w:widowControl/>
      </w:pPr>
      <w:r>
        <w:t xml:space="preserve">En segundo lugar, se definirán formalmente los tres casos de estudio. Para cada uno se especificarán las entradas, las variables de decisión, el dominio, los objetivos, las restricciones duras, los criterios de calidad y el procedimiento que convierte una solución binaria en una escena. Esta fase incluirá pruebas pequeñas destinadas a comprobar que la formulación representa realmente el problema descrito.</w:t>
      </w:r>
    </w:p>
    <w:p>
      <w:pPr>
        <w:pStyle w:val="BodyText"/>
        <w:widowControl/>
      </w:pPr>
      <w:r>
        <w:t xml:space="preserve">En tercer lugar, se construirán modelos clásicos con restricciones explícitas y modelos QUBO con penalizaciones. Las instancias pequeñas se resolverán mediante enumeración exhaustiva cuando sea viable. Se utilizará CP-SAT o un modelo de programación entera para obtener referencias exactas o cotas. Los métodos estocásticos se ejecutarán varias veces y conservarán sus parámetros y semillas para favorecer la reproducibilidad.</w:t>
      </w:r>
    </w:p>
    <w:p>
      <w:pPr>
        <w:pStyle w:val="BodyText"/>
        <w:widowControl/>
      </w:pPr>
      <w:r>
        <w:t xml:space="preserve">En cuarto lugar, los QUBO se resolverán mediante simulated annealing y, cuando sea posible, mediante herramientas de quantum annealing o simuladores. Se distinguirán de manera explícita la simulación clásica, la emulación de un procedimiento cuántico y la ejecución en hardware real. La ausencia inicial de acceso a hardware no impedirá estudiar la formulación, pero limitará el tipo de conclusiones que puedan extraerse.</w:t>
      </w:r>
    </w:p>
    <w:p>
      <w:pPr>
        <w:pStyle w:val="BodyText"/>
        <w:widowControl/>
      </w:pPr>
      <w:r>
        <w:t xml:space="preserve">En quinto lugar, se implementará una instancia pequeña mediante QAOA. El QUBO se transformará en un Hamiltoniano de coste, se construirá un circuito parametrizado y un optimizador clásico ajustará los parámetros. El experimento se interpretará como una prueba de concepto y no como evidencia de escalabilidad o ventaja cuántica.</w:t>
      </w:r>
    </w:p>
    <w:p>
      <w:pPr>
        <w:pStyle w:val="BodyText"/>
        <w:widowControl/>
      </w:pPr>
      <w:r>
        <w:t xml:space="preserve">Finalmente, se generarán escenas en Blender a partir de las soluciones. La visualización permitirá comprobar la correspondencia entre la codificación matemática y la disposición espacial, mostrar rutas y comparar de forma comprensible resultados producidos por diferentes métodos.</w:t>
      </w:r>
    </w:p>
    <w:bookmarkEnd w:id="27"/>
    <w:bookmarkStart w:id="28" w:name="evaluación-experimental"/>
    <w:p>
      <w:pPr>
        <w:pStyle w:val="Heading2"/>
        <w:keepNext/>
        <w:keepLines/>
        <w:ind w:firstLine="0"/>
      </w:pPr>
      <w:r>
        <w:t xml:space="preserve">1.6. Evaluación experimental</w:t>
      </w:r>
    </w:p>
    <w:p>
      <w:pPr>
        <w:pStyle w:val="FirstParagraph"/>
        <w:widowControl/>
      </w:pPr>
      <w:r>
        <w:t xml:space="preserve">Las métricas generales incluirán el valor de la función objetivo, el porcentaje de restricciones satisfechas, la tasa de soluciones válidas, la distancia respecto al óptimo o a la mejor solución conocida, el tiempo de ejecución, el número de variables, el número de variables auxiliares, la cantidad de términos cuadráticos y la variabilidad entre ejecuciones.</w:t>
      </w:r>
    </w:p>
    <w:p>
      <w:pPr>
        <w:pStyle w:val="BodyText"/>
        <w:widowControl/>
      </w:pPr>
      <w:r>
        <w:t xml:space="preserve">Para los métodos estocásticos se registrarán, como mínimo, la mejor solución, la media, la desviación estándar y la proporción de ejecuciones válidas. Cuando el espacio de búsqueda sea pequeño, se utilizará el óptimo exacto. Cuando no sea posible demostrar la optimalidad, se indicará la mejor solución conocida y, si el solucionador lo proporciona, la cota disponible.</w:t>
      </w:r>
    </w:p>
    <w:p>
      <w:pPr>
        <w:pStyle w:val="BodyText"/>
        <w:widowControl/>
      </w:pPr>
      <w:r>
        <w:t xml:space="preserve">En el caso de las monedas se evaluarán el número correcto de objetos, la ausencia de posiciones prohibidas, la separación mínima, la distribución espacial y la cobertura del escenario. En las plataformas se medirán la existencia de una secuencia, el número de elementos, el coste de los saltos, la longitud del recorrido y el cumplimiento del modelo de alcanzabilidad. En el mapa se medirán la conectividad, la longitud de la ruta, la densidad de obstáculos, la tasa de mapas válidos y el coste adicional de representar la conectividad dentro del modelo.</w:t>
      </w:r>
    </w:p>
    <w:p>
      <w:pPr>
        <w:pStyle w:val="BodyText"/>
        <w:widowControl/>
      </w:pPr>
      <w:r>
        <w:t xml:space="preserve">La comparación temporal se interpretará con cautela. El tiempo de un simulador clásico de circuitos no representa el tiempo que tendría una ejecución en hardware cuántico, y el tiempo de acceso remoto a un servicio puede incluir latencias ajenas al algoritmo. Por ello, las conclusiones se apoyarán en varias dimensiones y no únicamente en el tiempo.</w:t>
      </w:r>
    </w:p>
    <w:bookmarkEnd w:id="28"/>
    <w:bookmarkStart w:id="29" w:name="alcance-y-limitaciones"/>
    <w:p>
      <w:pPr>
        <w:pStyle w:val="Heading2"/>
        <w:keepNext/>
        <w:keepLines/>
        <w:ind w:firstLine="0"/>
      </w:pPr>
      <w:r>
        <w:t xml:space="preserve">1.7. Alcance y limitaciones</w:t>
      </w:r>
    </w:p>
    <w:p>
      <w:pPr>
        <w:pStyle w:val="FirstParagraph"/>
        <w:widowControl/>
      </w:pPr>
      <w:r>
        <w:t xml:space="preserve">El trabajo tiene carácter exploratorio. No pretende demostrar ventaja cuántica, desarrollar un videojuego completo ni producir niveles comerciales. Los tres casos serán entornos simplificados diseñados para estudiar la formulación y la comparación de métodos.</w:t>
      </w:r>
    </w:p>
    <w:p>
      <w:pPr>
        <w:pStyle w:val="BodyText"/>
        <w:widowControl/>
      </w:pPr>
      <w:r>
        <w:t xml:space="preserve">El modelo de movimiento de las plataformas será discreto y no reproducirá toda la física de un personaje real. Las posiciones candidatas y los umbrales de salto se fijarán antes de la optimización. Esta simplificación permite separar la alcanzabilidad física del problema de selección, pero limita la generalización directa a motores de juego complejos.</w:t>
      </w:r>
    </w:p>
    <w:p>
      <w:pPr>
        <w:pStyle w:val="BodyText"/>
        <w:widowControl/>
      </w:pPr>
      <w:r>
        <w:t xml:space="preserve">El uso de circuitos cuánticos estará restringido a instancias pequeñas. Los dispositivos y simuladores actuales presentan limitaciones de qubits, profundidad, ruido, coste de medida y optimización de parámetros (Cerezo et al., 2021; Preskill, 2018). Además, la simulación clásica de un circuito crece exponencialmente con el número de qubits en el caso general.</w:t>
      </w:r>
    </w:p>
    <w:p>
      <w:pPr>
        <w:pStyle w:val="BodyText"/>
        <w:widowControl/>
      </w:pPr>
      <w:r>
        <w:t xml:space="preserve">Otra limitación relevante será la selección de los coeficientes de penalización. Si una penalización es insuficiente, una solución inválida puede resultar energéticamente favorable; si es excesiva, puede dominar el objetivo y aumentar el rango de coeficientes. La sensibilidad a estas decisiones se tratará como parte del problema, no como un mero detalle de implementación.</w:t>
      </w:r>
    </w:p>
    <w:p>
      <w:pPr>
        <w:pStyle w:val="BodyText"/>
        <w:widowControl/>
      </w:pPr>
      <w:r>
        <w:t xml:space="preserve">Blender se utilizará como herramienta de visualización. La validez se determinará mediante las restricciones y métricas, no mediante una evaluación estética. No se prevé inicialmente un estudio con usuarios ni una evaluación formal de jugabilidad percibida.</w:t>
      </w:r>
    </w:p>
    <w:bookmarkEnd w:id="29"/>
    <w:bookmarkStart w:id="30" w:name="estructura-de-la-memoria"/>
    <w:p>
      <w:pPr>
        <w:pStyle w:val="Heading2"/>
        <w:keepNext/>
        <w:keepLines/>
        <w:ind w:firstLine="0"/>
      </w:pPr>
      <w:r>
        <w:t xml:space="preserve">1.8. Estructura de la memoria</w:t>
      </w:r>
    </w:p>
    <w:p>
      <w:pPr>
        <w:pStyle w:val="FirstParagraph"/>
        <w:widowControl/>
      </w:pPr>
      <w:r>
        <w:t xml:space="preserve">La memoria se organizará en ocho capítulos. El primero presenta el contexto, el problema, las preguntas, los objetivos, la metodología y el alcance. El segundo desarrolla el estado del arte. El tercero describirá y formulará los tres casos. El cuarto expondrá las alternativas de resolución. El quinto detallará el diseño experimental. El sexto describirá la implementación y la integración con Blender. El séptimo presentará y discutirá los resultados. El octavo recogerá las conclusiones, las limitaciones y las líneas futuras.</w:t>
      </w:r>
    </w:p>
    <w:bookmarkEnd w:id="30"/>
    <w:bookmarkEnd w:id="31"/>
    <w:bookmarkStart w:id="78" w:name="estado-del-arte"/>
    <w:p>
      <w:pPr>
        <w:pStyle w:val="Heading1"/>
        <w:keepNext/>
        <w:keepLines/>
        <w:ind w:firstLine="0"/>
      </w:pPr>
      <w:r>
        <w:t xml:space="preserve">2. Estado del arte</w:t>
      </w:r>
    </w:p>
    <w:bookmarkStart w:id="38" w:name="generación-procedural-de-contenido"/>
    <w:p>
      <w:pPr>
        <w:pStyle w:val="Heading2"/>
        <w:keepNext/>
        <w:keepLines/>
        <w:ind w:firstLine="0"/>
      </w:pPr>
      <w:r>
        <w:t xml:space="preserve">2.1. Generación procedural de contenido</w:t>
      </w:r>
    </w:p>
    <w:bookmarkStart w:id="32" w:name="definición-y-alcance"/>
    <w:p>
      <w:pPr>
        <w:pStyle w:val="Heading3"/>
        <w:keepNext/>
        <w:keepLines/>
        <w:ind w:firstLine="0"/>
      </w:pPr>
      <w:r>
        <w:t xml:space="preserve">2.1.1. Definición y alcance</w:t>
      </w:r>
    </w:p>
    <w:p>
      <w:pPr>
        <w:pStyle w:val="FirstParagraph"/>
        <w:widowControl/>
      </w:pPr>
      <w:r>
        <w:t xml:space="preserve">La generación procedural de contenido agrupa técnicas que producen contenido mediante procedimientos computacionales, con un grado variable de intervención humana. La definición incluye contenido funcional —por ejemplo, mapas, niveles, reglas o misiones— y contenido principalmente audiovisual —como terrenos, texturas o modelos—. Hendrikx et al. (2013) proponen una taxonomía amplia de capas de contenido, mientras que Togelius et al. (2011) centran su análisis en la generación mediante búsqueda y optimización.</w:t>
      </w:r>
    </w:p>
    <w:p>
      <w:pPr>
        <w:pStyle w:val="BodyText"/>
        <w:widowControl/>
      </w:pPr>
      <w:r>
        <w:t xml:space="preserve">Una característica fundamental de PCG es la existencia de un</w:t>
      </w:r>
      <w:r>
        <w:t xml:space="preserve"> </w:t>
      </w:r>
      <w:r>
        <w:rPr>
          <w:b/>
          <w:bCs/>
        </w:rPr>
        <w:t xml:space="preserve">espacio de posibilidades</w:t>
      </w:r>
      <w:r>
        <w:t xml:space="preserve">: el conjunto de contenidos que el generador puede producir bajo una representación y unos parámetros determinados. La amplitud del espacio no garantiza su utilidad. Un generador puede producir muchas instancias repetitivas, inválidas o difíciles de controlar. Por ello, la evaluación debe considerar diversidad, validez, control y adecuación al uso previsto.</w:t>
      </w:r>
    </w:p>
    <w:p>
      <w:pPr>
        <w:pStyle w:val="BodyText"/>
        <w:widowControl/>
      </w:pPr>
      <w:r>
        <w:t xml:space="preserve">El contenido procedural puede generarse durante el desarrollo, al cargar una partida o durante la ejecución. Esta distinción afecta al presupuesto computacional. Un algoritmo que tarda minutos puede ser aceptable como herramienta de diseño, pero no para producir un nivel entre fotogramas. El TFM se sitúa principalmente en un contexto de generación fuera de línea o durante el desarrollo, lo que permite realizar varias ejecuciones y comparar métodos sin exigir respuesta en tiempo real.</w:t>
      </w:r>
    </w:p>
    <w:bookmarkEnd w:id="32"/>
    <w:bookmarkStart w:id="33" w:name="métodos-constructivos"/>
    <w:p>
      <w:pPr>
        <w:pStyle w:val="Heading3"/>
        <w:keepNext/>
        <w:keepLines/>
        <w:ind w:firstLine="0"/>
      </w:pPr>
      <w:r>
        <w:t xml:space="preserve">2.1.2. Métodos constructivos</w:t>
      </w:r>
    </w:p>
    <w:p>
      <w:pPr>
        <w:pStyle w:val="FirstParagraph"/>
        <w:widowControl/>
      </w:pPr>
      <w:r>
        <w:t xml:space="preserve">Los métodos constructivos generan una solución mediante una secuencia de decisiones o reglas. Entre ellos pueden encontrarse gramáticas, agentes que recorren una cuadrícula, autómatas celulares, subdivisión espacial y algoritmos de laberintos. Su principal ventaja es que pueden incorporar propiedades por construcción. Por ejemplo, un algoritmo que excava un corredor continuo conserva la conectividad del espacio recorrido.</w:t>
      </w:r>
    </w:p>
    <w:p>
      <w:pPr>
        <w:pStyle w:val="BodyText"/>
        <w:widowControl/>
      </w:pPr>
      <w:r>
        <w:t xml:space="preserve">La principal limitación es que el comportamiento depende de reglas diseñadas previamente y puede resultar difícil optimizar simultáneamente objetivos globales. Un método constructivo puede generar siempre un camino válido y, sin embargo, ofrecer poco control sobre la densidad, la dificultad o la distribución de los elementos. En este TFM se utilizarán líneas base constructivas porque proporcionan soluciones rápidas e interpretables, pero no serán el único paradigma.</w:t>
      </w:r>
    </w:p>
    <w:bookmarkEnd w:id="33"/>
    <w:bookmarkStart w:id="34" w:name="generación-basada-en-búsqueda"/>
    <w:p>
      <w:pPr>
        <w:pStyle w:val="Heading3"/>
        <w:keepNext/>
        <w:keepLines/>
        <w:ind w:firstLine="0"/>
      </w:pPr>
      <w:r>
        <w:t xml:space="preserve">2.1.3. Generación basada en búsqueda</w:t>
      </w:r>
    </w:p>
    <w:p>
      <w:pPr>
        <w:pStyle w:val="FirstParagraph"/>
        <w:widowControl/>
      </w:pPr>
      <w:r>
        <w:t xml:space="preserve">La generación basada en búsqueda define una representación, una función de evaluación y un algoritmo de exploración. Togelius et al. (2011) destacan que la representación y la función de evaluación son tan importantes como el algoritmo. Una representación directa describe el contenido final, mientras que una indirecta codifica reglas o parámetros que lo generan.</w:t>
      </w:r>
    </w:p>
    <w:p>
      <w:pPr>
        <w:pStyle w:val="BodyText"/>
        <w:widowControl/>
      </w:pPr>
      <w:r>
        <w:t xml:space="preserve">Una representación directa facilita la correspondencia con restricciones concretas. Un mapa puede codificarse como una matriz binaria y una distribución de monedas como un vector. Su inconveniente es el crecimiento del espacio de búsqueda. Una representación indirecta puede ser más compacta y producir regularidades, pero dificulta controlar cada posición y traducir el problema a QUBO.</w:t>
      </w:r>
    </w:p>
    <w:p>
      <w:pPr>
        <w:pStyle w:val="BodyText"/>
        <w:widowControl/>
      </w:pPr>
      <w:r>
        <w:t xml:space="preserve">La función de evaluación puede construirse de forma directa, simulada, interactiva o aprendida. En este TFM se utilizarán funciones directas basadas en propiedades medibles: número de objetos, distancias, conectividad, longitud de ruta y penalizaciones. Esta elección favorece la reproducibilidad y la comparación entre métodos.</w:t>
      </w:r>
    </w:p>
    <w:bookmarkEnd w:id="34"/>
    <w:bookmarkStart w:id="35" w:name="Xf6ca9d9186faf7aab1b5b8bd00ac91188aad2a3"/>
    <w:p>
      <w:pPr>
        <w:pStyle w:val="Heading3"/>
        <w:keepNext/>
        <w:keepLines/>
        <w:ind w:firstLine="0"/>
      </w:pPr>
      <w:r>
        <w:t xml:space="preserve">2.1.4. Generación basada en restricciones y solucionadores</w:t>
      </w:r>
    </w:p>
    <w:p>
      <w:pPr>
        <w:pStyle w:val="FirstParagraph"/>
        <w:widowControl/>
      </w:pPr>
      <w:r>
        <w:t xml:space="preserve">Los métodos basados en restricciones describen las propiedades que debe satisfacer una solución y delegan la búsqueda en un solucionador. Son apropiados cuando la validez funcional es prioritaria. Tanagra utiliza planificación reactiva y restricciones numéricas para la generación asistida de niveles de plataformas (Smith et al., 2011). Sturgeon utiliza una interfaz de restricciones para generar niveles basados en celdas e incorporar objetivos alcanzables (Cooper, 2022).</w:t>
      </w:r>
    </w:p>
    <w:p>
      <w:pPr>
        <w:pStyle w:val="BodyText"/>
        <w:widowControl/>
      </w:pPr>
      <w:r>
        <w:t xml:space="preserve">La ventaja principal es la separación entre el contenido deseado y el procedimiento de búsqueda. El diseñador especifica relaciones y límites; el solucionador busca una asignación. Además, algunos solucionadores pueden demostrar que una solución es óptima o que un modelo es inviable. La desventaja es que las propiedades globales pueden exigir modelos extensos y que la eficacia depende de la estructura de las restricciones.</w:t>
      </w:r>
    </w:p>
    <w:bookmarkEnd w:id="35"/>
    <w:bookmarkStart w:id="36" w:name="Xa14c45ef07c4681076a6f36b8fdad1057b441e4"/>
    <w:p>
      <w:pPr>
        <w:pStyle w:val="Heading3"/>
        <w:keepNext/>
        <w:keepLines/>
        <w:ind w:firstLine="0"/>
      </w:pPr>
      <w:r>
        <w:t xml:space="preserve">2.1.5. Generación mediante aprendizaje automático</w:t>
      </w:r>
    </w:p>
    <w:p>
      <w:pPr>
        <w:pStyle w:val="FirstParagraph"/>
        <w:widowControl/>
      </w:pPr>
      <w:r>
        <w:t xml:space="preserve">PCG mediante aprendizaje automático, o PCGML, utiliza modelos entrenados a partir de contenido existente (Summerville et al., 2018). Estos métodos pueden aprender patrones sin programarlos explícitamente, pero plantean problemas de disponibilidad de datos, control y garantía de validez. Para plataformas y mapas, una solución visualmente plausible no tiene por qué ser completable.</w:t>
      </w:r>
    </w:p>
    <w:p>
      <w:pPr>
        <w:pStyle w:val="BodyText"/>
        <w:widowControl/>
      </w:pPr>
      <w:r>
        <w:t xml:space="preserve">Lee et al. (2020) abordan esta dificultad combinando información aprendida de niveles con restricciones de alcanzabilidad derivadas de estados y transiciones del jugador. Su propuesta muestra que el aprendizaje y los solucionadores pueden complementarse. En el presente TFM, PCGML no será un método experimental principal, pero su literatura es relevante para comprender por qué la validez y el control siguen requiriendo mecanismos explícitos.</w:t>
      </w:r>
    </w:p>
    <w:bookmarkEnd w:id="36"/>
    <w:bookmarkStart w:id="37" w:name="representación-control-y-evaluación"/>
    <w:p>
      <w:pPr>
        <w:pStyle w:val="Heading3"/>
        <w:keepNext/>
        <w:keepLines/>
        <w:ind w:firstLine="0"/>
      </w:pPr>
      <w:r>
        <w:t xml:space="preserve">2.1.6. Representación, control y evaluación</w:t>
      </w:r>
    </w:p>
    <w:p>
      <w:pPr>
        <w:pStyle w:val="FirstParagraph"/>
        <w:widowControl/>
      </w:pPr>
      <w:r>
        <w:t xml:space="preserve">La evaluación de un generador debe distinguir entre la calidad de una solución individual y el comportamiento del sistema completo. Una solución puede ser válida, pero el generador puede producirla de forma poco estable o generar un conjunto con escasa diversidad. Las métricas deben relacionarse con la finalidad concreta del contenido.</w:t>
      </w:r>
    </w:p>
    <w:p>
      <w:pPr>
        <w:pStyle w:val="BodyText"/>
        <w:widowControl/>
      </w:pPr>
      <w:r>
        <w:t xml:space="preserve">En este trabajo se dará prioridad a propiedades funcionales. Para monedas, se medirán cantidad, separación y distribución. Para plataformas, alcanzabilidad y coste del recorrido. Para mapas, conectividad, densidad y longitud de ruta. La calidad estética se observará mediante Blender, pero no se convertirá en una métrica subjetiva sin un protocolo de evaluación.</w:t>
      </w:r>
    </w:p>
    <w:bookmarkEnd w:id="37"/>
    <w:bookmarkEnd w:id="38"/>
    <w:bookmarkStart w:id="48" w:name="Xba11c0dfa4d4d519d0d8499ee1e955c75153ab1"/>
    <w:p>
      <w:pPr>
        <w:pStyle w:val="Heading2"/>
        <w:keepNext/>
        <w:keepLines/>
        <w:ind w:firstLine="0"/>
      </w:pPr>
      <w:r>
        <w:t xml:space="preserve">2.2. Generación procedural basada en optimización</w:t>
      </w:r>
    </w:p>
    <w:bookmarkStart w:id="39" w:name="Xd325b1a1b0f694e5b0cd721299d8030e2a966df"/>
    <w:p>
      <w:pPr>
        <w:pStyle w:val="Heading3"/>
        <w:keepNext/>
        <w:keepLines/>
        <w:ind w:firstLine="0"/>
      </w:pPr>
      <w:r>
        <w:t xml:space="preserve">2.2.1. Componentes de un problema de optimización procedural</w:t>
      </w:r>
    </w:p>
    <w:p>
      <w:pPr>
        <w:pStyle w:val="FirstParagraph"/>
        <w:widowControl/>
      </w:pPr>
      <w:r>
        <w:t xml:space="preserve">Un problema de generación basada en optimización puede describirse mediante cuatro elementos: una representación, un conjunto de soluciones válidas, una función objetivo y un algoritmo. En una formulación con restricciones explícitas se escribe</w:t>
      </w:r>
    </w:p>
    <w:p>
      <w:pPr>
        <w:pStyle w:val="BodyText"/>
        <w:widowControl/>
        <w:spacing w:line="240" w:lineRule="auto" w:before="120" w:after="120"/>
        <w:ind w:firstLine="0" w:left="0" w:right="0"/>
        <w:jc w:val="center"/>
      </w:pPr>
      <m:oMathPara>
        <m:oMathParaPr>
          <m:jc m:val="center"/>
        </m:oMathParaPr>
        <m:oMath>
          <m:limLow>
            <m:e>
              <m:r>
                <m:rPr>
                  <m:sty m:val="p"/>
                </m:rPr>
                <m:t>min</m:t>
              </m:r>
            </m:e>
            <m:lim>
              <m:r>
                <m:rPr>
                  <m:sty m:val="b"/>
                </m:rPr>
                <m:t>x</m:t>
              </m:r>
            </m:lim>
          </m:limLow>
          <m:r>
            <m:t>f</m:t>
          </m:r>
          <m:d>
            <m:dPr>
              <m:begChr m:val="("/>
              <m:endChr m:val=")"/>
              <m:sepChr m:val=""/>
              <m:grow/>
            </m:dPr>
            <m:e>
              <m:r>
                <m:rPr>
                  <m:sty m:val="b"/>
                </m:rPr>
                <m:t>x</m:t>
              </m:r>
            </m:e>
          </m:d>
        </m:oMath>
      </m:oMathPara>
    </w:p>
    <w:p>
      <w:pPr>
        <w:pStyle w:val="FirstParagraph"/>
        <w:widowControl/>
      </w:pPr>
      <w:r>
        <w:t xml:space="preserve">sujeto a</w:t>
      </w:r>
    </w:p>
    <w:p>
      <w:pPr>
        <w:pStyle w:val="BodyText"/>
        <w:widowControl/>
        <w:spacing w:line="240" w:lineRule="auto" w:before="120" w:after="120"/>
        <w:ind w:firstLine="0" w:left="0" w:right="0"/>
        <w:jc w:val="center"/>
      </w:pPr>
      <m:oMathPara>
        <m:oMathParaPr>
          <m:jc m:val="center"/>
        </m:oMathParaPr>
        <m:oMath>
          <m:sSub>
            <m:e>
              <m:r>
                <m:t>g</m:t>
              </m:r>
            </m:e>
            <m:sub>
              <m:r>
                <m:t>r</m:t>
              </m:r>
            </m:sub>
          </m:sSub>
          <m:d>
            <m:dPr>
              <m:begChr m:val="("/>
              <m:endChr m:val=")"/>
              <m:sepChr m:val=""/>
              <m:grow/>
            </m:dPr>
            <m:e>
              <m:r>
                <m:rPr>
                  <m:sty m:val="b"/>
                </m:rPr>
                <m:t>x</m:t>
              </m:r>
            </m:e>
          </m:d>
          <m:r>
            <m:rPr>
              <m:sty m:val="p"/>
            </m:rPr>
            <m:t>=</m:t>
          </m:r>
          <m:r>
            <m:t>0</m:t>
          </m:r>
          <m:r>
            <m:rPr>
              <m:sty m:val="p"/>
            </m:rPr>
            <m:t>,</m:t>
          </m:r>
          <m:r>
            <m:t>  </m:t>
          </m:r>
          <m:r>
            <m:t>r</m:t>
          </m:r>
          <m:r>
            <m:rPr>
              <m:sty m:val="p"/>
            </m:rPr>
            <m:t>=</m:t>
          </m:r>
          <m:r>
            <m:t>1</m:t>
          </m:r>
          <m:r>
            <m:rPr>
              <m:sty m:val="p"/>
            </m:rPr>
            <m:t>,</m:t>
          </m:r>
          <m:r>
            <m:rPr>
              <m:sty m:val="p"/>
            </m:rPr>
            <m:t>…</m:t>
          </m:r>
          <m:r>
            <m:rPr>
              <m:sty m:val="p"/>
            </m:rPr>
            <m:t>,</m:t>
          </m:r>
          <m:sSub>
            <m:e>
              <m:r>
                <m:t>m</m:t>
              </m:r>
            </m:e>
            <m:sub>
              <m:r>
                <m:t>e</m:t>
              </m:r>
            </m:sub>
          </m:sSub>
          <m:r>
            <m:rPr>
              <m:sty m:val="p"/>
            </m:rPr>
            <m:t>,</m:t>
          </m:r>
        </m:oMath>
      </m:oMathPara>
    </w:p>
    <w:p>
      <w:pPr>
        <w:pStyle w:val="FirstParagraph"/>
        <w:widowControl/>
        <w:spacing w:line="240" w:lineRule="auto" w:before="120" w:after="120"/>
        <w:ind w:firstLine="0" w:left="0" w:right="0"/>
        <w:jc w:val="center"/>
      </w:pPr>
      <m:oMathPara>
        <m:oMathParaPr>
          <m:jc m:val="center"/>
        </m:oMathParaPr>
        <m:oMath>
          <m:sSub>
            <m:e>
              <m:r>
                <m:t>h</m:t>
              </m:r>
            </m:e>
            <m:sub>
              <m:r>
                <m:t>s</m:t>
              </m:r>
            </m:sub>
          </m:sSub>
          <m:d>
            <m:dPr>
              <m:begChr m:val="("/>
              <m:endChr m:val=")"/>
              <m:sepChr m:val=""/>
              <m:grow/>
            </m:dPr>
            <m:e>
              <m:r>
                <m:rPr>
                  <m:sty m:val="b"/>
                </m:rPr>
                <m:t>x</m:t>
              </m:r>
            </m:e>
          </m:d>
          <m:r>
            <m:rPr>
              <m:sty m:val="p"/>
            </m:rPr>
            <m:t>≤</m:t>
          </m:r>
          <m:r>
            <m:t>0</m:t>
          </m:r>
          <m:r>
            <m:rPr>
              <m:sty m:val="p"/>
            </m:rPr>
            <m:t>,</m:t>
          </m:r>
          <m:r>
            <m:t>  </m:t>
          </m:r>
          <m:r>
            <m:t>s</m:t>
          </m:r>
          <m:r>
            <m:rPr>
              <m:sty m:val="p"/>
            </m:rPr>
            <m:t>=</m:t>
          </m:r>
          <m:r>
            <m:t>1</m:t>
          </m:r>
          <m:r>
            <m:rPr>
              <m:sty m:val="p"/>
            </m:rPr>
            <m:t>,</m:t>
          </m:r>
          <m:r>
            <m:rPr>
              <m:sty m:val="p"/>
            </m:rPr>
            <m:t>…</m:t>
          </m:r>
          <m:r>
            <m:rPr>
              <m:sty m:val="p"/>
            </m:rPr>
            <m:t>,</m:t>
          </m:r>
          <m:sSub>
            <m:e>
              <m:r>
                <m:t>m</m:t>
              </m:r>
            </m:e>
            <m:sub>
              <m:r>
                <m:t>i</m:t>
              </m:r>
            </m:sub>
          </m:sSub>
          <m:r>
            <m:rPr>
              <m:sty m:val="p"/>
            </m:rPr>
            <m:t>,</m:t>
          </m:r>
        </m:oMath>
      </m:oMathPara>
    </w:p>
    <w:p>
      <w:pPr>
        <w:pStyle w:val="FirstParagraph"/>
        <w:widowControl/>
        <w:spacing w:line="240" w:lineRule="auto" w:before="120" w:after="120"/>
        <w:ind w:firstLine="0" w:left="0" w:right="0"/>
        <w:jc w:val="center"/>
      </w:pPr>
      <m:oMathPara>
        <m:oMathParaPr>
          <m:jc m:val="center"/>
        </m:oMathParaPr>
        <m:oMath>
          <m:r>
            <m:rPr>
              <m:sty m:val="b"/>
            </m:rPr>
            <m:t>x</m:t>
          </m:r>
          <m:r>
            <m:rPr>
              <m:sty m:val="p"/>
            </m:rPr>
            <m:t>∈</m:t>
          </m:r>
          <m:r>
            <m:rPr>
              <m:sty m:val="p"/>
            </m:rPr>
            <m:t>{</m:t>
          </m:r>
          <m:r>
            <m:t>0</m:t>
          </m:r>
          <m:r>
            <m:rPr>
              <m:sty m:val="p"/>
            </m:rPr>
            <m:t>,</m:t>
          </m:r>
          <m:r>
            <m:t>1</m:t>
          </m:r>
          <m:sSup>
            <m:e>
              <m:r>
                <m:rPr>
                  <m:sty m:val="p"/>
                </m:rPr>
                <m:t>}</m:t>
              </m:r>
            </m:e>
            <m:sup>
              <m:r>
                <m:t>n</m:t>
              </m:r>
            </m:sup>
          </m:sSup>
          <m:r>
            <m:rPr>
              <m:sty m:val="p"/>
            </m:rPr>
            <m:t>.</m:t>
          </m:r>
        </m:oMath>
      </m:oMathPara>
    </w:p>
    <w:p>
      <w:pPr>
        <w:pStyle w:val="FirstParagraph"/>
        <w:widowControl/>
      </w:pPr>
      <w:r>
        <w:t xml:space="preserve">La formulación define de manera separada el objetivo y la factibilidad. En QUBO, por el contrario, las restricciones se transformarán en términos energéticos.</w:t>
      </w:r>
    </w:p>
    <w:bookmarkEnd w:id="39"/>
    <w:bookmarkStart w:id="40" w:name="Xf7573c6e585aa36c3e4e383a141c54999ed412d"/>
    <w:p>
      <w:pPr>
        <w:pStyle w:val="Heading3"/>
        <w:keepNext/>
        <w:keepLines/>
        <w:ind w:firstLine="0"/>
      </w:pPr>
      <w:r>
        <w:t xml:space="preserve">2.2.2. Funciones de calidad y tratamiento de restricciones</w:t>
      </w:r>
    </w:p>
    <w:p>
      <w:pPr>
        <w:pStyle w:val="FirstParagraph"/>
        <w:widowControl/>
      </w:pPr>
      <w:r>
        <w:t xml:space="preserve">En PCG, una función puede combinar objetivos de distinta naturaleza. Una forma ponderada es</w:t>
      </w:r>
    </w:p>
    <w:p>
      <w:pPr>
        <w:pStyle w:val="BodyText"/>
        <w:widowControl/>
        <w:spacing w:line="240" w:lineRule="auto" w:before="120" w:after="120"/>
        <w:ind w:firstLine="0" w:left="0" w:right="0"/>
        <w:jc w:val="center"/>
      </w:pPr>
      <m:oMathPara>
        <m:oMathParaPr>
          <m:jc m:val="center"/>
        </m:oMathParaPr>
        <m:oMath>
          <m:r>
            <m:t>f</m:t>
          </m:r>
          <m:d>
            <m:dPr>
              <m:begChr m:val="("/>
              <m:endChr m:val=")"/>
              <m:sepChr m:val=""/>
              <m:grow/>
            </m:dPr>
            <m:e>
              <m:r>
                <m:rPr>
                  <m:sty m:val="b"/>
                </m:rPr>
                <m:t>x</m:t>
              </m:r>
            </m:e>
          </m:d>
          <m:r>
            <m:rPr>
              <m:sty m:val="p"/>
            </m:rPr>
            <m:t>=</m:t>
          </m:r>
          <m:nary>
            <m:naryPr>
              <m:chr m:val="∑"/>
              <m:limLoc m:val="undOvr"/>
              <m:subHide m:val="off"/>
              <m:supHide m:val="off"/>
            </m:naryPr>
            <m:sub>
              <m:r>
                <m:t>k</m:t>
              </m:r>
              <m:r>
                <m:rPr>
                  <m:sty m:val="p"/>
                </m:rPr>
                <m:t>=</m:t>
              </m:r>
              <m:r>
                <m:t>1</m:t>
              </m:r>
            </m:sub>
            <m:sup>
              <m:r>
                <m:t>q</m:t>
              </m:r>
            </m:sup>
            <m:e>
              <m:sSub>
                <m:e>
                  <m:r>
                    <m:t>w</m:t>
                  </m:r>
                </m:e>
                <m:sub>
                  <m:r>
                    <m:t>k</m:t>
                  </m:r>
                </m:sub>
              </m:sSub>
            </m:e>
          </m:nary>
          <m:sSub>
            <m:e>
              <m:r>
                <m:t>f</m:t>
              </m:r>
            </m:e>
            <m:sub>
              <m:r>
                <m:t>k</m:t>
              </m:r>
            </m:sub>
          </m:sSub>
          <m:d>
            <m:dPr>
              <m:begChr m:val="("/>
              <m:endChr m:val=")"/>
              <m:sepChr m:val=""/>
              <m:grow/>
            </m:dPr>
            <m:e>
              <m:r>
                <m:rPr>
                  <m:sty m:val="b"/>
                </m:rPr>
                <m:t>x</m:t>
              </m:r>
            </m:e>
          </m:d>
          <m:r>
            <m:rPr>
              <m:sty m:val="p"/>
            </m:rPr>
            <m:t>,</m:t>
          </m:r>
        </m:oMath>
      </m:oMathPara>
    </w:p>
    <w:p>
      <w:pPr>
        <w:pStyle w:val="FirstParagraph"/>
        <w:widowControl/>
        <w:spacing w:line="240" w:lineRule="auto" w:before="120" w:after="120"/>
        <w:ind w:firstLine="0" w:left="0" w:right="0"/>
        <w:jc w:val="center"/>
      </w:pPr>
      <w:r>
        <w:t xml:space="preserve">donde cada</w:t>
      </w:r>
      <w:r>
        <w:t xml:space="preserve"> </w:t>
      </w:r>
      <m:oMath>
        <m:sSub>
          <m:e>
            <m:r>
              <m:t>f</m:t>
            </m:r>
          </m:e>
          <m:sub>
            <m:r>
              <m:t>k</m:t>
            </m:r>
          </m:sub>
        </m:sSub>
      </m:oMath>
      <w:r>
        <w:t xml:space="preserve"> </w:t>
      </w:r>
      <w:r>
        <w:t xml:space="preserve">representa una propiedad y</w:t>
      </w:r>
      <w:r>
        <w:t xml:space="preserve"> </w:t>
      </w:r>
      <m:oMath>
        <m:sSub>
          <m:e>
            <m:r>
              <m:t>w</m:t>
            </m:r>
          </m:e>
          <m:sub>
            <m:r>
              <m:t>k</m:t>
            </m:r>
          </m:sub>
        </m:sSub>
      </m:oMath>
      <w:r>
        <w:t xml:space="preserve"> </w:t>
      </w:r>
      <w:r>
        <w:t xml:space="preserve">su peso. La suma ponderada es sencilla, pero puede ocultar conflictos entre objetivos y requiere justificar las escalas.</w:t>
      </w:r>
    </w:p>
    <w:p>
      <w:pPr>
        <w:pStyle w:val="BodyText"/>
        <w:widowControl/>
      </w:pPr>
      <w:r>
        <w:t xml:space="preserve">Cuando las restricciones se tratan mediante penalizaciones, la función se convierte en</w:t>
      </w:r>
    </w:p>
    <w:p>
      <w:pPr>
        <w:pStyle w:val="BodyText"/>
        <w:widowControl/>
        <w:spacing w:line="240" w:lineRule="auto" w:before="120" w:after="120"/>
        <w:ind w:firstLine="0" w:left="0" w:right="0"/>
        <w:jc w:val="center"/>
      </w:pPr>
      <m:oMathPara>
        <m:oMathParaPr>
          <m:jc m:val="center"/>
        </m:oMathParaPr>
        <m:oMath>
          <m:r>
            <m:t>F</m:t>
          </m:r>
          <m:d>
            <m:dPr>
              <m:begChr m:val="("/>
              <m:endChr m:val=")"/>
              <m:sepChr m:val=""/>
              <m:grow/>
            </m:dPr>
            <m:e>
              <m:r>
                <m:rPr>
                  <m:sty m:val="b"/>
                </m:rPr>
                <m:t>x</m:t>
              </m:r>
            </m:e>
          </m:d>
          <m:r>
            <m:rPr>
              <m:sty m:val="p"/>
            </m:rPr>
            <m:t>=</m:t>
          </m:r>
          <m:r>
            <m:t>f</m:t>
          </m:r>
          <m:d>
            <m:dPr>
              <m:begChr m:val="("/>
              <m:endChr m:val=")"/>
              <m:sepChr m:val=""/>
              <m:grow/>
            </m:dPr>
            <m:e>
              <m:r>
                <m:rPr>
                  <m:sty m:val="b"/>
                </m:rPr>
                <m:t>x</m:t>
              </m:r>
            </m:e>
          </m:d>
          <m:r>
            <m:rPr>
              <m:sty m:val="p"/>
            </m:rPr>
            <m:t>+</m:t>
          </m:r>
          <m:nary>
            <m:naryPr>
              <m:chr m:val="∑"/>
              <m:limLoc m:val="undOvr"/>
              <m:subHide m:val="off"/>
              <m:supHide m:val="off"/>
            </m:naryPr>
            <m:sub>
              <m:r>
                <m:t>r</m:t>
              </m:r>
              <m:r>
                <m:rPr>
                  <m:sty m:val="p"/>
                </m:rPr>
                <m:t>=</m:t>
              </m:r>
              <m:r>
                <m:t>1</m:t>
              </m:r>
            </m:sub>
            <m:sup>
              <m:r>
                <m:t>m</m:t>
              </m:r>
            </m:sup>
            <m:e>
              <m:sSub>
                <m:e>
                  <m:r>
                    <m:t>λ</m:t>
                  </m:r>
                </m:e>
                <m:sub>
                  <m:r>
                    <m:t>r</m:t>
                  </m:r>
                </m:sub>
              </m:sSub>
            </m:e>
          </m:nary>
          <m:sSub>
            <m:e>
              <m:r>
                <m:t>P</m:t>
              </m:r>
            </m:e>
            <m:sub>
              <m:r>
                <m:t>r</m:t>
              </m:r>
            </m:sub>
          </m:sSub>
          <m:d>
            <m:dPr>
              <m:begChr m:val="("/>
              <m:endChr m:val=")"/>
              <m:sepChr m:val=""/>
              <m:grow/>
            </m:dPr>
            <m:e>
              <m:r>
                <m:rPr>
                  <m:sty m:val="b"/>
                </m:rPr>
                <m:t>x</m:t>
              </m:r>
            </m:e>
          </m:d>
          <m:r>
            <m:rPr>
              <m:sty m:val="p"/>
            </m:rPr>
            <m:t>,</m:t>
          </m:r>
        </m:oMath>
      </m:oMathPara>
    </w:p>
    <w:p>
      <w:pPr>
        <w:pStyle w:val="FirstParagraph"/>
        <w:widowControl/>
        <w:spacing w:line="240" w:lineRule="auto" w:before="120" w:after="120"/>
        <w:ind w:firstLine="0" w:left="0" w:right="0"/>
        <w:jc w:val="center"/>
      </w:pPr>
      <w:r>
        <w:t xml:space="preserve">donde</w:t>
      </w:r>
      <w:r>
        <w:t xml:space="preserve"> </w:t>
      </w:r>
      <m:oMath>
        <m:sSub>
          <m:e>
            <m:r>
              <m:t>P</m:t>
            </m:r>
          </m:e>
          <m:sub>
            <m:r>
              <m:t>r</m:t>
            </m:r>
          </m:sub>
        </m:sSub>
        <m:d>
          <m:dPr>
            <m:begChr m:val="("/>
            <m:endChr m:val=")"/>
            <m:sepChr m:val=""/>
            <m:grow/>
          </m:dPr>
          <m:e>
            <m:r>
              <m:rPr>
                <m:sty m:val="b"/>
              </m:rPr>
              <m:t>x</m:t>
            </m:r>
          </m:e>
        </m:d>
        <m:r>
          <m:rPr>
            <m:sty m:val="p"/>
          </m:rPr>
          <m:t>=</m:t>
        </m:r>
        <m:r>
          <m:t>0</m:t>
        </m:r>
      </m:oMath>
      <w:r>
        <w:t xml:space="preserve"> </w:t>
      </w:r>
      <w:r>
        <w:t xml:space="preserve">si la restricción se cumple y toma un valor positivo en caso contrario. Los coeficientes</w:t>
      </w:r>
      <w:r>
        <w:t xml:space="preserve"> </w:t>
      </w:r>
      <m:oMath>
        <m:sSub>
          <m:e>
            <m:r>
              <m:t>λ</m:t>
            </m:r>
          </m:e>
          <m:sub>
            <m:r>
              <m:t>r</m:t>
            </m:r>
          </m:sub>
        </m:sSub>
      </m:oMath>
      <w:r>
        <w:t xml:space="preserve"> </w:t>
      </w:r>
      <w:r>
        <w:t xml:space="preserve">deben ser suficientemente grandes para impedir que una mejora del objetivo compense una violación, pero no tan grandes como para destruir la resolución útil de la función.</w:t>
      </w:r>
    </w:p>
    <w:bookmarkEnd w:id="40"/>
    <w:bookmarkStart w:id="41" w:name="búsqueda-exhaustiva"/>
    <w:p>
      <w:pPr>
        <w:pStyle w:val="Heading3"/>
        <w:keepNext/>
        <w:keepLines/>
        <w:ind w:firstLine="0"/>
      </w:pPr>
      <w:r>
        <w:t xml:space="preserve">2.2.3. Búsqueda exhaustiva</w:t>
      </w:r>
    </w:p>
    <w:p>
      <w:pPr>
        <w:pStyle w:val="FirstParagraph"/>
        <w:widowControl/>
        <w:spacing w:line="240" w:lineRule="auto" w:before="120" w:after="120"/>
        <w:ind w:firstLine="0" w:left="0" w:right="0"/>
        <w:jc w:val="center"/>
      </w:pPr>
      <w:r>
        <w:t xml:space="preserve">La búsqueda exhaustiva evalúa todas las soluciones del dominio. Su coste es exponencial en el número de variables, pero proporciona el óptimo y permite verificar modelos pequeños. Cuando deben seleccionarse exactamente</w:t>
      </w:r>
      <w:r>
        <w:t xml:space="preserve"> </w:t>
      </w:r>
      <m:oMath>
        <m:r>
          <m:t>K</m:t>
        </m:r>
      </m:oMath>
      <w:r>
        <w:t xml:space="preserve"> </w:t>
      </w:r>
      <w:r>
        <w:t xml:space="preserve">elementos de</w:t>
      </w:r>
      <w:r>
        <w:t xml:space="preserve"> </w:t>
      </w:r>
      <m:oMath>
        <m:r>
          <m:t>n</m:t>
        </m:r>
      </m:oMath>
      <w:r>
        <w:t xml:space="preserve">, el número de combinaciones es</w:t>
      </w:r>
    </w:p>
    <w:p>
      <w:pPr>
        <w:pStyle w:val="BodyText"/>
        <w:widowControl/>
        <w:spacing w:line="240" w:lineRule="auto" w:before="120" w:after="120"/>
        <w:ind w:firstLine="0" w:left="0" w:right="0"/>
        <w:jc w:val="center"/>
      </w:pPr>
      <m:oMathPara>
        <m:oMathParaPr>
          <m:jc m:val="center"/>
        </m:oMathParaPr>
        <m:oMath>
          <m:d>
            <m:dPr>
              <m:begChr m:val="("/>
              <m:endChr m:val=")"/>
              <m:sepChr m:val=""/>
              <m:grow/>
            </m:dPr>
            <m:e>
              <m:f>
                <m:fPr>
                  <m:type m:val="noBar"/>
                </m:fPr>
                <m:num>
                  <m:r>
                    <m:t>n</m:t>
                  </m:r>
                </m:num>
                <m:den>
                  <m:r>
                    <m:t>K</m:t>
                  </m:r>
                </m:den>
              </m:f>
            </m:e>
          </m:d>
          <m:r>
            <m:rPr>
              <m:sty m:val="p"/>
            </m:rPr>
            <m:t>=</m:t>
          </m:r>
          <m:f>
            <m:fPr>
              <m:type m:val="bar"/>
            </m:fPr>
            <m:num>
              <m:r>
                <m:t>n</m:t>
              </m:r>
              <m:r>
                <m:rPr>
                  <m:sty m:val="p"/>
                </m:rPr>
                <m:t>!</m:t>
              </m:r>
            </m:num>
            <m:den>
              <m:r>
                <m:t>K</m:t>
              </m:r>
              <m:r>
                <m:rPr>
                  <m:sty m:val="p"/>
                </m:rPr>
                <m:t>!</m:t>
              </m:r>
              <m:d>
                <m:dPr>
                  <m:begChr m:val="("/>
                  <m:endChr m:val=")"/>
                  <m:sepChr m:val=""/>
                  <m:grow/>
                </m:dPr>
                <m:e>
                  <m:r>
                    <m:t>n</m:t>
                  </m:r>
                  <m:r>
                    <m:rPr>
                      <m:sty m:val="p"/>
                    </m:rPr>
                    <m:t>−</m:t>
                  </m:r>
                  <m:r>
                    <m:t>K</m:t>
                  </m:r>
                </m:e>
              </m:d>
              <m:r>
                <m:rPr>
                  <m:sty m:val="p"/>
                </m:rPr>
                <m:t>!</m:t>
              </m:r>
            </m:den>
          </m:f>
          <m:r>
            <m:rPr>
              <m:sty m:val="p"/>
            </m:rPr>
            <m:t>.</m:t>
          </m:r>
        </m:oMath>
      </m:oMathPara>
    </w:p>
    <w:p>
      <w:pPr>
        <w:pStyle w:val="FirstParagraph"/>
        <w:widowControl/>
      </w:pPr>
      <w:r>
        <w:t xml:space="preserve">En el TFM, la enumeración se utilizará para comprobar la formulación del caso de monedas y de instancias mínimas de los otros casos. No se presentará como un algoritmo escalable, sino como una referencia de corrección.</w:t>
      </w:r>
    </w:p>
    <w:bookmarkEnd w:id="41"/>
    <w:bookmarkStart w:id="42" w:name="algoritmos-constructivos-y-voraces"/>
    <w:p>
      <w:pPr>
        <w:pStyle w:val="Heading3"/>
        <w:keepNext/>
        <w:keepLines/>
        <w:ind w:firstLine="0"/>
      </w:pPr>
      <w:r>
        <w:t xml:space="preserve">2.2.4. Algoritmos constructivos y voraces</w:t>
      </w:r>
    </w:p>
    <w:p>
      <w:pPr>
        <w:pStyle w:val="FirstParagraph"/>
        <w:widowControl/>
      </w:pPr>
      <w:r>
        <w:t xml:space="preserve">Un algoritmo constructivo añade elementos hasta formar una solución. Un método voraz selecciona en cada paso la alternativa que produce la mejor mejora local. En monedas, puede elegir la posición con mayor puntuación y eliminar las posiciones incompatibles. En plataformas, puede añadir una plataforma alcanzable que acerque el recorrido a la meta. En mapas, puede crear primero una ruta y colocar obstáculos fuera de ella.</w:t>
      </w:r>
    </w:p>
    <w:p>
      <w:pPr>
        <w:pStyle w:val="BodyText"/>
        <w:widowControl/>
      </w:pPr>
      <w:r>
        <w:t xml:space="preserve">Estas líneas base son rápidas y transparentes, pero dependen del orden de selección y no garantizan el óptimo. Su valor experimental reside en mostrar cuánto mejora un método más costoso respecto a una estrategia simple.</w:t>
      </w:r>
    </w:p>
    <w:bookmarkEnd w:id="42"/>
    <w:bookmarkStart w:id="43" w:name="búsqueda-local-y-simulated-annealing"/>
    <w:p>
      <w:pPr>
        <w:pStyle w:val="Heading3"/>
        <w:keepNext/>
        <w:keepLines/>
        <w:ind w:firstLine="0"/>
      </w:pPr>
      <w:r>
        <w:t xml:space="preserve">2.2.5. Búsqueda local y simulated annealing</w:t>
      </w:r>
    </w:p>
    <w:p>
      <w:pPr>
        <w:pStyle w:val="FirstParagraph"/>
        <w:widowControl/>
      </w:pPr>
      <w:r>
        <w:t xml:space="preserve">La búsqueda local modifica una solución mediante movimientos pequeños. En un vector binario, un movimiento puede invertir una variable. Si debe conservarse el número de elementos, un intercambio entre un uno y un cero evita violar la cardinalidad.</w:t>
      </w:r>
    </w:p>
    <w:p>
      <w:pPr>
        <w:pStyle w:val="BodyText"/>
        <w:widowControl/>
      </w:pPr>
      <w:r>
        <w:t xml:space="preserve">Simulated annealing permite aceptar temporalmente movimientos que empeoran la energía y reduce esa posibilidad a medida que disminuye la temperatura. El criterio de Metropolis puede escribirse como</w:t>
      </w:r>
    </w:p>
    <w:p>
      <w:pPr>
        <w:pStyle w:val="BodyText"/>
        <w:widowControl/>
        <w:spacing w:line="240" w:lineRule="auto" w:before="120" w:after="120"/>
        <w:ind w:firstLine="0" w:left="0" w:right="0"/>
        <w:jc w:val="center"/>
      </w:pPr>
      <m:oMathPara>
        <m:oMathParaPr>
          <m:jc m:val="center"/>
        </m:oMathParaPr>
        <m:oMath>
          <m:sSub>
            <m:e>
              <m:r>
                <m:t>p</m:t>
              </m:r>
            </m:e>
            <m:sub>
              <m:r>
                <m:rPr>
                  <m:nor/>
                  <m:sty m:val="p"/>
                </m:rPr>
                <m:t>aceptar</m:t>
              </m:r>
            </m:sub>
          </m:sSub>
          <m:r>
            <m:rPr>
              <m:sty m:val="p"/>
            </m:rPr>
            <m:t>=</m:t>
          </m:r>
          <m:r>
            <m:rPr>
              <m:sty m:val="p"/>
            </m:rPr>
            <m:t>min</m:t>
          </m:r>
          <m:d>
            <m:dPr>
              <m:begChr m:val="{"/>
              <m:endChr m:val="}"/>
              <m:sepChr m:val=""/>
              <m:grow/>
            </m:dPr>
            <m:e>
              <m:r>
                <m:t>1</m:t>
              </m:r>
              <m:r>
                <m:rPr>
                  <m:sty m:val="p"/>
                </m:rPr>
                <m:t>,</m:t>
              </m:r>
              <m:r>
                <m:rPr>
                  <m:sty m:val="p"/>
                </m:rPr>
                <m:t>exp</m:t>
              </m:r>
              <m:d>
                <m:dPr>
                  <m:begChr m:val="("/>
                  <m:endChr m:val=")"/>
                  <m:sepChr m:val=""/>
                  <m:grow/>
                </m:dPr>
                <m:e>
                  <m:r>
                    <m:rPr>
                      <m:sty m:val="p"/>
                    </m:rPr>
                    <m:t>−</m:t>
                  </m:r>
                  <m:f>
                    <m:fPr>
                      <m:type m:val="bar"/>
                    </m:fPr>
                    <m:num>
                      <m:r>
                        <m:t>Δ</m:t>
                      </m:r>
                      <m:r>
                        <m:t>E</m:t>
                      </m:r>
                    </m:num>
                    <m:den>
                      <m:r>
                        <m:t>T</m:t>
                      </m:r>
                    </m:den>
                  </m:f>
                </m:e>
              </m:d>
            </m:e>
          </m:d>
          <m:r>
            <m:rPr>
              <m:sty m:val="p"/>
            </m:rPr>
            <m:t>.</m:t>
          </m:r>
        </m:oMath>
      </m:oMathPara>
    </w:p>
    <w:p>
      <w:pPr>
        <w:pStyle w:val="FirstParagraph"/>
        <w:widowControl/>
      </w:pPr>
      <w:r>
        <w:t xml:space="preserve">Kirkpatrick et al. (1983) establecieron la conexión entre recocido físico y optimización combinatoria. Para este TFM, simulated annealing es una línea base especialmente importante porque puede operar directamente sobre el QUBO. La representación y la función de energía se mantienen, mientras cambia el mecanismo de búsqueda.</w:t>
      </w:r>
    </w:p>
    <w:p>
      <w:pPr>
        <w:pStyle w:val="BodyText"/>
        <w:widowControl/>
      </w:pPr>
      <w:r>
        <w:t xml:space="preserve">El rendimiento depende del vecindario, la temperatura inicial, el calendario de enfriamiento, el número de pasos y la inicialización. Por ello, será necesario documentar parámetros y ejecutar varias repeticiones.</w:t>
      </w:r>
    </w:p>
    <w:bookmarkEnd w:id="43"/>
    <w:bookmarkStart w:id="44" w:name="algoritmos-evolutivos"/>
    <w:p>
      <w:pPr>
        <w:pStyle w:val="Heading3"/>
        <w:keepNext/>
        <w:keepLines/>
        <w:ind w:firstLine="0"/>
      </w:pPr>
      <w:r>
        <w:t xml:space="preserve">2.2.6. Algoritmos evolutivos</w:t>
      </w:r>
    </w:p>
    <w:p>
      <w:pPr>
        <w:pStyle w:val="FirstParagraph"/>
        <w:widowControl/>
      </w:pPr>
      <w:r>
        <w:t xml:space="preserve">Los algoritmos evolutivos mantienen una población de soluciones y aplican selección, mutación y recombinación. Han sido una técnica central en la generación basada en búsqueda (Togelius et al., 2011). Su flexibilidad permite trabajar con funciones no diferenciables y representaciones heterogéneas.</w:t>
      </w:r>
    </w:p>
    <w:p>
      <w:pPr>
        <w:pStyle w:val="BodyText"/>
        <w:widowControl/>
      </w:pPr>
      <w:r>
        <w:t xml:space="preserve">Sin embargo, introducen numerosos parámetros y pueden requerir muchas evaluaciones. En este trabajo se incluirán como antecedente, pero no se consideran inicialmente una línea base principal. CP-SAT y simulated annealing ofrecen una comparación más directa con el modelo binario y permiten separar mejor la calidad del algoritmo de la representación.</w:t>
      </w:r>
    </w:p>
    <w:bookmarkEnd w:id="44"/>
    <w:bookmarkStart w:id="45" w:name="programación-entera-y-cp-sat"/>
    <w:p>
      <w:pPr>
        <w:pStyle w:val="Heading3"/>
        <w:keepNext/>
        <w:keepLines/>
        <w:ind w:firstLine="0"/>
      </w:pPr>
      <w:r>
        <w:t xml:space="preserve">2.2.7. Programación entera y CP-SAT</w:t>
      </w:r>
    </w:p>
    <w:p>
      <w:pPr>
        <w:pStyle w:val="FirstParagraph"/>
        <w:widowControl/>
        <w:spacing w:line="240" w:lineRule="auto" w:before="120" w:after="120"/>
        <w:ind w:firstLine="0" w:left="0" w:right="0"/>
        <w:jc w:val="center"/>
      </w:pPr>
      <w:r>
        <w:t xml:space="preserve">La programación entera mantiene las restricciones separadas del objetivo. Para seleccionar exactamente</w:t>
      </w:r>
      <w:r>
        <w:t xml:space="preserve"> </w:t>
      </w:r>
      <m:oMath>
        <m:r>
          <m:t>K</m:t>
        </m:r>
      </m:oMath>
      <w:r>
        <w:t xml:space="preserve"> </w:t>
      </w:r>
      <w:r>
        <w:t xml:space="preserve">elementos puede imponerse</w:t>
      </w:r>
    </w:p>
    <w:p>
      <w:pPr>
        <w:pStyle w:val="BodyText"/>
        <w:widowControl/>
        <w:spacing w:line="240" w:lineRule="auto" w:before="120" w:after="120"/>
        <w:ind w:firstLine="0" w:left="0" w:right="0"/>
        <w:jc w:val="center"/>
      </w:pPr>
      <m:oMathPara>
        <m:oMathParaPr>
          <m:jc m:val="center"/>
        </m:oMathParaPr>
        <m:oMath>
          <m:nary>
            <m:naryPr>
              <m:chr m:val="∑"/>
              <m:limLoc m:val="undOvr"/>
              <m:subHide m:val="off"/>
              <m:supHide m:val="off"/>
            </m:naryPr>
            <m:sub>
              <m:r>
                <m:t>i</m:t>
              </m:r>
              <m:r>
                <m:rPr>
                  <m:sty m:val="p"/>
                </m:rPr>
                <m:t>=</m:t>
              </m:r>
              <m:r>
                <m:t>1</m:t>
              </m:r>
            </m:sub>
            <m:sup>
              <m:r>
                <m:t>n</m:t>
              </m:r>
            </m:sup>
            <m:e>
              <m:sSub>
                <m:e>
                  <m:r>
                    <m:t>x</m:t>
                  </m:r>
                </m:e>
                <m:sub>
                  <m:r>
                    <m:t>i</m:t>
                  </m:r>
                </m:sub>
              </m:sSub>
            </m:e>
          </m:nary>
          <m:r>
            <m:rPr>
              <m:sty m:val="p"/>
            </m:rPr>
            <m:t>=</m:t>
          </m:r>
          <m:r>
            <m:t>K</m:t>
          </m:r>
          <m:r>
            <m:rPr>
              <m:sty m:val="p"/>
            </m:rPr>
            <m:t>.</m:t>
          </m:r>
        </m:oMath>
      </m:oMathPara>
    </w:p>
    <w:p>
      <w:pPr>
        <w:pStyle w:val="FirstParagraph"/>
        <w:widowControl/>
      </w:pPr>
      <w:r>
        <w:t xml:space="preserve">Si dos posiciones son incompatibles,</w:t>
      </w:r>
    </w:p>
    <w:p>
      <w:pPr>
        <w:pStyle w:val="BodyText"/>
        <w:widowControl/>
        <w:spacing w:line="240" w:lineRule="auto" w:before="120" w:after="120"/>
        <w:ind w:firstLine="0" w:left="0" w:right="0"/>
        <w:jc w:val="center"/>
      </w:pPr>
      <m:oMathPara>
        <m:oMathParaPr>
          <m:jc m:val="center"/>
        </m:oMathParaPr>
        <m:oMath>
          <m:sSub>
            <m:e>
              <m:r>
                <m:t>x</m:t>
              </m:r>
            </m:e>
            <m:sub>
              <m:r>
                <m:t>i</m:t>
              </m:r>
            </m:sub>
          </m:sSub>
          <m:r>
            <m:rPr>
              <m:sty m:val="p"/>
            </m:rPr>
            <m:t>+</m:t>
          </m:r>
          <m:sSub>
            <m:e>
              <m:r>
                <m:t>x</m:t>
              </m:r>
            </m:e>
            <m:sub>
              <m:r>
                <m:t>j</m:t>
              </m:r>
            </m:sub>
          </m:sSub>
          <m:r>
            <m:rPr>
              <m:sty m:val="p"/>
            </m:rPr>
            <m:t>≤</m:t>
          </m:r>
          <m:r>
            <m:t>1</m:t>
          </m:r>
          <m:r>
            <m:rPr>
              <m:sty m:val="p"/>
            </m:rPr>
            <m:t>.</m:t>
          </m:r>
        </m:oMath>
      </m:oMathPara>
    </w:p>
    <w:p>
      <w:pPr>
        <w:pStyle w:val="FirstParagraph"/>
        <w:widowControl/>
      </w:pPr>
      <w:r>
        <w:t xml:space="preserve">CP-SAT combina técnicas de satisfacción booleana, programación por restricciones y optimización entera. Sus estados de salida permiten diferenciar entre solución óptima, solución factible, inviabilidad y resultado desconocido bajo un límite de tiempo (Google, 2024). Esta distinción será importante: una solución factible no debe presentarse como óptima si el solucionador no lo ha demostrado.</w:t>
      </w:r>
    </w:p>
    <w:p>
      <w:pPr>
        <w:pStyle w:val="BodyText"/>
        <w:widowControl/>
      </w:pPr>
      <w:r>
        <w:t xml:space="preserve">Para plataformas y mapas podrán emplearse variables de arista y restricciones de flujo. La formulación clásica servirá para validar la lógica antes de convertirla en penalizaciones QUBO.</w:t>
      </w:r>
    </w:p>
    <w:bookmarkEnd w:id="45"/>
    <w:bookmarkStart w:id="46" w:name="X5dece4cdbba06a0a415876e93c7df1ec5950d97"/>
    <w:p>
      <w:pPr>
        <w:pStyle w:val="Heading3"/>
        <w:keepNext/>
        <w:keepLines/>
        <w:ind w:firstLine="0"/>
      </w:pPr>
      <w:r>
        <w:t xml:space="preserve">2.2.8. Algoritmos de grafos para rutas y conectividad</w:t>
      </w:r>
    </w:p>
    <w:p>
      <w:pPr>
        <w:pStyle w:val="FirstParagraph"/>
        <w:widowControl/>
      </w:pPr>
      <w:r>
        <w:t xml:space="preserve">BFS encuentra un camino con el menor número de aristas en un grafo no ponderado. Dijkstra (1959) obtiene caminos mínimos cuando los costes son no negativos. A* incorpora una heurística para dirigir la exploración hacia la meta (Hart et al., 1968).</w:t>
      </w:r>
    </w:p>
    <w:p>
      <w:pPr>
        <w:pStyle w:val="BodyText"/>
        <w:widowControl/>
      </w:pPr>
      <w:r>
        <w:t xml:space="preserve">Estos algoritmos no generan por sí solos el contenido. Su función en el TFM será comprobar si existe una ruta, reconstruirla y medir su coste. En el enfoque separado del mapa, la conectividad se validará después de generar obstáculos. En plataformas, el algoritmo operará sobre el grafo de saltos posibles.</w:t>
      </w:r>
    </w:p>
    <w:bookmarkEnd w:id="46"/>
    <w:bookmarkStart w:id="47" w:name="métodos-híbridos"/>
    <w:p>
      <w:pPr>
        <w:pStyle w:val="Heading3"/>
        <w:keepNext/>
        <w:keepLines/>
        <w:ind w:firstLine="0"/>
      </w:pPr>
      <w:r>
        <w:t xml:space="preserve">2.2.9. Métodos híbridos</w:t>
      </w:r>
    </w:p>
    <w:p>
      <w:pPr>
        <w:pStyle w:val="FirstParagraph"/>
        <w:widowControl/>
      </w:pPr>
      <w:r>
        <w:t xml:space="preserve">Los métodos anteriores pueden combinarse. Una solución puede construirse de forma voraz, repararse con búsqueda local, validarse con BFS y compararse con CP-SAT. En el mapa, esta modularidad permitirá estudiar la diferencia entre garantizar la conectividad dentro del optimizador y delegarla en un verificador externo.</w:t>
      </w:r>
    </w:p>
    <w:p>
      <w:pPr>
        <w:pStyle w:val="BodyText"/>
        <w:widowControl/>
      </w:pPr>
      <w:r>
        <w:t xml:space="preserve">La hibridación no debe confundirse con los métodos cuántico-clásicos variacionales. En esta sección,</w:t>
      </w:r>
      <w:r>
        <w:t xml:space="preserve"> </w:t>
      </w:r>
      <w:r>
        <w:t xml:space="preserve">“</w:t>
      </w:r>
      <w:r>
        <w:t xml:space="preserve">híbrido</w:t>
      </w:r>
      <w:r>
        <w:t xml:space="preserve">”</w:t>
      </w:r>
      <w:r>
        <w:t xml:space="preserve"> </w:t>
      </w:r>
      <w:r>
        <w:t xml:space="preserve">se refiere a combinar algoritmos clásicos con funciones diferentes dentro de un flujo procedural.</w:t>
      </w:r>
    </w:p>
    <w:bookmarkEnd w:id="47"/>
    <w:bookmarkEnd w:id="48"/>
    <w:bookmarkStart w:id="54" w:name="X93834a697addae062bd9d8803cff9a8512992d5"/>
    <w:p>
      <w:pPr>
        <w:pStyle w:val="Heading2"/>
        <w:keepNext/>
        <w:keepLines/>
        <w:ind w:firstLine="0"/>
      </w:pPr>
      <w:r>
        <w:t xml:space="preserve">2.3. Antecedentes de los tres casos de estudio</w:t>
      </w:r>
    </w:p>
    <w:bookmarkStart w:id="49" w:name="colocación-y-distribución-de-objetos"/>
    <w:p>
      <w:pPr>
        <w:pStyle w:val="Heading3"/>
        <w:keepNext/>
        <w:keepLines/>
        <w:ind w:firstLine="0"/>
      </w:pPr>
      <w:r>
        <w:t xml:space="preserve">2.3.1. Colocación y distribución de objetos</w:t>
      </w:r>
    </w:p>
    <w:p>
      <w:pPr>
        <w:pStyle w:val="FirstParagraph"/>
        <w:widowControl/>
      </w:pPr>
      <w:r>
        <w:t xml:space="preserve">La colocación de objetos puede modelarse como una selección de posiciones bajo restricciones espaciales. Los objetos pueden representar recompensas, recursos, enemigos o elementos decorativos. Los requisitos habituales incluyen cantidad, ausencia de colisiones, separación, cobertura y accesibilidad.</w:t>
      </w:r>
    </w:p>
    <w:p>
      <w:pPr>
        <w:pStyle w:val="BodyText"/>
        <w:widowControl/>
        <w:spacing w:line="240" w:lineRule="auto" w:before="120" w:after="120"/>
        <w:ind w:firstLine="0" w:left="0" w:right="0"/>
        <w:jc w:val="center"/>
      </w:pPr>
      <w:r>
        <w:t xml:space="preserve">Sea</w:t>
      </w:r>
      <w:r>
        <w:t xml:space="preserve"> </w:t>
      </w:r>
      <m:oMath>
        <m:r>
          <m:t>P</m:t>
        </m:r>
        <m:r>
          <m:rPr>
            <m:sty m:val="p"/>
          </m:rPr>
          <m:t>=</m:t>
        </m:r>
        <m:r>
          <m:rPr>
            <m:sty m:val="p"/>
          </m:rPr>
          <m:t>{</m:t>
        </m:r>
        <m:sSub>
          <m:e>
            <m:r>
              <m:t>p</m:t>
            </m:r>
          </m:e>
          <m:sub>
            <m:r>
              <m:t>1</m:t>
            </m:r>
          </m:sub>
        </m:sSub>
        <m:r>
          <m:rPr>
            <m:sty m:val="p"/>
          </m:rPr>
          <m:t>,</m:t>
        </m:r>
        <m:r>
          <m:rPr>
            <m:sty m:val="p"/>
          </m:rPr>
          <m:t>…</m:t>
        </m:r>
        <m:r>
          <m:rPr>
            <m:sty m:val="p"/>
          </m:rPr>
          <m:t>,</m:t>
        </m:r>
        <m:sSub>
          <m:e>
            <m:r>
              <m:t>p</m:t>
            </m:r>
          </m:e>
          <m:sub>
            <m:r>
              <m:t>n</m:t>
            </m:r>
          </m:sub>
        </m:sSub>
        <m:r>
          <m:rPr>
            <m:sty m:val="p"/>
          </m:rPr>
          <m:t>}</m:t>
        </m:r>
      </m:oMath>
      <w:r>
        <w:t xml:space="preserve"> </w:t>
      </w:r>
      <w:r>
        <w:t xml:space="preserve">el conjunto de posiciones candidatas, con</w:t>
      </w:r>
    </w:p>
    <w:p>
      <w:pPr>
        <w:pStyle w:val="BodyText"/>
        <w:widowControl/>
        <w:spacing w:line="240" w:lineRule="auto" w:before="120" w:after="120"/>
        <w:ind w:firstLine="0" w:left="0" w:right="0"/>
        <w:jc w:val="center"/>
      </w:pPr>
      <m:oMathPara>
        <m:oMathParaPr>
          <m:jc m:val="center"/>
        </m:oMathParaPr>
        <m:oMath>
          <m:sSub>
            <m:e>
              <m:r>
                <m:t>p</m:t>
              </m:r>
            </m:e>
            <m:sub>
              <m:r>
                <m:t>i</m:t>
              </m:r>
            </m:sub>
          </m:sSub>
          <m:r>
            <m:rPr>
              <m:sty m:val="p"/>
            </m:rPr>
            <m:t>=</m:t>
          </m:r>
          <m:d>
            <m:dPr>
              <m:begChr m:val="("/>
              <m:endChr m:val=")"/>
              <m:sepChr m:val=""/>
              <m:grow/>
            </m:dPr>
            <m:e>
              <m:sSub>
                <m:e>
                  <m:r>
                    <m:t>u</m:t>
                  </m:r>
                </m:e>
                <m:sub>
                  <m:r>
                    <m:t>i</m:t>
                  </m:r>
                </m:sub>
              </m:sSub>
              <m:r>
                <m:rPr>
                  <m:sty m:val="p"/>
                </m:rPr>
                <m:t>,</m:t>
              </m:r>
              <m:sSub>
                <m:e>
                  <m:r>
                    <m:t>v</m:t>
                  </m:r>
                </m:e>
                <m:sub>
                  <m:r>
                    <m:t>i</m:t>
                  </m:r>
                </m:sub>
              </m:sSub>
              <m:r>
                <m:rPr>
                  <m:sty m:val="p"/>
                </m:rPr>
                <m:t>,</m:t>
              </m:r>
              <m:sSub>
                <m:e>
                  <m:r>
                    <m:t>w</m:t>
                  </m:r>
                </m:e>
                <m:sub>
                  <m:r>
                    <m:t>i</m:t>
                  </m:r>
                </m:sub>
              </m:sSub>
            </m:e>
          </m:d>
          <m:r>
            <m:rPr>
              <m:sty m:val="p"/>
            </m:rPr>
            <m:t>∈</m:t>
          </m:r>
          <m:sSup>
            <m:e>
              <m:r>
                <m:rPr>
                  <m:sty m:val="p"/>
                  <m:scr m:val="double-struck"/>
                </m:rPr>
                <m:t>R</m:t>
              </m:r>
            </m:e>
            <m:sup>
              <m:r>
                <m:t>3</m:t>
              </m:r>
            </m:sup>
          </m:sSup>
          <m:r>
            <m:rPr>
              <m:sty m:val="p"/>
            </m:rPr>
            <m:t>.</m:t>
          </m:r>
        </m:oMath>
      </m:oMathPara>
    </w:p>
    <w:p>
      <w:pPr>
        <w:pStyle w:val="FirstParagraph"/>
        <w:widowControl/>
        <w:spacing w:line="240" w:lineRule="auto" w:before="120" w:after="120"/>
        <w:ind w:firstLine="0" w:left="0" w:right="0"/>
        <w:jc w:val="center"/>
      </w:pPr>
      <w:r>
        <w:t xml:space="preserve">La variable</w:t>
      </w:r>
      <w:r>
        <w:t xml:space="preserve"> </w:t>
      </w:r>
      <m:oMath>
        <m:sSub>
          <m:e>
            <m:r>
              <m:t>x</m:t>
            </m:r>
          </m:e>
          <m:sub>
            <m:r>
              <m:t>i</m:t>
            </m:r>
          </m:sub>
        </m:sSub>
      </m:oMath>
      <w:r>
        <w:t xml:space="preserve"> </w:t>
      </w:r>
      <w:r>
        <w:t xml:space="preserve">indica si se coloca una moneda en</w:t>
      </w:r>
      <w:r>
        <w:t xml:space="preserve"> </w:t>
      </w:r>
      <m:oMath>
        <m:sSub>
          <m:e>
            <m:r>
              <m:t>p</m:t>
            </m:r>
          </m:e>
          <m:sub>
            <m:r>
              <m:t>i</m:t>
            </m:r>
          </m:sub>
        </m:sSub>
      </m:oMath>
      <w:r>
        <w:t xml:space="preserve">. El número de objetos se expresa mediante una restricción de cardinalidad. Las incompatibilidades pueden obtenerse a partir de una distancia mínima</w:t>
      </w:r>
      <w:r>
        <w:t xml:space="preserve"> </w:t>
      </w:r>
      <m:oMath>
        <m:sSub>
          <m:e>
            <m:r>
              <m:t>d</m:t>
            </m:r>
          </m:e>
          <m:sub>
            <m:r>
              <m:rPr>
                <m:sty m:val="p"/>
              </m:rPr>
              <m:t>min</m:t>
            </m:r>
          </m:sub>
        </m:sSub>
      </m:oMath>
      <w:r>
        <w:t xml:space="preserve">. Si</w:t>
      </w:r>
    </w:p>
    <w:p>
      <w:pPr>
        <w:pStyle w:val="BodyText"/>
        <w:widowControl/>
        <w:spacing w:line="240" w:lineRule="auto" w:before="120" w:after="120"/>
        <w:ind w:firstLine="0" w:left="0" w:right="0"/>
        <w:jc w:val="center"/>
      </w:pPr>
      <m:oMathPara>
        <m:oMathParaPr>
          <m:jc m:val="center"/>
        </m:oMathParaPr>
        <m:oMath>
          <m:r>
            <m:rPr>
              <m:sty m:val="p"/>
            </m:rPr>
            <m:t>∥</m:t>
          </m:r>
          <m:sSub>
            <m:e>
              <m:r>
                <m:t>p</m:t>
              </m:r>
            </m:e>
            <m:sub>
              <m:r>
                <m:t>i</m:t>
              </m:r>
            </m:sub>
          </m:sSub>
          <m:r>
            <m:rPr>
              <m:sty m:val="p"/>
            </m:rPr>
            <m:t>−</m:t>
          </m:r>
          <m:sSub>
            <m:e>
              <m:r>
                <m:t>p</m:t>
              </m:r>
            </m:e>
            <m:sub>
              <m:r>
                <m:t>j</m:t>
              </m:r>
            </m:sub>
          </m:sSub>
          <m:sSub>
            <m:e>
              <m:r>
                <m:rPr>
                  <m:sty m:val="p"/>
                </m:rPr>
                <m:t>∥</m:t>
              </m:r>
            </m:e>
            <m:sub>
              <m:r>
                <m:t>2</m:t>
              </m:r>
            </m:sub>
          </m:sSub>
          <m:r>
            <m:rPr>
              <m:sty m:val="p"/>
            </m:rPr>
            <m:t>&lt;</m:t>
          </m:r>
          <m:sSub>
            <m:e>
              <m:r>
                <m:t>d</m:t>
              </m:r>
            </m:e>
            <m:sub>
              <m:r>
                <m:rPr>
                  <m:sty m:val="p"/>
                </m:rPr>
                <m:t>min</m:t>
              </m:r>
            </m:sub>
          </m:sSub>
          <m:r>
            <m:rPr>
              <m:sty m:val="p"/>
            </m:rPr>
            <m:t>,</m:t>
          </m:r>
        </m:oMath>
      </m:oMathPara>
    </w:p>
    <w:p>
      <w:pPr>
        <w:pStyle w:val="FirstParagraph"/>
        <w:widowControl/>
        <w:spacing w:line="240" w:lineRule="auto" w:before="120" w:after="120"/>
        <w:ind w:firstLine="0" w:left="0" w:right="0"/>
        <w:jc w:val="center"/>
      </w:pPr>
      <w:r>
        <w:t xml:space="preserve">las posiciones</w:t>
      </w:r>
      <w:r>
        <w:t xml:space="preserve"> </w:t>
      </w:r>
      <m:oMath>
        <m:r>
          <m:t>i</m:t>
        </m:r>
      </m:oMath>
      <w:r>
        <w:t xml:space="preserve"> </w:t>
      </w:r>
      <w:r>
        <w:t xml:space="preserve">y</w:t>
      </w:r>
      <w:r>
        <w:t xml:space="preserve"> </w:t>
      </w:r>
      <m:oMath>
        <m:r>
          <m:t>j</m:t>
        </m:r>
      </m:oMath>
      <w:r>
        <w:t xml:space="preserve"> </w:t>
      </w:r>
      <w:r>
        <w:t xml:space="preserve">no deben seleccionarse simultáneamente.</w:t>
      </w:r>
    </w:p>
    <w:p>
      <w:pPr>
        <w:pStyle w:val="BodyText"/>
        <w:widowControl/>
      </w:pPr>
      <w:r>
        <w:t xml:space="preserve">Esta estructura puede verse como un grafo de conflictos: cada posición es un nodo y cada par incompatible es una arista. Seleccionar posiciones mutuamente compatibles se relaciona con problemas clásicos de selección en grafos. No obstante, el caso del TFM incluirá además objetivos propios de distribución y visualización, por lo que se presentará como un diseño específico inspirado en problemas generales, no como la reproducción de un modelo estándar de monedas.</w:t>
      </w:r>
    </w:p>
    <w:p>
      <w:pPr>
        <w:pStyle w:val="BodyText"/>
        <w:widowControl/>
      </w:pPr>
      <w:r>
        <w:t xml:space="preserve">Los métodos clásicos más adecuados son la enumeración para instancias pequeñas, una estrategia voraz, CP-SAT y simulated annealing. La búsqueda exhaustiva permitirá comprobar si las penalizaciones conducen al óptimo correcto. CP-SAT mantendrá la cardinalidad y las incompatibilidades como restricciones. Simulated annealing utilizará el mismo QUBO que los métodos de annealing.</w:t>
      </w:r>
    </w:p>
    <w:bookmarkEnd w:id="49"/>
    <w:bookmarkStart w:id="50" w:name="generación-de-plataformas-alcanzables"/>
    <w:p>
      <w:pPr>
        <w:pStyle w:val="Heading3"/>
        <w:keepNext/>
        <w:keepLines/>
        <w:ind w:firstLine="0"/>
      </w:pPr>
      <w:r>
        <w:t xml:space="preserve">2.3.2. Generación de plataformas alcanzables</w:t>
      </w:r>
    </w:p>
    <w:p>
      <w:pPr>
        <w:pStyle w:val="FirstParagraph"/>
        <w:widowControl/>
      </w:pPr>
      <w:r>
        <w:t xml:space="preserve">Los niveles de plataformas requieren modelar componentes, ritmo, conectividad y acciones del jugador (Compton &amp; Mateas, 2006; Smith et al., 2008). Una colección de plataformas no constituye un nivel válido si el jugador no puede desplazarse entre ellas.</w:t>
      </w:r>
    </w:p>
    <w:p>
      <w:pPr>
        <w:pStyle w:val="BodyText"/>
        <w:widowControl/>
      </w:pPr>
      <w:r>
        <w:t xml:space="preserve">Tanagra integra planificación reactiva y resolución de restricciones para trabajar con una estructura de acciones y geometría (Smith et al., 2011). Lee et al. (2020) precalculan los estados alcanzables según las reglas físicas y utilizan las transiciones durante la generación. Estos trabajos muestran dos ideas relevantes: la alcanzabilidad debe modelarse explícitamente y el cálculo del movimiento puede separarse de la selección de contenido.</w:t>
      </w:r>
    </w:p>
    <w:p>
      <w:pPr>
        <w:pStyle w:val="BodyText"/>
        <w:widowControl/>
        <w:spacing w:line="240" w:lineRule="auto" w:before="120" w:after="120"/>
        <w:ind w:firstLine="0" w:left="0" w:right="0"/>
        <w:jc w:val="center"/>
      </w:pPr>
      <w:r>
        <w:t xml:space="preserve">En el TFM se definirá un grafo dirigido de plataformas. Una arista</w:t>
      </w:r>
      <w:r>
        <w:t xml:space="preserve"> </w:t>
      </w:r>
      <m:oMath>
        <m:d>
          <m:dPr>
            <m:begChr m:val="("/>
            <m:endChr m:val=")"/>
            <m:sepChr m:val=""/>
            <m:grow/>
          </m:dPr>
          <m:e>
            <m:r>
              <m:t>i</m:t>
            </m:r>
            <m:r>
              <m:rPr>
                <m:sty m:val="p"/>
              </m:rPr>
              <m:t>,</m:t>
            </m:r>
            <m:r>
              <m:t>j</m:t>
            </m:r>
          </m:e>
        </m:d>
      </m:oMath>
      <w:r>
        <w:t xml:space="preserve"> </w:t>
      </w:r>
      <w:r>
        <w:t xml:space="preserve">se incluirá cuando el salto desde</w:t>
      </w:r>
      <w:r>
        <w:t xml:space="preserve"> </w:t>
      </w:r>
      <m:oMath>
        <m:r>
          <m:t>i</m:t>
        </m:r>
      </m:oMath>
      <w:r>
        <w:t xml:space="preserve"> </w:t>
      </w:r>
      <w:r>
        <w:t xml:space="preserve">hasta</w:t>
      </w:r>
      <w:r>
        <w:t xml:space="preserve"> </w:t>
      </w:r>
      <m:oMath>
        <m:r>
          <m:t>j</m:t>
        </m:r>
      </m:oMath>
      <w:r>
        <w:t xml:space="preserve"> </w:t>
      </w:r>
      <w:r>
        <w:t xml:space="preserve">cumpla las condiciones establecidas. Un modelo simplificado puede utilizar</w:t>
      </w:r>
    </w:p>
    <w:p>
      <w:pPr>
        <w:pStyle w:val="BodyText"/>
        <w:widowControl/>
        <w:spacing w:line="240" w:lineRule="auto" w:before="120" w:after="120"/>
        <w:ind w:firstLine="0" w:left="0" w:right="0"/>
        <w:jc w:val="center"/>
      </w:pPr>
      <m:oMathPara>
        <m:oMathParaPr>
          <m:jc m:val="center"/>
        </m:oMathParaPr>
        <m:oMath>
          <m:sSub>
            <m:e>
              <m:r>
                <m:t>Δ</m:t>
              </m:r>
            </m:e>
            <m:sub>
              <m:r>
                <m:t>x</m:t>
              </m:r>
              <m:r>
                <m:t>y</m:t>
              </m:r>
            </m:sub>
          </m:sSub>
          <m:d>
            <m:dPr>
              <m:begChr m:val="("/>
              <m:endChr m:val=")"/>
              <m:sepChr m:val=""/>
              <m:grow/>
            </m:dPr>
            <m:e>
              <m:r>
                <m:t>i</m:t>
              </m:r>
              <m:r>
                <m:rPr>
                  <m:sty m:val="p"/>
                </m:rPr>
                <m:t>,</m:t>
              </m:r>
              <m:r>
                <m:t>j</m:t>
              </m:r>
            </m:e>
          </m:d>
          <m:r>
            <m:rPr>
              <m:sty m:val="p"/>
            </m:rPr>
            <m:t>≤</m:t>
          </m:r>
          <m:sSub>
            <m:e>
              <m:r>
                <m:t>d</m:t>
              </m:r>
            </m:e>
            <m:sub>
              <m:r>
                <m:rPr>
                  <m:sty m:val="p"/>
                </m:rPr>
                <m:t>max</m:t>
              </m:r>
            </m:sub>
          </m:sSub>
          <m:r>
            <m:rPr>
              <m:sty m:val="p"/>
            </m:rPr>
            <m:t>,</m:t>
          </m:r>
        </m:oMath>
      </m:oMathPara>
    </w:p>
    <w:p>
      <w:pPr>
        <w:pStyle w:val="FirstParagraph"/>
        <w:widowControl/>
        <w:spacing w:line="240" w:lineRule="auto" w:before="120" w:after="120"/>
        <w:ind w:firstLine="0" w:left="0" w:right="0"/>
        <w:jc w:val="center"/>
      </w:pPr>
      <m:oMathPara>
        <m:oMathParaPr>
          <m:jc m:val="center"/>
        </m:oMathParaPr>
        <m:oMath>
          <m:r>
            <m:rPr>
              <m:sty m:val="p"/>
            </m:rPr>
            <m:t>−</m:t>
          </m:r>
          <m:sSub>
            <m:e>
              <m:r>
                <m:t>h</m:t>
              </m:r>
            </m:e>
            <m:sub>
              <m:r>
                <m:rPr>
                  <m:nor/>
                  <m:sty m:val="p"/>
                </m:rPr>
                <m:t>desc</m:t>
              </m:r>
            </m:sub>
          </m:sSub>
          <m:r>
            <m:rPr>
              <m:sty m:val="p"/>
            </m:rPr>
            <m:t>≤</m:t>
          </m:r>
          <m:sSub>
            <m:e>
              <m:r>
                <m:t>w</m:t>
              </m:r>
            </m:e>
            <m:sub>
              <m:r>
                <m:t>j</m:t>
              </m:r>
            </m:sub>
          </m:sSub>
          <m:r>
            <m:rPr>
              <m:sty m:val="p"/>
            </m:rPr>
            <m:t>−</m:t>
          </m:r>
          <m:sSub>
            <m:e>
              <m:r>
                <m:t>w</m:t>
              </m:r>
            </m:e>
            <m:sub>
              <m:r>
                <m:t>i</m:t>
              </m:r>
            </m:sub>
          </m:sSub>
          <m:r>
            <m:rPr>
              <m:sty m:val="p"/>
            </m:rPr>
            <m:t>≤</m:t>
          </m:r>
          <m:sSub>
            <m:e>
              <m:r>
                <m:t>h</m:t>
              </m:r>
            </m:e>
            <m:sub>
              <m:r>
                <m:rPr>
                  <m:nor/>
                  <m:sty m:val="p"/>
                </m:rPr>
                <m:t>asc</m:t>
              </m:r>
            </m:sub>
          </m:sSub>
          <m:r>
            <m:rPr>
              <m:sty m:val="p"/>
            </m:rPr>
            <m:t>,</m:t>
          </m:r>
        </m:oMath>
      </m:oMathPara>
    </w:p>
    <w:p>
      <w:pPr>
        <w:pStyle w:val="FirstParagraph"/>
        <w:widowControl/>
        <w:spacing w:line="240" w:lineRule="auto" w:before="120" w:after="120"/>
        <w:ind w:firstLine="0" w:left="0" w:right="0"/>
        <w:jc w:val="center"/>
      </w:pPr>
      <w:r>
        <w:t xml:space="preserve">donde</w:t>
      </w:r>
      <w:r>
        <w:t xml:space="preserve"> </w:t>
      </w:r>
      <m:oMath>
        <m:sSub>
          <m:e>
            <m:r>
              <m:t>Δ</m:t>
            </m:r>
          </m:e>
          <m:sub>
            <m:r>
              <m:t>x</m:t>
            </m:r>
            <m:r>
              <m:t>y</m:t>
            </m:r>
          </m:sub>
        </m:sSub>
      </m:oMath>
      <w:r>
        <w:t xml:space="preserve"> </w:t>
      </w:r>
      <w:r>
        <w:t xml:space="preserve">es la distancia horizontal,</w:t>
      </w:r>
      <w:r>
        <w:t xml:space="preserve"> </w:t>
      </w:r>
      <m:oMath>
        <m:sSub>
          <m:e>
            <m:r>
              <m:t>d</m:t>
            </m:r>
          </m:e>
          <m:sub>
            <m:r>
              <m:rPr>
                <m:sty m:val="p"/>
              </m:rPr>
              <m:t>max</m:t>
            </m:r>
          </m:sub>
        </m:sSub>
      </m:oMath>
      <w:r>
        <w:t xml:space="preserve"> </w:t>
      </w:r>
      <w:r>
        <w:t xml:space="preserve">el alcance máximo,</w:t>
      </w:r>
      <w:r>
        <w:t xml:space="preserve"> </w:t>
      </w:r>
      <m:oMath>
        <m:sSub>
          <m:e>
            <m:r>
              <m:t>h</m:t>
            </m:r>
          </m:e>
          <m:sub>
            <m:r>
              <m:rPr>
                <m:nor/>
                <m:sty m:val="p"/>
              </m:rPr>
              <m:t>asc</m:t>
            </m:r>
          </m:sub>
        </m:sSub>
      </m:oMath>
      <w:r>
        <w:t xml:space="preserve"> </w:t>
      </w:r>
      <w:r>
        <w:t xml:space="preserve">el ascenso permitido y</w:t>
      </w:r>
      <w:r>
        <w:t xml:space="preserve"> </w:t>
      </w:r>
      <m:oMath>
        <m:sSub>
          <m:e>
            <m:r>
              <m:t>h</m:t>
            </m:r>
          </m:e>
          <m:sub>
            <m:r>
              <m:rPr>
                <m:nor/>
                <m:sty m:val="p"/>
              </m:rPr>
              <m:t>desc</m:t>
            </m:r>
          </m:sub>
        </m:sSub>
      </m:oMath>
      <w:r>
        <w:t xml:space="preserve"> </w:t>
      </w:r>
      <w:r>
        <w:t xml:space="preserve">el descenso permitido.</w:t>
      </w:r>
    </w:p>
    <w:p>
      <w:pPr>
        <w:pStyle w:val="BodyText"/>
        <w:widowControl/>
      </w:pPr>
      <w:r>
        <w:t xml:space="preserve">La simplificación evita simular trayectorias continuas durante la optimización. Su limitación es que la jugabilidad real dependería de velocidad, gravedad, control aéreo, dimensiones y colisiones. Estas variables no se modelarán con detalle en la primera versión.</w:t>
      </w:r>
    </w:p>
    <w:p>
      <w:pPr>
        <w:pStyle w:val="BodyText"/>
        <w:widowControl/>
      </w:pPr>
      <w:r>
        <w:t xml:space="preserve">Los algoritmos BFS, Dijkstra y A* servirán para validar rutas sobre el grafo. Un modelo CP-SAT podrá seleccionar nodos y aristas, mientras que simulated annealing y QUBO deberán incorporar la continuidad mediante penalizaciones. La comparación mostrará el coste de pasar de restricciones locales a relaciones de secuencia.</w:t>
      </w:r>
    </w:p>
    <w:bookmarkEnd w:id="50"/>
    <w:bookmarkStart w:id="51" w:name="mapas-en-cuadrícula-y-conectividad"/>
    <w:p>
      <w:pPr>
        <w:pStyle w:val="Heading3"/>
        <w:keepNext/>
        <w:keepLines/>
        <w:ind w:firstLine="0"/>
      </w:pPr>
      <w:r>
        <w:t xml:space="preserve">2.3.3. Mapas en cuadrícula y conectividad</w:t>
      </w:r>
    </w:p>
    <w:p>
      <w:pPr>
        <w:pStyle w:val="FirstParagraph"/>
        <w:widowControl/>
      </w:pPr>
      <w:r>
        <w:t xml:space="preserve">Los mapas basados en celdas permiten representar suelo, obstáculos y regiones mediante estados discretos. Los métodos constructivos pueden garantizar conectividad por diseño, mientras que los métodos basados en búsqueda pueden optimizar densidad, dificultad o distribución.</w:t>
      </w:r>
    </w:p>
    <w:p>
      <w:pPr>
        <w:pStyle w:val="BodyText"/>
        <w:widowControl/>
      </w:pPr>
      <w:r>
        <w:t xml:space="preserve">Sturgeon demuestra que las restricciones pueden utilizarse para generar niveles basados en celdas y asegurar que determinados objetivos sean alcanzables (Cooper, 2022). En otros enfoques, la jugabilidad se comprueba después de la generación y las soluciones inválidas se filtran o reparan. Lee et al. (2020) señalan precisamente la diferencia entre garantías integradas y filtrado posterior en el contexto de plataformas.</w:t>
      </w:r>
    </w:p>
    <w:p>
      <w:pPr>
        <w:pStyle w:val="BodyText"/>
        <w:widowControl/>
        <w:spacing w:line="240" w:lineRule="auto" w:before="120" w:after="120"/>
        <w:ind w:firstLine="0" w:left="0" w:right="0"/>
        <w:jc w:val="center"/>
      </w:pPr>
      <w:r>
        <w:t xml:space="preserve">Sea una cuadrícula de</w:t>
      </w:r>
      <w:r>
        <w:t xml:space="preserve"> </w:t>
      </w:r>
      <m:oMath>
        <m:r>
          <m:t>M</m:t>
        </m:r>
      </m:oMath>
      <w:r>
        <w:t xml:space="preserve"> </w:t>
      </w:r>
      <w:r>
        <w:t xml:space="preserve">filas y</w:t>
      </w:r>
      <w:r>
        <w:t xml:space="preserve"> </w:t>
      </w:r>
      <m:oMath>
        <m:r>
          <m:t>N</m:t>
        </m:r>
      </m:oMath>
      <w:r>
        <w:t xml:space="preserve"> </w:t>
      </w:r>
      <w:r>
        <w:t xml:space="preserve">columnas. La variable</w:t>
      </w:r>
    </w:p>
    <w:p>
      <w:pPr>
        <w:pStyle w:val="BodyText"/>
        <w:widowControl/>
        <w:spacing w:line="240" w:lineRule="auto" w:before="120" w:after="120"/>
        <w:ind w:firstLine="0" w:left="0" w:right="0"/>
        <w:jc w:val="center"/>
      </w:pPr>
      <m:oMathPara>
        <m:oMathParaPr>
          <m:jc m:val="center"/>
        </m:oMathParaPr>
        <m:oMath>
          <m:sSub>
            <m:e>
              <m:r>
                <m:t>o</m:t>
              </m:r>
            </m:e>
            <m:sub>
              <m:r>
                <m:t>r</m:t>
              </m:r>
              <m:r>
                <m:t>c</m:t>
              </m:r>
            </m:sub>
          </m:sSub>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e>
                  <m:e>
                    <m:r>
                      <m:rPr>
                        <m:nor/>
                        <m:sty m:val="p"/>
                      </m:rPr>
                      <m:t>si la celda </m:t>
                    </m:r>
                    <m:d>
                      <m:dPr>
                        <m:begChr m:val="("/>
                        <m:endChr m:val=")"/>
                        <m:sepChr m:val=""/>
                        <m:grow/>
                      </m:dPr>
                      <m:e>
                        <m:r>
                          <m:t>r</m:t>
                        </m:r>
                        <m:r>
                          <m:rPr>
                            <m:sty m:val="p"/>
                          </m:rPr>
                          <m:t>,</m:t>
                        </m:r>
                        <m:r>
                          <m:t>c</m:t>
                        </m:r>
                      </m:e>
                    </m:d>
                    <m:r>
                      <m:rPr>
                        <m:nor/>
                        <m:sty m:val="p"/>
                      </m:rPr>
                      <m:t> contiene un obstáculo</m:t>
                    </m:r>
                    <m:r>
                      <m:rPr>
                        <m:sty m:val="p"/>
                      </m:rPr>
                      <m:t>,</m:t>
                    </m:r>
                  </m:e>
                </m:mr>
                <m:mr>
                  <m:e>
                    <m:r>
                      <m:t>0</m:t>
                    </m:r>
                    <m:r>
                      <m:rPr>
                        <m:sty m:val="p"/>
                      </m:rPr>
                      <m:t>,</m:t>
                    </m:r>
                  </m:e>
                  <m:e>
                    <m:r>
                      <m:rPr>
                        <m:nor/>
                        <m:sty m:val="p"/>
                      </m:rPr>
                      <m:t>si la celda es transitable</m:t>
                    </m:r>
                    <m:r>
                      <m:rPr>
                        <m:sty m:val="p"/>
                      </m:rPr>
                      <m:t>.</m:t>
                    </m:r>
                  </m:e>
                </m:mr>
              </m:m>
            </m:e>
          </m:d>
        </m:oMath>
      </m:oMathPara>
    </w:p>
    <w:p>
      <w:pPr>
        <w:pStyle w:val="FirstParagraph"/>
        <w:widowControl/>
      </w:pPr>
      <w:r>
        <w:t xml:space="preserve">La densidad de obstáculos puede definirse como</w:t>
      </w:r>
    </w:p>
    <w:p>
      <w:pPr>
        <w:pStyle w:val="BodyText"/>
        <w:widowControl/>
        <w:spacing w:line="240" w:lineRule="auto" w:before="120" w:after="120"/>
        <w:ind w:firstLine="0" w:left="0" w:right="0"/>
        <w:jc w:val="center"/>
      </w:pPr>
      <m:oMathPara>
        <m:oMathParaPr>
          <m:jc m:val="center"/>
        </m:oMathParaPr>
        <m:oMath>
          <m:r>
            <m:t>ρ</m:t>
          </m:r>
          <m:r>
            <m:rPr>
              <m:sty m:val="p"/>
            </m:rPr>
            <m:t>=</m:t>
          </m:r>
          <m:f>
            <m:fPr>
              <m:type m:val="bar"/>
            </m:fPr>
            <m:num>
              <m:r>
                <m:t>1</m:t>
              </m:r>
            </m:num>
            <m:den>
              <m:r>
                <m:t>M</m:t>
              </m:r>
              <m:r>
                <m:t>N</m:t>
              </m:r>
            </m:den>
          </m:f>
          <m:nary>
            <m:naryPr>
              <m:chr m:val="∑"/>
              <m:limLoc m:val="undOvr"/>
              <m:subHide m:val="off"/>
              <m:supHide m:val="off"/>
            </m:naryPr>
            <m:sub>
              <m:r>
                <m:t>r</m:t>
              </m:r>
              <m:r>
                <m:rPr>
                  <m:sty m:val="p"/>
                </m:rPr>
                <m:t>=</m:t>
              </m:r>
              <m:r>
                <m:t>1</m:t>
              </m:r>
            </m:sub>
            <m:sup>
              <m:r>
                <m:t>M</m:t>
              </m:r>
            </m:sup>
            <m:e>
              <m:nary>
                <m:naryPr>
                  <m:chr m:val="∑"/>
                  <m:limLoc m:val="undOvr"/>
                  <m:subHide m:val="off"/>
                  <m:supHide m:val="off"/>
                </m:naryPr>
                <m:sub>
                  <m:r>
                    <m:t>c</m:t>
                  </m:r>
                  <m:r>
                    <m:rPr>
                      <m:sty m:val="p"/>
                    </m:rPr>
                    <m:t>=</m:t>
                  </m:r>
                  <m:r>
                    <m:t>1</m:t>
                  </m:r>
                </m:sub>
                <m:sup>
                  <m:r>
                    <m:t>N</m:t>
                  </m:r>
                </m:sup>
                <m:e>
                  <m:sSub>
                    <m:e>
                      <m:r>
                        <m:t>o</m:t>
                      </m:r>
                    </m:e>
                    <m:sub>
                      <m:r>
                        <m:t>r</m:t>
                      </m:r>
                      <m:r>
                        <m:t>c</m:t>
                      </m:r>
                    </m:sub>
                  </m:sSub>
                </m:e>
              </m:nary>
            </m:e>
          </m:nary>
          <m:r>
            <m:rPr>
              <m:sty m:val="p"/>
            </m:rPr>
            <m:t>.</m:t>
          </m:r>
        </m:oMath>
      </m:oMathPara>
    </w:p>
    <w:p>
      <w:pPr>
        <w:pStyle w:val="FirstParagraph"/>
        <w:widowControl/>
      </w:pPr>
      <w:r>
        <w:t xml:space="preserve">Dos mapas con la misma densidad pueden diferir en su conectividad. Esta propiedad no se deduce de la suma de obstáculos, sino de la estructura de las celdas transitables.</w:t>
      </w:r>
    </w:p>
    <w:bookmarkEnd w:id="51"/>
    <w:bookmarkStart w:id="52" w:name="formulación-conjunta-de-la-conectividad"/>
    <w:p>
      <w:pPr>
        <w:pStyle w:val="Heading3"/>
        <w:keepNext/>
        <w:keepLines/>
        <w:ind w:firstLine="0"/>
      </w:pPr>
      <w:r>
        <w:t xml:space="preserve">2.3.4. Formulación conjunta de la conectividad</w:t>
      </w:r>
    </w:p>
    <w:p>
      <w:pPr>
        <w:pStyle w:val="FirstParagraph"/>
        <w:widowControl/>
        <w:spacing w:line="240" w:lineRule="auto" w:before="120" w:after="120"/>
        <w:ind w:firstLine="0" w:left="0" w:right="0"/>
        <w:jc w:val="center"/>
      </w:pPr>
      <w:r>
        <w:t xml:space="preserve">La formulación conjunta incorpora variables que representan una ruta o un flujo. Una opción clásica utiliza variables de arista</w:t>
      </w:r>
      <w:r>
        <w:t xml:space="preserve"> </w:t>
      </w:r>
      <m:oMath>
        <m:sSub>
          <m:e>
            <m:r>
              <m:t>y</m:t>
            </m:r>
          </m:e>
          <m:sub>
            <m:r>
              <m:t>u</m:t>
            </m:r>
            <m:r>
              <m:t>v</m:t>
            </m:r>
          </m:sub>
        </m:sSub>
      </m:oMath>
      <w:r>
        <w:t xml:space="preserve"> </w:t>
      </w:r>
      <w:r>
        <w:t xml:space="preserve">sobre el grafo de celdas vecinas. El inicio actúa como fuente, la meta como sumidero y las demás celdas conservan el flujo.</w:t>
      </w:r>
    </w:p>
    <w:p>
      <w:pPr>
        <w:pStyle w:val="BodyText"/>
        <w:widowControl/>
      </w:pPr>
      <w:r>
        <w:t xml:space="preserve">En una formulación simplificada de flujo unitario,</w:t>
      </w:r>
    </w:p>
    <w:p>
      <w:pPr>
        <w:pStyle w:val="BodyText"/>
        <w:widowControl/>
        <w:spacing w:line="240" w:lineRule="auto" w:before="120" w:after="120"/>
        <w:ind w:firstLine="0" w:left="0" w:right="0"/>
        <w:jc w:val="center"/>
      </w:pPr>
      <m:oMathPara>
        <m:oMathParaPr>
          <m:jc m:val="center"/>
        </m:oMathParaPr>
        <m:oMath>
          <m:nary>
            <m:naryPr>
              <m:chr m:val="∑"/>
              <m:limLoc m:val="undOvr"/>
              <m:subHide m:val="off"/>
              <m:supHide m:val="on"/>
            </m:naryPr>
            <m:sub>
              <m:r>
                <m:t>v</m:t>
              </m:r>
              <m:r>
                <m:rPr>
                  <m:sty m:val="p"/>
                </m:rPr>
                <m:t>:</m:t>
              </m:r>
              <m:d>
                <m:dPr>
                  <m:begChr m:val="("/>
                  <m:endChr m:val=")"/>
                  <m:sepChr m:val=""/>
                  <m:grow/>
                </m:dPr>
                <m:e>
                  <m:r>
                    <m:t>s</m:t>
                  </m:r>
                  <m:r>
                    <m:rPr>
                      <m:sty m:val="p"/>
                    </m:rPr>
                    <m:t>,</m:t>
                  </m:r>
                  <m:r>
                    <m:t>v</m:t>
                  </m:r>
                </m:e>
              </m:d>
              <m:r>
                <m:rPr>
                  <m:sty m:val="p"/>
                </m:rPr>
                <m:t>∈</m:t>
              </m:r>
              <m:r>
                <m:t>E</m:t>
              </m:r>
            </m:sub>
            <m:sup>
              <m:r>
                <m:t>​</m:t>
              </m:r>
            </m:sup>
            <m:e>
              <m:sSub>
                <m:e>
                  <m:r>
                    <m:t>y</m:t>
                  </m:r>
                </m:e>
                <m:sub>
                  <m:r>
                    <m:t>s</m:t>
                  </m:r>
                  <m:r>
                    <m:t>v</m:t>
                  </m:r>
                </m:sub>
              </m:sSub>
            </m:e>
          </m:nary>
          <m:r>
            <m:rPr>
              <m:sty m:val="p"/>
            </m:rPr>
            <m:t>−</m:t>
          </m:r>
          <m:nary>
            <m:naryPr>
              <m:chr m:val="∑"/>
              <m:limLoc m:val="undOvr"/>
              <m:subHide m:val="off"/>
              <m:supHide m:val="on"/>
            </m:naryPr>
            <m:sub>
              <m:r>
                <m:t>u</m:t>
              </m:r>
              <m:r>
                <m:rPr>
                  <m:sty m:val="p"/>
                </m:rPr>
                <m:t>:</m:t>
              </m:r>
              <m:d>
                <m:dPr>
                  <m:begChr m:val="("/>
                  <m:endChr m:val=")"/>
                  <m:sepChr m:val=""/>
                  <m:grow/>
                </m:dPr>
                <m:e>
                  <m:r>
                    <m:t>u</m:t>
                  </m:r>
                  <m:r>
                    <m:rPr>
                      <m:sty m:val="p"/>
                    </m:rPr>
                    <m:t>,</m:t>
                  </m:r>
                  <m:r>
                    <m:t>s</m:t>
                  </m:r>
                </m:e>
              </m:d>
              <m:r>
                <m:rPr>
                  <m:sty m:val="p"/>
                </m:rPr>
                <m:t>∈</m:t>
              </m:r>
              <m:r>
                <m:t>E</m:t>
              </m:r>
            </m:sub>
            <m:sup>
              <m:r>
                <m:t>​</m:t>
              </m:r>
            </m:sup>
            <m:e>
              <m:sSub>
                <m:e>
                  <m:r>
                    <m:t>y</m:t>
                  </m:r>
                </m:e>
                <m:sub>
                  <m:r>
                    <m:t>u</m:t>
                  </m:r>
                  <m:r>
                    <m:t>s</m:t>
                  </m:r>
                </m:sub>
              </m:sSub>
            </m:e>
          </m:nary>
          <m:r>
            <m:rPr>
              <m:sty m:val="p"/>
            </m:rPr>
            <m:t>=</m:t>
          </m:r>
          <m:r>
            <m:t>1</m:t>
          </m:r>
          <m:r>
            <m:rPr>
              <m:sty m:val="p"/>
            </m:rPr>
            <m:t>,</m:t>
          </m:r>
        </m:oMath>
      </m:oMathPara>
    </w:p>
    <w:p>
      <w:pPr>
        <w:pStyle w:val="FirstParagraph"/>
        <w:widowControl/>
        <w:spacing w:line="240" w:lineRule="auto" w:before="120" w:after="120"/>
        <w:ind w:firstLine="0" w:left="0" w:right="0"/>
        <w:jc w:val="center"/>
      </w:pPr>
      <m:oMathPara>
        <m:oMathParaPr>
          <m:jc m:val="center"/>
        </m:oMathParaPr>
        <m:oMath>
          <m:nary>
            <m:naryPr>
              <m:chr m:val="∑"/>
              <m:limLoc m:val="undOvr"/>
              <m:subHide m:val="off"/>
              <m:supHide m:val="on"/>
            </m:naryPr>
            <m:sub>
              <m:r>
                <m:t>v</m:t>
              </m:r>
              <m:r>
                <m:rPr>
                  <m:sty m:val="p"/>
                </m:rPr>
                <m:t>:</m:t>
              </m:r>
              <m:d>
                <m:dPr>
                  <m:begChr m:val="("/>
                  <m:endChr m:val=")"/>
                  <m:sepChr m:val=""/>
                  <m:grow/>
                </m:dPr>
                <m:e>
                  <m:r>
                    <m:t>t</m:t>
                  </m:r>
                  <m:r>
                    <m:rPr>
                      <m:sty m:val="p"/>
                    </m:rPr>
                    <m:t>,</m:t>
                  </m:r>
                  <m:r>
                    <m:t>v</m:t>
                  </m:r>
                </m:e>
              </m:d>
              <m:r>
                <m:rPr>
                  <m:sty m:val="p"/>
                </m:rPr>
                <m:t>∈</m:t>
              </m:r>
              <m:r>
                <m:t>E</m:t>
              </m:r>
            </m:sub>
            <m:sup>
              <m:r>
                <m:t>​</m:t>
              </m:r>
            </m:sup>
            <m:e>
              <m:sSub>
                <m:e>
                  <m:r>
                    <m:t>y</m:t>
                  </m:r>
                </m:e>
                <m:sub>
                  <m:r>
                    <m:t>t</m:t>
                  </m:r>
                  <m:r>
                    <m:t>v</m:t>
                  </m:r>
                </m:sub>
              </m:sSub>
            </m:e>
          </m:nary>
          <m:r>
            <m:rPr>
              <m:sty m:val="p"/>
            </m:rPr>
            <m:t>−</m:t>
          </m:r>
          <m:nary>
            <m:naryPr>
              <m:chr m:val="∑"/>
              <m:limLoc m:val="undOvr"/>
              <m:subHide m:val="off"/>
              <m:supHide m:val="on"/>
            </m:naryPr>
            <m:sub>
              <m:r>
                <m:t>u</m:t>
              </m:r>
              <m:r>
                <m:rPr>
                  <m:sty m:val="p"/>
                </m:rPr>
                <m:t>:</m:t>
              </m:r>
              <m:d>
                <m:dPr>
                  <m:begChr m:val="("/>
                  <m:endChr m:val=")"/>
                  <m:sepChr m:val=""/>
                  <m:grow/>
                </m:dPr>
                <m:e>
                  <m:r>
                    <m:t>u</m:t>
                  </m:r>
                  <m:r>
                    <m:rPr>
                      <m:sty m:val="p"/>
                    </m:rPr>
                    <m:t>,</m:t>
                  </m:r>
                  <m:r>
                    <m:t>t</m:t>
                  </m:r>
                </m:e>
              </m:d>
              <m:r>
                <m:rPr>
                  <m:sty m:val="p"/>
                </m:rPr>
                <m:t>∈</m:t>
              </m:r>
              <m:r>
                <m:t>E</m:t>
              </m:r>
            </m:sub>
            <m:sup>
              <m:r>
                <m:t>​</m:t>
              </m:r>
            </m:sup>
            <m:e>
              <m:sSub>
                <m:e>
                  <m:r>
                    <m:t>y</m:t>
                  </m:r>
                </m:e>
                <m:sub>
                  <m:r>
                    <m:t>u</m:t>
                  </m:r>
                  <m:r>
                    <m:t>t</m:t>
                  </m:r>
                </m:sub>
              </m:sSub>
            </m:e>
          </m:nary>
          <m:r>
            <m:rPr>
              <m:sty m:val="p"/>
            </m:rPr>
            <m:t>=</m:t>
          </m:r>
          <m:r>
            <m:rPr>
              <m:sty m:val="p"/>
            </m:rPr>
            <m:t>−</m:t>
          </m:r>
          <m:r>
            <m:t>1</m:t>
          </m:r>
          <m:r>
            <m:rPr>
              <m:sty m:val="p"/>
            </m:rPr>
            <m:t>,</m:t>
          </m:r>
        </m:oMath>
      </m:oMathPara>
    </w:p>
    <w:p>
      <w:pPr>
        <w:pStyle w:val="FirstParagraph"/>
        <w:widowControl/>
        <w:spacing w:line="240" w:lineRule="auto" w:before="120" w:after="120"/>
        <w:ind w:firstLine="0" w:left="0" w:right="0"/>
        <w:jc w:val="center"/>
      </w:pPr>
      <m:oMathPara>
        <m:oMathParaPr>
          <m:jc m:val="center"/>
        </m:oMathParaPr>
        <m:oMath>
          <m:nary>
            <m:naryPr>
              <m:chr m:val="∑"/>
              <m:limLoc m:val="undOvr"/>
              <m:subHide m:val="off"/>
              <m:supHide m:val="on"/>
            </m:naryPr>
            <m:sub>
              <m:r>
                <m:t>v</m:t>
              </m:r>
              <m:r>
                <m:rPr>
                  <m:sty m:val="p"/>
                </m:rPr>
                <m:t>:</m:t>
              </m:r>
              <m:d>
                <m:dPr>
                  <m:begChr m:val="("/>
                  <m:endChr m:val=")"/>
                  <m:sepChr m:val=""/>
                  <m:grow/>
                </m:dPr>
                <m:e>
                  <m:r>
                    <m:t>k</m:t>
                  </m:r>
                  <m:r>
                    <m:rPr>
                      <m:sty m:val="p"/>
                    </m:rPr>
                    <m:t>,</m:t>
                  </m:r>
                  <m:r>
                    <m:t>v</m:t>
                  </m:r>
                </m:e>
              </m:d>
              <m:r>
                <m:rPr>
                  <m:sty m:val="p"/>
                </m:rPr>
                <m:t>∈</m:t>
              </m:r>
              <m:r>
                <m:t>E</m:t>
              </m:r>
            </m:sub>
            <m:sup>
              <m:r>
                <m:t>​</m:t>
              </m:r>
            </m:sup>
            <m:e>
              <m:sSub>
                <m:e>
                  <m:r>
                    <m:t>y</m:t>
                  </m:r>
                </m:e>
                <m:sub>
                  <m:r>
                    <m:t>k</m:t>
                  </m:r>
                  <m:r>
                    <m:t>v</m:t>
                  </m:r>
                </m:sub>
              </m:sSub>
            </m:e>
          </m:nary>
          <m:r>
            <m:rPr>
              <m:sty m:val="p"/>
            </m:rPr>
            <m:t>−</m:t>
          </m:r>
          <m:nary>
            <m:naryPr>
              <m:chr m:val="∑"/>
              <m:limLoc m:val="undOvr"/>
              <m:subHide m:val="off"/>
              <m:supHide m:val="on"/>
            </m:naryPr>
            <m:sub>
              <m:r>
                <m:t>u</m:t>
              </m:r>
              <m:r>
                <m:rPr>
                  <m:sty m:val="p"/>
                </m:rPr>
                <m:t>:</m:t>
              </m:r>
              <m:d>
                <m:dPr>
                  <m:begChr m:val="("/>
                  <m:endChr m:val=")"/>
                  <m:sepChr m:val=""/>
                  <m:grow/>
                </m:dPr>
                <m:e>
                  <m:r>
                    <m:t>u</m:t>
                  </m:r>
                  <m:r>
                    <m:rPr>
                      <m:sty m:val="p"/>
                    </m:rPr>
                    <m:t>,</m:t>
                  </m:r>
                  <m:r>
                    <m:t>k</m:t>
                  </m:r>
                </m:e>
              </m:d>
              <m:r>
                <m:rPr>
                  <m:sty m:val="p"/>
                </m:rPr>
                <m:t>∈</m:t>
              </m:r>
              <m:r>
                <m:t>E</m:t>
              </m:r>
            </m:sub>
            <m:sup>
              <m:r>
                <m:t>​</m:t>
              </m:r>
            </m:sup>
            <m:e>
              <m:sSub>
                <m:e>
                  <m:r>
                    <m:t>y</m:t>
                  </m:r>
                </m:e>
                <m:sub>
                  <m:r>
                    <m:t>u</m:t>
                  </m:r>
                  <m:r>
                    <m:t>k</m:t>
                  </m:r>
                </m:sub>
              </m:sSub>
            </m:e>
          </m:nary>
          <m:r>
            <m:rPr>
              <m:sty m:val="p"/>
            </m:rPr>
            <m:t>=</m:t>
          </m:r>
          <m:r>
            <m:t>0</m:t>
          </m:r>
          <m:r>
            <m:rPr>
              <m:sty m:val="p"/>
            </m:rPr>
            <m:t>,</m:t>
          </m:r>
          <m:r>
            <m:t>  </m:t>
          </m:r>
          <m:r>
            <m:t>k</m:t>
          </m:r>
          <m:r>
            <m:rPr>
              <m:sty m:val="p"/>
            </m:rPr>
            <m:t>∉</m:t>
          </m:r>
          <m:r>
            <m:rPr>
              <m:sty m:val="p"/>
            </m:rPr>
            <m:t>{</m:t>
          </m:r>
          <m:r>
            <m:t>s</m:t>
          </m:r>
          <m:r>
            <m:rPr>
              <m:sty m:val="p"/>
            </m:rPr>
            <m:t>,</m:t>
          </m:r>
          <m:r>
            <m:t>t</m:t>
          </m:r>
          <m:r>
            <m:rPr>
              <m:sty m:val="p"/>
            </m:rPr>
            <m:t>}</m:t>
          </m:r>
          <m:r>
            <m:rPr>
              <m:sty m:val="p"/>
            </m:rPr>
            <m:t>.</m:t>
          </m:r>
        </m:oMath>
      </m:oMathPara>
    </w:p>
    <w:p>
      <w:pPr>
        <w:pStyle w:val="FirstParagraph"/>
        <w:widowControl/>
      </w:pPr>
      <w:r>
        <w:t xml:space="preserve">Además, una arista no debe utilizar una celda bloqueada. Estas condiciones son claras en programación entera, pero su transformación a QUBO puede requerir penalizaciones y variables auxiliares. El crecimiento será una de las métricas principales.</w:t>
      </w:r>
    </w:p>
    <w:bookmarkEnd w:id="52"/>
    <w:bookmarkStart w:id="53" w:name="generación-y-validación-separadas"/>
    <w:p>
      <w:pPr>
        <w:pStyle w:val="Heading3"/>
        <w:keepNext/>
        <w:keepLines/>
        <w:ind w:firstLine="0"/>
      </w:pPr>
      <w:r>
        <w:t xml:space="preserve">2.3.5. Generación y validación separadas</w:t>
      </w:r>
    </w:p>
    <w:p>
      <w:pPr>
        <w:pStyle w:val="FirstParagraph"/>
        <w:widowControl/>
      </w:pPr>
      <w:r>
        <w:t xml:space="preserve">En el enfoque separado se genera el vector de obstáculos y se ejecuta BFS o A*. Si no existe camino, la solución puede rechazarse, recibir una penalización externa o repararse. Una función con validación externa puede escribirse de forma conceptual como</w:t>
      </w:r>
    </w:p>
    <w:p>
      <w:pPr>
        <w:pStyle w:val="BodyText"/>
        <w:widowControl/>
        <w:spacing w:line="240" w:lineRule="auto" w:before="120" w:after="120"/>
        <w:ind w:firstLine="0" w:left="0" w:right="0"/>
        <w:jc w:val="center"/>
      </w:pPr>
      <m:oMathPara>
        <m:oMathParaPr>
          <m:jc m:val="center"/>
        </m:oMathParaPr>
        <m:oMath>
          <m:sSub>
            <m:e>
              <m:r>
                <m:t>F</m:t>
              </m:r>
            </m:e>
            <m:sub>
              <m:r>
                <m:rPr>
                  <m:nor/>
                  <m:sty m:val="p"/>
                </m:rPr>
                <m:t>ext</m:t>
              </m:r>
            </m:sub>
          </m:sSub>
          <m:d>
            <m:dPr>
              <m:begChr m:val="("/>
              <m:endChr m:val=")"/>
              <m:sepChr m:val=""/>
              <m:grow/>
            </m:dPr>
            <m:e>
              <m:r>
                <m:rPr>
                  <m:sty m:val="b"/>
                </m:rPr>
                <m:t>o</m:t>
              </m:r>
            </m:e>
          </m:d>
          <m:r>
            <m:rPr>
              <m:sty m:val="p"/>
            </m:rPr>
            <m:t>=</m:t>
          </m:r>
          <m:r>
            <m:t>f</m:t>
          </m:r>
          <m:d>
            <m:dPr>
              <m:begChr m:val="("/>
              <m:endChr m:val=")"/>
              <m:sepChr m:val=""/>
              <m:grow/>
            </m:dPr>
            <m:e>
              <m:r>
                <m:rPr>
                  <m:sty m:val="b"/>
                </m:rPr>
                <m:t>o</m:t>
              </m:r>
            </m:e>
          </m:d>
          <m:r>
            <m:rPr>
              <m:sty m:val="p"/>
            </m:rPr>
            <m:t>+</m:t>
          </m:r>
          <m:sSub>
            <m:e>
              <m:r>
                <m:t>λ</m:t>
              </m:r>
            </m:e>
            <m:sub>
              <m:r>
                <m:rPr>
                  <m:nor/>
                  <m:sty m:val="p"/>
                </m:rPr>
                <m:t>descon</m:t>
              </m:r>
            </m:sub>
          </m:sSub>
          <m:r>
            <m:t> </m:t>
          </m:r>
          <m:r>
            <m:rPr>
              <m:sty m:val="p"/>
              <m:scr m:val="double-struck"/>
            </m:rPr>
            <m:t>I</m:t>
          </m:r>
          <m:d>
            <m:dPr>
              <m:begChr m:val="["/>
              <m:endChr m:val="]"/>
              <m:sepChr m:val=""/>
              <m:grow/>
            </m:dPr>
            <m:e>
              <m:r>
                <m:rPr>
                  <m:nor/>
                  <m:sty m:val="p"/>
                </m:rPr>
                <m:t>no existe ruta</m:t>
              </m:r>
            </m:e>
          </m:d>
          <m:r>
            <m:rPr>
              <m:sty m:val="p"/>
            </m:rPr>
            <m:t>,</m:t>
          </m:r>
        </m:oMath>
      </m:oMathPara>
    </w:p>
    <w:p>
      <w:pPr>
        <w:pStyle w:val="FirstParagraph"/>
        <w:widowControl/>
        <w:spacing w:line="240" w:lineRule="auto" w:before="120" w:after="120"/>
        <w:ind w:firstLine="0" w:left="0" w:right="0"/>
        <w:jc w:val="center"/>
      </w:pPr>
      <w:r>
        <w:t xml:space="preserve">donde</w:t>
      </w:r>
      <w:r>
        <w:t xml:space="preserve"> </w:t>
      </w:r>
      <m:oMath>
        <m:r>
          <m:rPr>
            <m:sty m:val="p"/>
            <m:scr m:val="double-struck"/>
          </m:rPr>
          <m:t>I</m:t>
        </m:r>
      </m:oMath>
      <w:r>
        <w:t xml:space="preserve"> </w:t>
      </w:r>
      <w:r>
        <w:t xml:space="preserve">es una función indicadora calculada por el algoritmo de recorrido.</w:t>
      </w:r>
    </w:p>
    <w:p>
      <w:pPr>
        <w:pStyle w:val="BodyText"/>
        <w:widowControl/>
      </w:pPr>
      <w:r>
        <w:t xml:space="preserve">Esta función no es un QUBO puro porque la conectividad se evalúa mediante un procedimiento externo. Precisamente por ello resulta útil como comparación: reduce la formulación, pero pierde la representación íntegramente cuadrática y puede requerir regeneración.</w:t>
      </w:r>
    </w:p>
    <w:bookmarkEnd w:id="53"/>
    <w:bookmarkEnd w:id="54"/>
    <w:bookmarkStart w:id="63" w:name="Xd97ee3112739bc78605d27620d90bd27e1bb8f9"/>
    <w:p>
      <w:pPr>
        <w:pStyle w:val="Heading2"/>
        <w:keepNext/>
        <w:keepLines/>
        <w:ind w:firstLine="0"/>
      </w:pPr>
      <w:r>
        <w:t xml:space="preserve">2.4. Optimización binaria cuadrática sin restricciones</w:t>
      </w:r>
    </w:p>
    <w:bookmarkStart w:id="55" w:name="definición-del-modelo-qubo"/>
    <w:p>
      <w:pPr>
        <w:pStyle w:val="Heading3"/>
        <w:keepNext/>
        <w:keepLines/>
        <w:ind w:firstLine="0"/>
      </w:pPr>
      <w:r>
        <w:t xml:space="preserve">2.4.1. Definición del modelo QUBO</w:t>
      </w:r>
    </w:p>
    <w:p>
      <w:pPr>
        <w:pStyle w:val="FirstParagraph"/>
        <w:widowControl/>
      </w:pPr>
      <w:r>
        <w:t xml:space="preserve">QUBO busca minimizar una función cuadrática de variables binarias. La forma matricial</w:t>
      </w:r>
    </w:p>
    <w:p>
      <w:pPr>
        <w:pStyle w:val="BodyText"/>
        <w:widowControl/>
        <w:spacing w:line="240" w:lineRule="auto" w:before="120" w:after="120"/>
        <w:ind w:firstLine="0" w:left="0" w:right="0"/>
        <w:jc w:val="center"/>
      </w:pPr>
      <m:oMathPara>
        <m:oMathParaPr>
          <m:jc m:val="center"/>
        </m:oMathParaPr>
        <m:oMath>
          <m:r>
            <m:t>F</m:t>
          </m:r>
          <m:d>
            <m:dPr>
              <m:begChr m:val="("/>
              <m:endChr m:val=")"/>
              <m:sepChr m:val=""/>
              <m:grow/>
            </m:dPr>
            <m:e>
              <m:r>
                <m:rPr>
                  <m:sty m:val="b"/>
                </m:rPr>
                <m:t>x</m:t>
              </m:r>
            </m:e>
          </m:d>
          <m:r>
            <m:rPr>
              <m:sty m:val="p"/>
            </m:rPr>
            <m:t>=</m:t>
          </m:r>
          <m:sSup>
            <m:e>
              <m:r>
                <m:rPr>
                  <m:sty m:val="b"/>
                </m:rPr>
                <m:t>x</m:t>
              </m:r>
            </m:e>
            <m:sup>
              <m:r>
                <m:rPr>
                  <m:sty m:val="p"/>
                  <m:scr m:val="sans-serif"/>
                </m:rPr>
                <m:t>T</m:t>
              </m:r>
            </m:sup>
          </m:sSup>
          <m:r>
            <m:t>Q</m:t>
          </m:r>
          <m:r>
            <m:rPr>
              <m:sty m:val="b"/>
            </m:rPr>
            <m:t>x</m:t>
          </m:r>
        </m:oMath>
      </m:oMathPara>
    </w:p>
    <w:p>
      <w:pPr>
        <w:pStyle w:val="FirstParagraph"/>
        <w:widowControl/>
        <w:spacing w:line="240" w:lineRule="auto" w:before="120" w:after="120"/>
        <w:ind w:firstLine="0" w:left="0" w:right="0"/>
        <w:jc w:val="center"/>
      </w:pPr>
      <w:r>
        <w:t xml:space="preserve">puede representarse con una matriz simétrica o triangular superior. Dado que</w:t>
      </w:r>
      <w:r>
        <w:t xml:space="preserve"> </w:t>
      </w:r>
      <m:oMath>
        <m:sSubSup>
          <m:e>
            <m:r>
              <m:t>x</m:t>
            </m:r>
          </m:e>
          <m:sub>
            <m:r>
              <m:t>i</m:t>
            </m:r>
          </m:sub>
          <m:sup>
            <m:r>
              <m:t>2</m:t>
            </m:r>
          </m:sup>
        </m:sSubSup>
        <m:r>
          <m:rPr>
            <m:sty m:val="p"/>
          </m:rPr>
          <m:t>=</m:t>
        </m:r>
        <m:sSub>
          <m:e>
            <m:r>
              <m:t>x</m:t>
            </m:r>
          </m:e>
          <m:sub>
            <m:r>
              <m:t>i</m:t>
            </m:r>
          </m:sub>
        </m:sSub>
      </m:oMath>
      <w:r>
        <w:t xml:space="preserve"> </w:t>
      </w:r>
      <w:r>
        <w:t xml:space="preserve">para variables binarias, los términos lineales se incorporan en la diagonal.</w:t>
      </w:r>
    </w:p>
    <w:p>
      <w:pPr>
        <w:pStyle w:val="BodyText"/>
        <w:widowControl/>
      </w:pPr>
      <w:r>
        <w:t xml:space="preserve">Glover et al. (2019) muestran que numerosos problemas combinatorios pueden expresarse mediante QUBO. Lucas (2014) recopila formulaciones de Ising para problemas NP-difíciles y evidencia que la traducción es posible, aunque el número de variables puede crecer hasta órdenes polinómicos elevados según el problema. La capacidad de representación, por tanto, no debe confundirse con eficiencia práctica.</w:t>
      </w:r>
    </w:p>
    <w:bookmarkEnd w:id="55"/>
    <w:bookmarkStart w:id="56" w:name="restricciones-mediante-penalizaciones"/>
    <w:p>
      <w:pPr>
        <w:pStyle w:val="Heading3"/>
        <w:keepNext/>
        <w:keepLines/>
        <w:ind w:firstLine="0"/>
      </w:pPr>
      <w:r>
        <w:t xml:space="preserve">2.4.2. Restricciones mediante penalizaciones</w:t>
      </w:r>
    </w:p>
    <w:p>
      <w:pPr>
        <w:pStyle w:val="FirstParagraph"/>
        <w:widowControl/>
      </w:pPr>
      <w:r>
        <w:t xml:space="preserve">Para imponer una igualdad</w:t>
      </w:r>
    </w:p>
    <w:p>
      <w:pPr>
        <w:pStyle w:val="BodyText"/>
        <w:widowControl/>
        <w:spacing w:line="240" w:lineRule="auto" w:before="120" w:after="120"/>
        <w:ind w:firstLine="0" w:left="0" w:right="0"/>
        <w:jc w:val="center"/>
      </w:pPr>
      <m:oMathPara>
        <m:oMathParaPr>
          <m:jc m:val="center"/>
        </m:oMathParaPr>
        <m:oMath>
          <m:r>
            <m:t>a</m:t>
          </m:r>
          <m:d>
            <m:dPr>
              <m:begChr m:val="("/>
              <m:endChr m:val=")"/>
              <m:sepChr m:val=""/>
              <m:grow/>
            </m:dPr>
            <m:e>
              <m:r>
                <m:rPr>
                  <m:sty m:val="b"/>
                </m:rPr>
                <m:t>x</m:t>
              </m:r>
            </m:e>
          </m:d>
          <m:r>
            <m:rPr>
              <m:sty m:val="p"/>
            </m:rPr>
            <m:t>=</m:t>
          </m:r>
          <m:r>
            <m:t>b</m:t>
          </m:r>
          <m:r>
            <m:rPr>
              <m:sty m:val="p"/>
            </m:rPr>
            <m:t>,</m:t>
          </m:r>
        </m:oMath>
      </m:oMathPara>
    </w:p>
    <w:p>
      <w:pPr>
        <w:pStyle w:val="FirstParagraph"/>
        <w:widowControl/>
      </w:pPr>
      <w:r>
        <w:t xml:space="preserve">puede añadirse una penalización cuadrática</w:t>
      </w:r>
    </w:p>
    <w:p>
      <w:pPr>
        <w:pStyle w:val="BodyText"/>
        <w:widowControl/>
        <w:spacing w:line="240" w:lineRule="auto" w:before="120" w:after="120"/>
        <w:ind w:firstLine="0" w:left="0" w:right="0"/>
        <w:jc w:val="center"/>
      </w:pPr>
      <m:oMathPara>
        <m:oMathParaPr>
          <m:jc m:val="center"/>
        </m:oMathParaPr>
        <m:oMath>
          <m:r>
            <m:t>P</m:t>
          </m:r>
          <m:d>
            <m:dPr>
              <m:begChr m:val="("/>
              <m:endChr m:val=")"/>
              <m:sepChr m:val=""/>
              <m:grow/>
            </m:dPr>
            <m:e>
              <m:r>
                <m:rPr>
                  <m:sty m:val="b"/>
                </m:rPr>
                <m:t>x</m:t>
              </m:r>
            </m:e>
          </m:d>
          <m:r>
            <m:rPr>
              <m:sty m:val="p"/>
            </m:rPr>
            <m:t>=</m:t>
          </m:r>
          <m:r>
            <m:t>λ</m:t>
          </m:r>
          <m:r>
            <m:t> </m:t>
          </m:r>
          <m:sSup>
            <m:e>
              <m:d>
                <m:dPr>
                  <m:begChr m:val="["/>
                  <m:endChr m:val="]"/>
                  <m:sepChr m:val=""/>
                  <m:grow/>
                </m:dPr>
                <m:e>
                  <m:r>
                    <m:t>a</m:t>
                  </m:r>
                  <m:d>
                    <m:dPr>
                      <m:begChr m:val="("/>
                      <m:endChr m:val=")"/>
                      <m:sepChr m:val=""/>
                      <m:grow/>
                    </m:dPr>
                    <m:e>
                      <m:r>
                        <m:rPr>
                          <m:sty m:val="b"/>
                        </m:rPr>
                        <m:t>x</m:t>
                      </m:r>
                    </m:e>
                  </m:d>
                  <m:r>
                    <m:rPr>
                      <m:sty m:val="p"/>
                    </m:rPr>
                    <m:t>−</m:t>
                  </m:r>
                  <m:r>
                    <m:t>b</m:t>
                  </m:r>
                </m:e>
              </m:d>
            </m:e>
            <m:sup>
              <m:r>
                <m:t>2</m:t>
              </m:r>
            </m:sup>
          </m:sSup>
          <m:r>
            <m:rPr>
              <m:sty m:val="p"/>
            </m:rPr>
            <m:t>.</m:t>
          </m:r>
        </m:oMath>
      </m:oMathPara>
    </w:p>
    <w:p>
      <w:pPr>
        <w:pStyle w:val="FirstParagraph"/>
        <w:widowControl/>
        <w:spacing w:line="240" w:lineRule="auto" w:before="120" w:after="120"/>
        <w:ind w:firstLine="0" w:left="0" w:right="0"/>
        <w:jc w:val="center"/>
      </w:pPr>
      <w:r>
        <w:t xml:space="preserve">Si</w:t>
      </w:r>
      <w:r>
        <w:t xml:space="preserve"> </w:t>
      </w:r>
      <m:oMath>
        <m:r>
          <m:t>a</m:t>
        </m:r>
        <m:d>
          <m:dPr>
            <m:begChr m:val="("/>
            <m:endChr m:val=")"/>
            <m:sepChr m:val=""/>
            <m:grow/>
          </m:dPr>
          <m:e>
            <m:r>
              <m:rPr>
                <m:sty m:val="b"/>
              </m:rPr>
              <m:t>x</m:t>
            </m:r>
          </m:e>
        </m:d>
      </m:oMath>
      <w:r>
        <w:t xml:space="preserve"> </w:t>
      </w:r>
      <w:r>
        <w:t xml:space="preserve">es lineal, la expansión produce como máximo términos cuadráticos. Para seleccionar exactamente</w:t>
      </w:r>
      <w:r>
        <w:t xml:space="preserve"> </w:t>
      </w:r>
      <m:oMath>
        <m:r>
          <m:t>K</m:t>
        </m:r>
      </m:oMath>
      <w:r>
        <w:t xml:space="preserve"> </w:t>
      </w:r>
      <w:r>
        <w:t xml:space="preserve">elementos,</w:t>
      </w:r>
    </w:p>
    <w:p>
      <w:pPr>
        <w:pStyle w:val="BodyText"/>
        <w:widowControl/>
        <w:spacing w:line="240" w:lineRule="auto" w:before="120" w:after="120"/>
        <w:ind w:firstLine="0" w:left="0" w:right="0"/>
        <w:jc w:val="center"/>
      </w:pPr>
      <m:oMathPara>
        <m:oMathParaPr>
          <m:jc m:val="center"/>
        </m:oMathParaPr>
        <m:oMath>
          <m:sSub>
            <m:e>
              <m:r>
                <m:t>P</m:t>
              </m:r>
            </m:e>
            <m:sub>
              <m:r>
                <m:t>K</m:t>
              </m:r>
            </m:sub>
          </m:sSub>
          <m:d>
            <m:dPr>
              <m:begChr m:val="("/>
              <m:endChr m:val=")"/>
              <m:sepChr m:val=""/>
              <m:grow/>
            </m:dPr>
            <m:e>
              <m:r>
                <m:rPr>
                  <m:sty m:val="b"/>
                </m:rPr>
                <m:t>x</m:t>
              </m:r>
            </m:e>
          </m:d>
          <m:r>
            <m:rPr>
              <m:sty m:val="p"/>
            </m:rPr>
            <m:t>=</m:t>
          </m:r>
          <m:sSub>
            <m:e>
              <m:r>
                <m:t>λ</m:t>
              </m:r>
            </m:e>
            <m:sub>
              <m:r>
                <m:t>K</m:t>
              </m:r>
            </m:sub>
          </m:sSub>
          <m:sSup>
            <m:e>
              <m:d>
                <m:dPr>
                  <m:begChr m:val="("/>
                  <m:endChr m:val=")"/>
                  <m:sepChr m:val=""/>
                  <m:grow/>
                </m:dPr>
                <m:e>
                  <m:nary>
                    <m:naryPr>
                      <m:chr m:val="∑"/>
                      <m:limLoc m:val="undOvr"/>
                      <m:subHide m:val="off"/>
                      <m:supHide m:val="off"/>
                    </m:naryPr>
                    <m:sub>
                      <m:r>
                        <m:t>i</m:t>
                      </m:r>
                      <m:r>
                        <m:rPr>
                          <m:sty m:val="p"/>
                        </m:rPr>
                        <m:t>=</m:t>
                      </m:r>
                      <m:r>
                        <m:t>1</m:t>
                      </m:r>
                    </m:sub>
                    <m:sup>
                      <m:r>
                        <m:t>n</m:t>
                      </m:r>
                    </m:sup>
                    <m:e>
                      <m:sSub>
                        <m:e>
                          <m:r>
                            <m:t>x</m:t>
                          </m:r>
                        </m:e>
                        <m:sub>
                          <m:r>
                            <m:t>i</m:t>
                          </m:r>
                        </m:sub>
                      </m:sSub>
                    </m:e>
                  </m:nary>
                  <m:r>
                    <m:rPr>
                      <m:sty m:val="p"/>
                    </m:rPr>
                    <m:t>−</m:t>
                  </m:r>
                  <m:r>
                    <m:t>K</m:t>
                  </m:r>
                </m:e>
              </m:d>
            </m:e>
            <m:sup>
              <m:r>
                <m:t>2</m:t>
              </m:r>
            </m:sup>
          </m:sSup>
          <m:r>
            <m:rPr>
              <m:sty m:val="p"/>
            </m:rPr>
            <m:t>.</m:t>
          </m:r>
        </m:oMath>
      </m:oMathPara>
    </w:p>
    <w:p>
      <w:pPr>
        <w:pStyle w:val="FirstParagraph"/>
        <w:widowControl/>
        <w:spacing w:line="240" w:lineRule="auto" w:before="120" w:after="120"/>
        <w:ind w:firstLine="0" w:left="0" w:right="0"/>
        <w:jc w:val="center"/>
      </w:pPr>
      <w:r>
        <w:t xml:space="preserve">Al expandir y utilizar</w:t>
      </w:r>
      <w:r>
        <w:t xml:space="preserve"> </w:t>
      </w:r>
      <m:oMath>
        <m:sSubSup>
          <m:e>
            <m:r>
              <m:t>x</m:t>
            </m:r>
          </m:e>
          <m:sub>
            <m:r>
              <m:t>i</m:t>
            </m:r>
          </m:sub>
          <m:sup>
            <m:r>
              <m:t>2</m:t>
            </m:r>
          </m:sup>
        </m:sSubSup>
        <m:r>
          <m:rPr>
            <m:sty m:val="p"/>
          </m:rPr>
          <m:t>=</m:t>
        </m:r>
        <m:sSub>
          <m:e>
            <m:r>
              <m:t>x</m:t>
            </m:r>
          </m:e>
          <m:sub>
            <m:r>
              <m:t>i</m:t>
            </m:r>
          </m:sub>
        </m:sSub>
      </m:oMath>
      <w:r>
        <w:t xml:space="preserve">,</w:t>
      </w:r>
    </w:p>
    <w:p>
      <w:pPr>
        <w:pStyle w:val="BodyText"/>
        <w:widowControl/>
        <w:spacing w:line="240" w:lineRule="auto" w:before="120" w:after="120"/>
        <w:ind w:firstLine="0" w:left="0" w:right="0"/>
        <w:jc w:val="center"/>
      </w:pPr>
      <m:oMathPara>
        <m:oMathParaPr>
          <m:jc m:val="center"/>
        </m:oMathParaPr>
        <m:oMath>
          <m:sSub>
            <m:e>
              <m:r>
                <m:t>P</m:t>
              </m:r>
            </m:e>
            <m:sub>
              <m:r>
                <m:t>K</m:t>
              </m:r>
            </m:sub>
          </m:sSub>
          <m:d>
            <m:dPr>
              <m:begChr m:val="("/>
              <m:endChr m:val=")"/>
              <m:sepChr m:val=""/>
              <m:grow/>
            </m:dPr>
            <m:e>
              <m:r>
                <m:rPr>
                  <m:sty m:val="b"/>
                </m:rPr>
                <m:t>x</m:t>
              </m:r>
            </m:e>
          </m:d>
          <m:r>
            <m:rPr>
              <m:sty m:val="p"/>
            </m:rPr>
            <m:t>=</m:t>
          </m:r>
          <m:sSub>
            <m:e>
              <m:r>
                <m:t>λ</m:t>
              </m:r>
            </m:e>
            <m:sub>
              <m:r>
                <m:t>K</m:t>
              </m:r>
            </m:sub>
          </m:sSub>
          <m:d>
            <m:dPr>
              <m:begChr m:val="["/>
              <m:endChr m:val="]"/>
              <m:sepChr m:val=""/>
              <m:grow/>
            </m:dPr>
            <m:e>
              <m:d>
                <m:dPr>
                  <m:begChr m:val="("/>
                  <m:endChr m:val=")"/>
                  <m:sepChr m:val=""/>
                  <m:grow/>
                </m:dPr>
                <m:e>
                  <m:r>
                    <m:t>1</m:t>
                  </m:r>
                  <m:r>
                    <m:rPr>
                      <m:sty m:val="p"/>
                    </m:rPr>
                    <m:t>−</m:t>
                  </m:r>
                  <m:r>
                    <m:t>2</m:t>
                  </m:r>
                  <m:r>
                    <m:t>K</m:t>
                  </m:r>
                </m:e>
              </m:d>
              <m:nary>
                <m:naryPr>
                  <m:chr m:val="∑"/>
                  <m:limLoc m:val="undOvr"/>
                  <m:subHide m:val="off"/>
                  <m:supHide m:val="off"/>
                </m:naryPr>
                <m:sub>
                  <m:r>
                    <m:t>i</m:t>
                  </m:r>
                  <m:r>
                    <m:rPr>
                      <m:sty m:val="p"/>
                    </m:rPr>
                    <m:t>=</m:t>
                  </m:r>
                  <m:r>
                    <m:t>1</m:t>
                  </m:r>
                </m:sub>
                <m:sup>
                  <m:r>
                    <m:t>n</m:t>
                  </m:r>
                </m:sup>
                <m:e>
                  <m:sSub>
                    <m:e>
                      <m:r>
                        <m:t>x</m:t>
                      </m:r>
                    </m:e>
                    <m:sub>
                      <m:r>
                        <m:t>i</m:t>
                      </m:r>
                    </m:sub>
                  </m:sSub>
                </m:e>
              </m:nary>
              <m:r>
                <m:rPr>
                  <m:sty m:val="p"/>
                </m:rPr>
                <m:t>+</m:t>
              </m:r>
              <m:r>
                <m:t>2</m:t>
              </m:r>
              <m:nary>
                <m:naryPr>
                  <m:chr m:val="∑"/>
                  <m:limLoc m:val="undOvr"/>
                  <m:subHide m:val="off"/>
                  <m:supHide m:val="on"/>
                </m:naryPr>
                <m:sub>
                  <m:r>
                    <m:t>1</m:t>
                  </m:r>
                  <m:r>
                    <m:rPr>
                      <m:sty m:val="p"/>
                    </m:rPr>
                    <m:t>≤</m:t>
                  </m:r>
                  <m:r>
                    <m:t>i</m:t>
                  </m:r>
                  <m:r>
                    <m:rPr>
                      <m:sty m:val="p"/>
                    </m:rPr>
                    <m:t>&lt;</m:t>
                  </m:r>
                  <m:r>
                    <m:t>j</m:t>
                  </m:r>
                  <m:r>
                    <m:rPr>
                      <m:sty m:val="p"/>
                    </m:rPr>
                    <m:t>≤</m:t>
                  </m:r>
                  <m:r>
                    <m:t>n</m:t>
                  </m:r>
                </m:sub>
                <m:sup>
                  <m:r>
                    <m:t>​</m:t>
                  </m:r>
                </m:sup>
                <m:e>
                  <m:sSub>
                    <m:e>
                      <m:r>
                        <m:t>x</m:t>
                      </m:r>
                    </m:e>
                    <m:sub>
                      <m:r>
                        <m:t>i</m:t>
                      </m:r>
                    </m:sub>
                  </m:sSub>
                </m:e>
              </m:nary>
              <m:sSub>
                <m:e>
                  <m:r>
                    <m:t>x</m:t>
                  </m:r>
                </m:e>
                <m:sub>
                  <m:r>
                    <m:t>j</m:t>
                  </m:r>
                </m:sub>
              </m:sSub>
              <m:r>
                <m:rPr>
                  <m:sty m:val="p"/>
                </m:rPr>
                <m:t>+</m:t>
              </m:r>
              <m:sSup>
                <m:e>
                  <m:r>
                    <m:t>K</m:t>
                  </m:r>
                </m:e>
                <m:sup>
                  <m:r>
                    <m:t>2</m:t>
                  </m:r>
                </m:sup>
              </m:sSup>
            </m:e>
          </m:d>
          <m:r>
            <m:rPr>
              <m:sty m:val="p"/>
            </m:rPr>
            <m:t>.</m:t>
          </m:r>
        </m:oMath>
      </m:oMathPara>
    </w:p>
    <w:p>
      <w:pPr>
        <w:pStyle w:val="FirstParagraph"/>
        <w:widowControl/>
        <w:spacing w:line="240" w:lineRule="auto" w:before="120" w:after="120"/>
        <w:ind w:firstLine="0" w:left="0" w:right="0"/>
        <w:jc w:val="center"/>
      </w:pPr>
      <w:r>
        <w:t xml:space="preserve">El término constante</w:t>
      </w:r>
      <w:r>
        <w:t xml:space="preserve"> </w:t>
      </w:r>
      <m:oMath>
        <m:sSub>
          <m:e>
            <m:r>
              <m:t>λ</m:t>
            </m:r>
          </m:e>
          <m:sub>
            <m:r>
              <m:t>K</m:t>
            </m:r>
          </m:sub>
        </m:sSub>
        <m:sSup>
          <m:e>
            <m:r>
              <m:t>K</m:t>
            </m:r>
          </m:e>
          <m:sup>
            <m:r>
              <m:t>2</m:t>
            </m:r>
          </m:sup>
        </m:sSup>
      </m:oMath>
      <w:r>
        <w:t xml:space="preserve"> </w:t>
      </w:r>
      <w:r>
        <w:t xml:space="preserve">no altera la posición del mínimo y puede omitirse en el QUBO, aunque debe conservarse si se comparan energías absolutas con otra formulación.</w:t>
      </w:r>
    </w:p>
    <w:bookmarkEnd w:id="56"/>
    <w:bookmarkStart w:id="57" w:name="Xf647ae28451a799af0321be26902fddc646cbdf"/>
    <w:p>
      <w:pPr>
        <w:pStyle w:val="Heading3"/>
        <w:keepNext/>
        <w:keepLines/>
        <w:ind w:firstLine="0"/>
      </w:pPr>
      <w:r>
        <w:t xml:space="preserve">2.4.3. Incompatibilidades y restricciones lógicas</w:t>
      </w:r>
    </w:p>
    <w:p>
      <w:pPr>
        <w:pStyle w:val="FirstParagraph"/>
        <w:widowControl/>
      </w:pPr>
      <w:r>
        <w:t xml:space="preserve">Si dos variables no pueden activarse simultáneamente, se añade</w:t>
      </w:r>
    </w:p>
    <w:p>
      <w:pPr>
        <w:pStyle w:val="BodyText"/>
        <w:widowControl/>
        <w:spacing w:line="240" w:lineRule="auto" w:before="120" w:after="120"/>
        <w:ind w:firstLine="0" w:left="0" w:right="0"/>
        <w:jc w:val="center"/>
      </w:pPr>
      <m:oMathPara>
        <m:oMathParaPr>
          <m:jc m:val="center"/>
        </m:oMathParaPr>
        <m:oMath>
          <m:sSub>
            <m:e>
              <m:r>
                <m:t>P</m:t>
              </m:r>
            </m:e>
            <m:sub>
              <m:r>
                <m:t>i</m:t>
              </m:r>
              <m:r>
                <m:t>j</m:t>
              </m:r>
            </m:sub>
          </m:sSub>
          <m:d>
            <m:dPr>
              <m:begChr m:val="("/>
              <m:endChr m:val=")"/>
              <m:sepChr m:val=""/>
              <m:grow/>
            </m:dPr>
            <m:e>
              <m:r>
                <m:rPr>
                  <m:sty m:val="b"/>
                </m:rPr>
                <m:t>x</m:t>
              </m:r>
            </m:e>
          </m:d>
          <m:r>
            <m:rPr>
              <m:sty m:val="p"/>
            </m:rPr>
            <m:t>=</m:t>
          </m:r>
          <m:sSub>
            <m:e>
              <m:r>
                <m:t>λ</m:t>
              </m:r>
            </m:e>
            <m:sub>
              <m:r>
                <m:t>i</m:t>
              </m:r>
              <m:r>
                <m:t>j</m:t>
              </m:r>
            </m:sub>
          </m:sSub>
          <m:sSub>
            <m:e>
              <m:r>
                <m:t>x</m:t>
              </m:r>
            </m:e>
            <m:sub>
              <m:r>
                <m:t>i</m:t>
              </m:r>
            </m:sub>
          </m:sSub>
          <m:sSub>
            <m:e>
              <m:r>
                <m:t>x</m:t>
              </m:r>
            </m:e>
            <m:sub>
              <m:r>
                <m:t>j</m:t>
              </m:r>
            </m:sub>
          </m:sSub>
          <m:r>
            <m:rPr>
              <m:sty m:val="p"/>
            </m:rPr>
            <m:t>.</m:t>
          </m:r>
        </m:oMath>
      </m:oMathPara>
    </w:p>
    <w:p>
      <w:pPr>
        <w:pStyle w:val="FirstParagraph"/>
        <w:widowControl/>
        <w:spacing w:line="240" w:lineRule="auto" w:before="120" w:after="120"/>
        <w:ind w:firstLine="0" w:left="0" w:right="0"/>
        <w:jc w:val="center"/>
      </w:pPr>
      <w:r>
        <w:t xml:space="preserve">La penalización es cero salvo cuando</w:t>
      </w:r>
      <w:r>
        <w:t xml:space="preserve"> </w:t>
      </w:r>
      <m:oMath>
        <m:sSub>
          <m:e>
            <m:r>
              <m:t>x</m:t>
            </m:r>
          </m:e>
          <m:sub>
            <m:r>
              <m:t>i</m:t>
            </m:r>
          </m:sub>
        </m:sSub>
        <m:r>
          <m:rPr>
            <m:sty m:val="p"/>
          </m:rPr>
          <m:t>=</m:t>
        </m:r>
        <m:sSub>
          <m:e>
            <m:r>
              <m:t>x</m:t>
            </m:r>
          </m:e>
          <m:sub>
            <m:r>
              <m:t>j</m:t>
            </m:r>
          </m:sub>
        </m:sSub>
        <m:r>
          <m:rPr>
            <m:sty m:val="p"/>
          </m:rPr>
          <m:t>=</m:t>
        </m:r>
        <m:r>
          <m:t>1</m:t>
        </m:r>
      </m:oMath>
      <w:r>
        <w:t xml:space="preserve">. Para un conjunto de pares incompatibles</w:t>
      </w:r>
      <w:r>
        <w:t xml:space="preserve"> </w:t>
      </w:r>
      <m:oMath>
        <m:r>
          <m:t>C</m:t>
        </m:r>
      </m:oMath>
      <w:r>
        <w:t xml:space="preserve">,</w:t>
      </w:r>
    </w:p>
    <w:p>
      <w:pPr>
        <w:pStyle w:val="BodyText"/>
        <w:widowControl/>
        <w:spacing w:line="240" w:lineRule="auto" w:before="120" w:after="120"/>
        <w:ind w:firstLine="0" w:left="0" w:right="0"/>
        <w:jc w:val="center"/>
      </w:pPr>
      <m:oMathPara>
        <m:oMathParaPr>
          <m:jc m:val="center"/>
        </m:oMathParaPr>
        <m:oMath>
          <m:sSub>
            <m:e>
              <m:r>
                <m:t>P</m:t>
              </m:r>
            </m:e>
            <m:sub>
              <m:r>
                <m:rPr>
                  <m:nor/>
                  <m:sty m:val="p"/>
                </m:rPr>
                <m:t>conf</m:t>
              </m:r>
            </m:sub>
          </m:sSub>
          <m:d>
            <m:dPr>
              <m:begChr m:val="("/>
              <m:endChr m:val=")"/>
              <m:sepChr m:val=""/>
              <m:grow/>
            </m:dPr>
            <m:e>
              <m:r>
                <m:rPr>
                  <m:sty m:val="b"/>
                </m:rPr>
                <m:t>x</m:t>
              </m:r>
            </m:e>
          </m:d>
          <m:r>
            <m:rPr>
              <m:sty m:val="p"/>
            </m:rPr>
            <m:t>=</m:t>
          </m:r>
          <m:sSub>
            <m:e>
              <m:r>
                <m:t>λ</m:t>
              </m:r>
            </m:e>
            <m:sub>
              <m:r>
                <m:rPr>
                  <m:nor/>
                  <m:sty m:val="p"/>
                </m:rPr>
                <m:t>conf</m:t>
              </m:r>
            </m:sub>
          </m:sSub>
          <m:nary>
            <m:naryPr>
              <m:chr m:val="∑"/>
              <m:limLoc m:val="undOvr"/>
              <m:subHide m:val="off"/>
              <m:supHide m:val="on"/>
            </m:naryPr>
            <m:sub>
              <m:d>
                <m:dPr>
                  <m:begChr m:val="("/>
                  <m:endChr m:val=")"/>
                  <m:sepChr m:val=""/>
                  <m:grow/>
                </m:dPr>
                <m:e>
                  <m:r>
                    <m:t>i</m:t>
                  </m:r>
                  <m:r>
                    <m:rPr>
                      <m:sty m:val="p"/>
                    </m:rPr>
                    <m:t>,</m:t>
                  </m:r>
                  <m:r>
                    <m:t>j</m:t>
                  </m:r>
                </m:e>
              </m:d>
              <m:r>
                <m:rPr>
                  <m:sty m:val="p"/>
                </m:rPr>
                <m:t>∈</m:t>
              </m:r>
              <m:r>
                <m:t>C</m:t>
              </m:r>
            </m:sub>
            <m:sup>
              <m:r>
                <m:t>​</m:t>
              </m:r>
            </m:sup>
            <m:e>
              <m:sSub>
                <m:e>
                  <m:r>
                    <m:t>x</m:t>
                  </m:r>
                </m:e>
                <m:sub>
                  <m:r>
                    <m:t>i</m:t>
                  </m:r>
                </m:sub>
              </m:sSub>
            </m:e>
          </m:nary>
          <m:sSub>
            <m:e>
              <m:r>
                <m:t>x</m:t>
              </m:r>
            </m:e>
            <m:sub>
              <m:r>
                <m:t>j</m:t>
              </m:r>
            </m:sub>
          </m:sSub>
          <m:r>
            <m:rPr>
              <m:sty m:val="p"/>
            </m:rPr>
            <m:t>.</m:t>
          </m:r>
        </m:oMath>
      </m:oMathPara>
    </w:p>
    <w:p>
      <w:pPr>
        <w:pStyle w:val="FirstParagraph"/>
        <w:widowControl/>
        <w:spacing w:line="240" w:lineRule="auto" w:before="120" w:after="120"/>
        <w:ind w:firstLine="0" w:left="0" w:right="0"/>
        <w:jc w:val="center"/>
      </w:pPr>
      <w:r>
        <w:t xml:space="preserve">Una implicación</w:t>
      </w:r>
      <w:r>
        <w:t xml:space="preserve"> </w:t>
      </w:r>
      <m:oMath>
        <m:sSub>
          <m:e>
            <m:r>
              <m:t>x</m:t>
            </m:r>
          </m:e>
          <m:sub>
            <m:r>
              <m:t>i</m:t>
            </m:r>
          </m:sub>
        </m:sSub>
        <m:r>
          <m:rPr>
            <m:sty m:val="p"/>
          </m:rPr>
          <m:t>⇒</m:t>
        </m:r>
        <m:sSub>
          <m:e>
            <m:r>
              <m:t>x</m:t>
            </m:r>
          </m:e>
          <m:sub>
            <m:r>
              <m:t>j</m:t>
            </m:r>
          </m:sub>
        </m:sSub>
      </m:oMath>
      <w:r>
        <w:t xml:space="preserve"> </w:t>
      </w:r>
      <w:r>
        <w:t xml:space="preserve">puede penalizarse como</w:t>
      </w:r>
    </w:p>
    <w:p>
      <w:pPr>
        <w:pStyle w:val="BodyText"/>
        <w:widowControl/>
        <w:spacing w:line="240" w:lineRule="auto" w:before="120" w:after="120"/>
        <w:ind w:firstLine="0" w:left="0" w:right="0"/>
        <w:jc w:val="center"/>
      </w:pPr>
      <m:oMathPara>
        <m:oMathParaPr>
          <m:jc m:val="center"/>
        </m:oMathParaPr>
        <m:oMath>
          <m:sSub>
            <m:e>
              <m:r>
                <m:t>P</m:t>
              </m:r>
            </m:e>
            <m:sub>
              <m:r>
                <m:t>i</m:t>
              </m:r>
              <m:r>
                <m:rPr>
                  <m:sty m:val="p"/>
                </m:rPr>
                <m:t>⇒</m:t>
              </m:r>
              <m:r>
                <m:t>j</m:t>
              </m:r>
            </m:sub>
          </m:sSub>
          <m:d>
            <m:dPr>
              <m:begChr m:val="("/>
              <m:endChr m:val=")"/>
              <m:sepChr m:val=""/>
              <m:grow/>
            </m:dPr>
            <m:e>
              <m:r>
                <m:rPr>
                  <m:sty m:val="b"/>
                </m:rPr>
                <m:t>x</m:t>
              </m:r>
            </m:e>
          </m:d>
          <m:r>
            <m:rPr>
              <m:sty m:val="p"/>
            </m:rPr>
            <m:t>=</m:t>
          </m:r>
          <m:sSub>
            <m:e>
              <m:r>
                <m:t>λ</m:t>
              </m:r>
            </m:e>
            <m:sub>
              <m:r>
                <m:t>i</m:t>
              </m:r>
              <m:r>
                <m:t>j</m:t>
              </m:r>
            </m:sub>
          </m:sSub>
          <m:sSub>
            <m:e>
              <m:r>
                <m:t>x</m:t>
              </m:r>
            </m:e>
            <m:sub>
              <m:r>
                <m:t>i</m:t>
              </m:r>
            </m:sub>
          </m:sSub>
          <m:d>
            <m:dPr>
              <m:begChr m:val="("/>
              <m:endChr m:val=")"/>
              <m:sepChr m:val=""/>
              <m:grow/>
            </m:dPr>
            <m:e>
              <m:r>
                <m:t>1</m:t>
              </m:r>
              <m:r>
                <m:rPr>
                  <m:sty m:val="p"/>
                </m:rPr>
                <m:t>−</m:t>
              </m:r>
              <m:sSub>
                <m:e>
                  <m:r>
                    <m:t>x</m:t>
                  </m:r>
                </m:e>
                <m:sub>
                  <m:r>
                    <m:t>j</m:t>
                  </m:r>
                </m:sub>
              </m:sSub>
            </m:e>
          </m:d>
          <m:r>
            <m:rPr>
              <m:sty m:val="p"/>
            </m:rPr>
            <m:t>.</m:t>
          </m:r>
        </m:oMath>
      </m:oMathPara>
    </w:p>
    <w:p>
      <w:pPr>
        <w:pStyle w:val="FirstParagraph"/>
        <w:widowControl/>
        <w:spacing w:line="240" w:lineRule="auto" w:before="120" w:after="120"/>
        <w:ind w:firstLine="0" w:left="0" w:right="0"/>
        <w:jc w:val="center"/>
      </w:pPr>
      <w:r>
        <w:t xml:space="preserve">La única asignación penalizada es</w:t>
      </w:r>
      <w:r>
        <w:t xml:space="preserve"> </w:t>
      </w:r>
      <m:oMath>
        <m:sSub>
          <m:e>
            <m:r>
              <m:t>x</m:t>
            </m:r>
          </m:e>
          <m:sub>
            <m:r>
              <m:t>i</m:t>
            </m:r>
          </m:sub>
        </m:sSub>
        <m:r>
          <m:rPr>
            <m:sty m:val="p"/>
          </m:rPr>
          <m:t>=</m:t>
        </m:r>
        <m:r>
          <m:t>1</m:t>
        </m:r>
      </m:oMath>
      <w:r>
        <w:t xml:space="preserve">,</w:t>
      </w:r>
      <w:r>
        <w:t xml:space="preserve"> </w:t>
      </w:r>
      <m:oMath>
        <m:sSub>
          <m:e>
            <m:r>
              <m:t>x</m:t>
            </m:r>
          </m:e>
          <m:sub>
            <m:r>
              <m:t>j</m:t>
            </m:r>
          </m:sub>
        </m:sSub>
        <m:r>
          <m:rPr>
            <m:sty m:val="p"/>
          </m:rPr>
          <m:t>=</m:t>
        </m:r>
        <m:r>
          <m:t>0</m:t>
        </m:r>
      </m:oMath>
      <w:r>
        <w:t xml:space="preserve">. Este patrón puede utilizarse para relacionar la selección de una transición con la selección de sus plataformas.</w:t>
      </w:r>
    </w:p>
    <w:bookmarkEnd w:id="57"/>
    <w:bookmarkStart w:id="58" w:name="desigualdades-y-variables-auxiliares"/>
    <w:p>
      <w:pPr>
        <w:pStyle w:val="Heading3"/>
        <w:keepNext/>
        <w:keepLines/>
        <w:ind w:firstLine="0"/>
      </w:pPr>
      <w:r>
        <w:t xml:space="preserve">2.4.4. Desigualdades y variables auxiliares</w:t>
      </w:r>
    </w:p>
    <w:p>
      <w:pPr>
        <w:pStyle w:val="FirstParagraph"/>
        <w:widowControl/>
      </w:pPr>
      <w:r>
        <w:t xml:space="preserve">Las desigualdades no siempre pueden introducirse mediante un único cuadrado sin añadir variables. Una estrategia consiste en convertir</w:t>
      </w:r>
    </w:p>
    <w:p>
      <w:pPr>
        <w:pStyle w:val="BodyText"/>
        <w:widowControl/>
        <w:spacing w:line="240" w:lineRule="auto" w:before="120" w:after="120"/>
        <w:ind w:firstLine="0" w:left="0" w:right="0"/>
        <w:jc w:val="center"/>
      </w:pPr>
      <m:oMathPara>
        <m:oMathParaPr>
          <m:jc m:val="center"/>
        </m:oMathParaPr>
        <m:oMath>
          <m:r>
            <m:t>a</m:t>
          </m:r>
          <m:d>
            <m:dPr>
              <m:begChr m:val="("/>
              <m:endChr m:val=")"/>
              <m:sepChr m:val=""/>
              <m:grow/>
            </m:dPr>
            <m:e>
              <m:r>
                <m:rPr>
                  <m:sty m:val="b"/>
                </m:rPr>
                <m:t>x</m:t>
              </m:r>
            </m:e>
          </m:d>
          <m:r>
            <m:rPr>
              <m:sty m:val="p"/>
            </m:rPr>
            <m:t>≤</m:t>
          </m:r>
          <m:r>
            <m:t>b</m:t>
          </m:r>
        </m:oMath>
      </m:oMathPara>
    </w:p>
    <w:p>
      <w:pPr>
        <w:pStyle w:val="FirstParagraph"/>
        <w:widowControl/>
        <w:spacing w:line="240" w:lineRule="auto" w:before="120" w:after="120"/>
        <w:ind w:firstLine="0" w:left="0" w:right="0"/>
        <w:jc w:val="center"/>
      </w:pPr>
      <w:r>
        <w:t xml:space="preserve">en una igualdad con una variable de holgura entera</w:t>
      </w:r>
      <w:r>
        <w:t xml:space="preserve"> </w:t>
      </w:r>
      <m:oMath>
        <m:r>
          <m:t>s</m:t>
        </m:r>
      </m:oMath>
      <w:r>
        <w:t xml:space="preserve">:</w:t>
      </w:r>
    </w:p>
    <w:p>
      <w:pPr>
        <w:pStyle w:val="BodyText"/>
        <w:widowControl/>
        <w:spacing w:line="240" w:lineRule="auto" w:before="120" w:after="120"/>
        <w:ind w:firstLine="0" w:left="0" w:right="0"/>
        <w:jc w:val="center"/>
      </w:pPr>
      <m:oMathPara>
        <m:oMathParaPr>
          <m:jc m:val="center"/>
        </m:oMathParaPr>
        <m:oMath>
          <m:r>
            <m:t>a</m:t>
          </m:r>
          <m:d>
            <m:dPr>
              <m:begChr m:val="("/>
              <m:endChr m:val=")"/>
              <m:sepChr m:val=""/>
              <m:grow/>
            </m:dPr>
            <m:e>
              <m:r>
                <m:rPr>
                  <m:sty m:val="b"/>
                </m:rPr>
                <m:t>x</m:t>
              </m:r>
            </m:e>
          </m:d>
          <m:r>
            <m:rPr>
              <m:sty m:val="p"/>
            </m:rPr>
            <m:t>+</m:t>
          </m:r>
          <m:r>
            <m:t>s</m:t>
          </m:r>
          <m:r>
            <m:rPr>
              <m:sty m:val="p"/>
            </m:rPr>
            <m:t>=</m:t>
          </m:r>
          <m:r>
            <m:t>b</m:t>
          </m:r>
          <m:r>
            <m:rPr>
              <m:sty m:val="p"/>
            </m:rPr>
            <m:t>.</m:t>
          </m:r>
        </m:oMath>
      </m:oMathPara>
    </w:p>
    <w:p>
      <w:pPr>
        <w:pStyle w:val="FirstParagraph"/>
        <w:widowControl/>
        <w:spacing w:line="240" w:lineRule="auto" w:before="120" w:after="120"/>
        <w:ind w:firstLine="0" w:left="0" w:right="0"/>
        <w:jc w:val="center"/>
      </w:pPr>
      <w:r>
        <w:t xml:space="preserve">La holgura se codifica en bits. Si</w:t>
      </w:r>
      <w:r>
        <w:t xml:space="preserve"> </w:t>
      </w:r>
      <m:oMath>
        <m:r>
          <m:t>0</m:t>
        </m:r>
        <m:r>
          <m:rPr>
            <m:sty m:val="p"/>
          </m:rPr>
          <m:t>≤</m:t>
        </m:r>
        <m:r>
          <m:t>s</m:t>
        </m:r>
        <m:r>
          <m:rPr>
            <m:sty m:val="p"/>
          </m:rPr>
          <m:t>≤</m:t>
        </m:r>
        <m:sSub>
          <m:e>
            <m:r>
              <m:t>S</m:t>
            </m:r>
          </m:e>
          <m:sub>
            <m:r>
              <m:rPr>
                <m:sty m:val="p"/>
              </m:rPr>
              <m:t>max</m:t>
            </m:r>
          </m:sub>
        </m:sSub>
      </m:oMath>
      <w:r>
        <w:t xml:space="preserve">,</w:t>
      </w:r>
    </w:p>
    <w:p>
      <w:pPr>
        <w:pStyle w:val="BodyText"/>
        <w:widowControl/>
        <w:spacing w:line="240" w:lineRule="auto" w:before="120" w:after="120"/>
        <w:ind w:firstLine="0" w:left="0" w:right="0"/>
        <w:jc w:val="center"/>
      </w:pPr>
      <m:oMathPara>
        <m:oMathParaPr>
          <m:jc m:val="center"/>
        </m:oMathParaPr>
        <m:oMath>
          <m:r>
            <m:t>s</m:t>
          </m:r>
          <m:r>
            <m:rPr>
              <m:sty m:val="p"/>
            </m:rPr>
            <m:t>=</m:t>
          </m:r>
          <m:nary>
            <m:naryPr>
              <m:chr m:val="∑"/>
              <m:limLoc m:val="undOvr"/>
              <m:subHide m:val="off"/>
              <m:supHide m:val="off"/>
            </m:naryPr>
            <m:sub>
              <m:r>
                <m:t>k</m:t>
              </m:r>
              <m:r>
                <m:rPr>
                  <m:sty m:val="p"/>
                </m:rPr>
                <m:t>=</m:t>
              </m:r>
              <m:r>
                <m:t>0</m:t>
              </m:r>
            </m:sub>
            <m:sup>
              <m:r>
                <m:t>q</m:t>
              </m:r>
              <m:r>
                <m:rPr>
                  <m:sty m:val="p"/>
                </m:rPr>
                <m:t>−</m:t>
              </m:r>
              <m:r>
                <m:t>1</m:t>
              </m:r>
            </m:sup>
            <m:e>
              <m:sSup>
                <m:e>
                  <m:r>
                    <m:t>2</m:t>
                  </m:r>
                </m:e>
                <m:sup>
                  <m:r>
                    <m:t>k</m:t>
                  </m:r>
                </m:sup>
              </m:sSup>
            </m:e>
          </m:nary>
          <m:sSub>
            <m:e>
              <m:r>
                <m:t>z</m:t>
              </m:r>
            </m:e>
            <m:sub>
              <m:r>
                <m:t>k</m:t>
              </m:r>
            </m:sub>
          </m:sSub>
          <m:r>
            <m:rPr>
              <m:sty m:val="p"/>
            </m:rPr>
            <m:t>,</m:t>
          </m:r>
        </m:oMath>
      </m:oMathPara>
    </w:p>
    <w:p>
      <w:pPr>
        <w:pStyle w:val="FirstParagraph"/>
        <w:widowControl/>
        <w:spacing w:line="240" w:lineRule="auto" w:before="120" w:after="120"/>
        <w:ind w:firstLine="0" w:left="0" w:right="0"/>
        <w:jc w:val="center"/>
      </w:pPr>
      <w:r>
        <w:t xml:space="preserve">con</w:t>
      </w:r>
      <w:r>
        <w:t xml:space="preserve"> </w:t>
      </w:r>
      <m:oMath>
        <m:sSub>
          <m:e>
            <m:r>
              <m:t>z</m:t>
            </m:r>
          </m:e>
          <m:sub>
            <m:r>
              <m:t>k</m:t>
            </m:r>
          </m:sub>
        </m:sSub>
        <m:r>
          <m:rPr>
            <m:sty m:val="p"/>
          </m:rPr>
          <m:t>∈</m:t>
        </m:r>
        <m:r>
          <m:rPr>
            <m:sty m:val="p"/>
          </m:rPr>
          <m:t>{</m:t>
        </m:r>
        <m:r>
          <m:t>0</m:t>
        </m:r>
        <m:r>
          <m:rPr>
            <m:sty m:val="p"/>
          </m:rPr>
          <m:t>,</m:t>
        </m:r>
        <m:r>
          <m:t>1</m:t>
        </m:r>
        <m:r>
          <m:rPr>
            <m:sty m:val="p"/>
          </m:rPr>
          <m:t>}</m:t>
        </m:r>
      </m:oMath>
      <w:r>
        <w:t xml:space="preserve"> </w:t>
      </w:r>
      <w:r>
        <w:t xml:space="preserve">y un número de bits suficiente. Esta técnica aumenta el tamaño del QUBO y puede introducir coeficientes de escalas diferentes.</w:t>
      </w:r>
    </w:p>
    <w:p>
      <w:pPr>
        <w:pStyle w:val="BodyText"/>
        <w:widowControl/>
      </w:pPr>
      <w:r>
        <w:t xml:space="preserve">La conectividad y la conservación de flujo contienen numerosas igualdades e implicaciones. Su codificación QUBO puede ser correcta pero costosa. El recuento de variables auxiliares no será, por tanto, una cuestión secundaria, sino una métrica del trabajo.</w:t>
      </w:r>
    </w:p>
    <w:bookmarkEnd w:id="58"/>
    <w:bookmarkStart w:id="59" w:name="Xfbe83b2080cbaac7f5880523b40dec440a603dc"/>
    <w:p>
      <w:pPr>
        <w:pStyle w:val="Heading3"/>
        <w:keepNext/>
        <w:keepLines/>
        <w:ind w:firstLine="0"/>
      </w:pPr>
      <w:r>
        <w:t xml:space="preserve">2.4.5. Selección de coeficientes de penalización</w:t>
      </w:r>
    </w:p>
    <w:p>
      <w:pPr>
        <w:pStyle w:val="FirstParagraph"/>
        <w:widowControl/>
      </w:pPr>
      <w:r>
        <w:t xml:space="preserve">Sea</w:t>
      </w:r>
    </w:p>
    <w:p>
      <w:pPr>
        <w:pStyle w:val="BodyText"/>
        <w:widowControl/>
        <w:spacing w:line="240" w:lineRule="auto" w:before="120" w:after="120"/>
        <w:ind w:firstLine="0" w:left="0" w:right="0"/>
        <w:jc w:val="center"/>
      </w:pPr>
      <m:oMathPara>
        <m:oMathParaPr>
          <m:jc m:val="center"/>
        </m:oMathParaPr>
        <m:oMath>
          <m:r>
            <m:t>F</m:t>
          </m:r>
          <m:d>
            <m:dPr>
              <m:begChr m:val="("/>
              <m:endChr m:val=")"/>
              <m:sepChr m:val=""/>
              <m:grow/>
            </m:dPr>
            <m:e>
              <m:r>
                <m:rPr>
                  <m:sty m:val="b"/>
                </m:rPr>
                <m:t>x</m:t>
              </m:r>
            </m:e>
          </m:d>
          <m:r>
            <m:rPr>
              <m:sty m:val="p"/>
            </m:rPr>
            <m:t>=</m:t>
          </m:r>
          <m:r>
            <m:t>f</m:t>
          </m:r>
          <m:d>
            <m:dPr>
              <m:begChr m:val="("/>
              <m:endChr m:val=")"/>
              <m:sepChr m:val=""/>
              <m:grow/>
            </m:dPr>
            <m:e>
              <m:r>
                <m:rPr>
                  <m:sty m:val="b"/>
                </m:rPr>
                <m:t>x</m:t>
              </m:r>
            </m:e>
          </m:d>
          <m:r>
            <m:rPr>
              <m:sty m:val="p"/>
            </m:rPr>
            <m:t>+</m:t>
          </m:r>
          <m:r>
            <m:t>λ</m:t>
          </m:r>
          <m:r>
            <m:t>P</m:t>
          </m:r>
          <m:d>
            <m:dPr>
              <m:begChr m:val="("/>
              <m:endChr m:val=")"/>
              <m:sepChr m:val=""/>
              <m:grow/>
            </m:dPr>
            <m:e>
              <m:r>
                <m:rPr>
                  <m:sty m:val="b"/>
                </m:rPr>
                <m:t>x</m:t>
              </m:r>
            </m:e>
          </m:d>
          <m:r>
            <m:rPr>
              <m:sty m:val="p"/>
            </m:rPr>
            <m:t>.</m:t>
          </m:r>
        </m:oMath>
      </m:oMathPara>
    </w:p>
    <w:p>
      <w:pPr>
        <w:pStyle w:val="FirstParagraph"/>
        <w:widowControl/>
        <w:spacing w:line="240" w:lineRule="auto" w:before="120" w:after="120"/>
        <w:ind w:firstLine="0" w:left="0" w:right="0"/>
        <w:jc w:val="center"/>
      </w:pPr>
      <w:r>
        <w:t xml:space="preserve">Para garantizar que las soluciones inválidas no resulten preferidas,</w:t>
      </w:r>
      <w:r>
        <w:t xml:space="preserve"> </w:t>
      </w:r>
      <m:oMath>
        <m:r>
          <m:t>λ</m:t>
        </m:r>
      </m:oMath>
      <w:r>
        <w:t xml:space="preserve"> </w:t>
      </w:r>
      <w:r>
        <w:t xml:space="preserve">debe superar la mejora máxima que una violación podría producir en</w:t>
      </w:r>
      <w:r>
        <w:t xml:space="preserve"> </w:t>
      </w:r>
      <m:oMath>
        <m:r>
          <m:t>f</m:t>
        </m:r>
      </m:oMath>
      <w:r>
        <w:t xml:space="preserve">. Si se conoce una cota</w:t>
      </w:r>
      <w:r>
        <w:t xml:space="preserve"> </w:t>
      </w:r>
      <m:oMath>
        <m:r>
          <m:t>Δ</m:t>
        </m:r>
        <m:sSub>
          <m:e>
            <m:r>
              <m:t>f</m:t>
            </m:r>
          </m:e>
          <m:sub>
            <m:r>
              <m:rPr>
                <m:sty m:val="p"/>
              </m:rPr>
              <m:t>max</m:t>
            </m:r>
          </m:sub>
        </m:sSub>
      </m:oMath>
      <w:r>
        <w:t xml:space="preserve"> </w:t>
      </w:r>
      <w:r>
        <w:t xml:space="preserve">y la menor violación positiva de</w:t>
      </w:r>
      <w:r>
        <w:t xml:space="preserve"> </w:t>
      </w:r>
      <m:oMath>
        <m:r>
          <m:t>P</m:t>
        </m:r>
      </m:oMath>
      <w:r>
        <w:t xml:space="preserve"> </w:t>
      </w:r>
      <w:r>
        <w:t xml:space="preserve">es</w:t>
      </w:r>
      <w:r>
        <w:t xml:space="preserve"> </w:t>
      </w:r>
      <m:oMath>
        <m:sSub>
          <m:e>
            <m:r>
              <m:t>P</m:t>
            </m:r>
          </m:e>
          <m:sub>
            <m:r>
              <m:rPr>
                <m:sty m:val="p"/>
              </m:rPr>
              <m:t>min</m:t>
            </m:r>
          </m:sub>
        </m:sSub>
      </m:oMath>
      <w:r>
        <w:t xml:space="preserve">, una condición suficiente es</w:t>
      </w:r>
    </w:p>
    <w:p>
      <w:pPr>
        <w:pStyle w:val="BodyText"/>
        <w:widowControl/>
        <w:spacing w:line="240" w:lineRule="auto" w:before="120" w:after="120"/>
        <w:ind w:firstLine="0" w:left="0" w:right="0"/>
        <w:jc w:val="center"/>
      </w:pPr>
      <m:oMathPara>
        <m:oMathParaPr>
          <m:jc m:val="center"/>
        </m:oMathParaPr>
        <m:oMath>
          <m:r>
            <m:t>λ</m:t>
          </m:r>
          <m:r>
            <m:rPr>
              <m:sty m:val="p"/>
            </m:rPr>
            <m:t>&gt;</m:t>
          </m:r>
          <m:f>
            <m:fPr>
              <m:type m:val="bar"/>
            </m:fPr>
            <m:num>
              <m:r>
                <m:t>Δ</m:t>
              </m:r>
              <m:sSub>
                <m:e>
                  <m:r>
                    <m:t>f</m:t>
                  </m:r>
                </m:e>
                <m:sub>
                  <m:r>
                    <m:rPr>
                      <m:sty m:val="p"/>
                    </m:rPr>
                    <m:t>max</m:t>
                  </m:r>
                </m:sub>
              </m:sSub>
            </m:num>
            <m:den>
              <m:sSub>
                <m:e>
                  <m:r>
                    <m:t>P</m:t>
                  </m:r>
                </m:e>
                <m:sub>
                  <m:r>
                    <m:rPr>
                      <m:sty m:val="p"/>
                    </m:rPr>
                    <m:t>min</m:t>
                  </m:r>
                </m:sub>
              </m:sSub>
            </m:den>
          </m:f>
          <m:r>
            <m:rPr>
              <m:sty m:val="p"/>
            </m:rPr>
            <m:t>.</m:t>
          </m:r>
        </m:oMath>
      </m:oMathPara>
    </w:p>
    <w:p>
      <w:pPr>
        <w:pStyle w:val="FirstParagraph"/>
        <w:widowControl/>
      </w:pPr>
      <w:r>
        <w:t xml:space="preserve">En la práctica, estas cotas pueden ser conservadoras. Penalizaciones demasiado grandes comprimen las diferencias del objetivo frente a la escala total y pueden ser problemáticas en hardware o solucionadores con rangos limitados. El TFM deberá justificar las penalizaciones analíticamente cuando sea posible y estudiar su sensibilidad mediante experimentos.</w:t>
      </w:r>
    </w:p>
    <w:bookmarkEnd w:id="59"/>
    <w:bookmarkStart w:id="60" w:name="conversión-entre-qubo-e-ising"/>
    <w:p>
      <w:pPr>
        <w:pStyle w:val="Heading3"/>
        <w:keepNext/>
        <w:keepLines/>
        <w:ind w:firstLine="0"/>
      </w:pPr>
      <w:r>
        <w:t xml:space="preserve">2.4.6. Conversión entre QUBO e Ising</w:t>
      </w:r>
    </w:p>
    <w:p>
      <w:pPr>
        <w:pStyle w:val="FirstParagraph"/>
        <w:widowControl/>
        <w:spacing w:line="240" w:lineRule="auto" w:before="120" w:after="120"/>
        <w:ind w:firstLine="0" w:left="0" w:right="0"/>
        <w:jc w:val="center"/>
      </w:pPr>
      <w:r>
        <w:t xml:space="preserve">Los modelos de Ising utilizan variables de espín</w:t>
      </w:r>
      <w:r>
        <w:t xml:space="preserve"> </w:t>
      </w:r>
      <m:oMath>
        <m:sSub>
          <m:e>
            <m:r>
              <m:t>s</m:t>
            </m:r>
          </m:e>
          <m:sub>
            <m:r>
              <m:t>i</m:t>
            </m:r>
          </m:sub>
        </m:sSub>
        <m:r>
          <m:rPr>
            <m:sty m:val="p"/>
          </m:rPr>
          <m:t>∈</m:t>
        </m:r>
        <m:r>
          <m:rPr>
            <m:sty m:val="p"/>
          </m:rPr>
          <m:t>{</m:t>
        </m:r>
        <m:r>
          <m:rPr>
            <m:sty m:val="p"/>
          </m:rPr>
          <m:t>−</m:t>
        </m:r>
        <m:r>
          <m:t>1</m:t>
        </m:r>
        <m:r>
          <m:rPr>
            <m:sty m:val="p"/>
          </m:rPr>
          <m:t>,</m:t>
        </m:r>
        <m:r>
          <m:rPr>
            <m:sty m:val="p"/>
          </m:rPr>
          <m:t>+</m:t>
        </m:r>
        <m:r>
          <m:t>1</m:t>
        </m:r>
        <m:r>
          <m:rPr>
            <m:sty m:val="p"/>
          </m:rPr>
          <m:t>}</m:t>
        </m:r>
      </m:oMath>
      <w:r>
        <w:t xml:space="preserve">. Una correspondencia habitual es</w:t>
      </w:r>
    </w:p>
    <w:p>
      <w:pPr>
        <w:pStyle w:val="BodyText"/>
        <w:widowControl/>
        <w:spacing w:line="240" w:lineRule="auto" w:before="120" w:after="120"/>
        <w:ind w:firstLine="0" w:left="0" w:right="0"/>
        <w:jc w:val="center"/>
      </w:pPr>
      <m:oMathPara>
        <m:oMathParaPr>
          <m:jc m:val="center"/>
        </m:oMathParaPr>
        <m:oMath>
          <m:sSub>
            <m:e>
              <m:r>
                <m:t>x</m:t>
              </m:r>
            </m:e>
            <m:sub>
              <m:r>
                <m:t>i</m:t>
              </m:r>
            </m:sub>
          </m:sSub>
          <m:r>
            <m:rPr>
              <m:sty m:val="p"/>
            </m:rPr>
            <m:t>=</m:t>
          </m:r>
          <m:f>
            <m:fPr>
              <m:type m:val="bar"/>
            </m:fPr>
            <m:num>
              <m:r>
                <m:t>1</m:t>
              </m:r>
              <m:r>
                <m:rPr>
                  <m:sty m:val="p"/>
                </m:rPr>
                <m:t>−</m:t>
              </m:r>
              <m:sSub>
                <m:e>
                  <m:r>
                    <m:t>s</m:t>
                  </m:r>
                </m:e>
                <m:sub>
                  <m:r>
                    <m:t>i</m:t>
                  </m:r>
                </m:sub>
              </m:sSub>
            </m:num>
            <m:den>
              <m:r>
                <m:t>2</m:t>
              </m:r>
            </m:den>
          </m:f>
          <m:r>
            <m:rPr>
              <m:sty m:val="p"/>
            </m:rPr>
            <m:t>,</m:t>
          </m:r>
        </m:oMath>
      </m:oMathPara>
    </w:p>
    <w:p>
      <w:pPr>
        <w:pStyle w:val="FirstParagraph"/>
        <w:widowControl/>
      </w:pPr>
      <w:r>
        <w:t xml:space="preserve">por lo que</w:t>
      </w:r>
    </w:p>
    <w:p>
      <w:pPr>
        <w:pStyle w:val="BodyText"/>
        <w:widowControl/>
        <w:spacing w:line="240" w:lineRule="auto" w:before="120" w:after="120"/>
        <w:ind w:firstLine="0" w:left="0" w:right="0"/>
        <w:jc w:val="center"/>
      </w:pPr>
      <m:oMathPara>
        <m:oMathParaPr>
          <m:jc m:val="center"/>
        </m:oMathParaPr>
        <m:oMath>
          <m:sSub>
            <m:e>
              <m:r>
                <m:t>x</m:t>
              </m:r>
            </m:e>
            <m:sub>
              <m:r>
                <m:t>i</m:t>
              </m:r>
            </m:sub>
          </m:sSub>
          <m:sSub>
            <m:e>
              <m:r>
                <m:t>x</m:t>
              </m:r>
            </m:e>
            <m:sub>
              <m:r>
                <m:t>j</m:t>
              </m:r>
            </m:sub>
          </m:sSub>
          <m:r>
            <m:rPr>
              <m:sty m:val="p"/>
            </m:rPr>
            <m:t>=</m:t>
          </m:r>
          <m:f>
            <m:fPr>
              <m:type m:val="bar"/>
            </m:fPr>
            <m:num>
              <m:r>
                <m:t>1</m:t>
              </m:r>
              <m:r>
                <m:rPr>
                  <m:sty m:val="p"/>
                </m:rPr>
                <m:t>−</m:t>
              </m:r>
              <m:sSub>
                <m:e>
                  <m:r>
                    <m:t>s</m:t>
                  </m:r>
                </m:e>
                <m:sub>
                  <m:r>
                    <m:t>i</m:t>
                  </m:r>
                </m:sub>
              </m:sSub>
              <m:r>
                <m:rPr>
                  <m:sty m:val="p"/>
                </m:rPr>
                <m:t>−</m:t>
              </m:r>
              <m:sSub>
                <m:e>
                  <m:r>
                    <m:t>s</m:t>
                  </m:r>
                </m:e>
                <m:sub>
                  <m:r>
                    <m:t>j</m:t>
                  </m:r>
                </m:sub>
              </m:sSub>
              <m:r>
                <m:rPr>
                  <m:sty m:val="p"/>
                </m:rPr>
                <m:t>+</m:t>
              </m:r>
              <m:sSub>
                <m:e>
                  <m:r>
                    <m:t>s</m:t>
                  </m:r>
                </m:e>
                <m:sub>
                  <m:r>
                    <m:t>i</m:t>
                  </m:r>
                </m:sub>
              </m:sSub>
              <m:sSub>
                <m:e>
                  <m:r>
                    <m:t>s</m:t>
                  </m:r>
                </m:e>
                <m:sub>
                  <m:r>
                    <m:t>j</m:t>
                  </m:r>
                </m:sub>
              </m:sSub>
            </m:num>
            <m:den>
              <m:r>
                <m:t>4</m:t>
              </m:r>
            </m:den>
          </m:f>
          <m:r>
            <m:rPr>
              <m:sty m:val="p"/>
            </m:rPr>
            <m:t>.</m:t>
          </m:r>
        </m:oMath>
      </m:oMathPara>
    </w:p>
    <w:p>
      <w:pPr>
        <w:pStyle w:val="FirstParagraph"/>
        <w:widowControl/>
      </w:pPr>
      <w:r>
        <w:t xml:space="preserve">Al sustituir estas expresiones, el QUBO se transforma en un Hamiltoniano de Ising</w:t>
      </w:r>
    </w:p>
    <w:p>
      <w:pPr>
        <w:pStyle w:val="BodyText"/>
        <w:widowControl/>
        <w:spacing w:line="240" w:lineRule="auto" w:before="120" w:after="120"/>
        <w:ind w:firstLine="0" w:left="0" w:right="0"/>
        <w:jc w:val="center"/>
      </w:pPr>
      <m:oMathPara>
        <m:oMathParaPr>
          <m:jc m:val="center"/>
        </m:oMathParaPr>
        <m:oMath>
          <m:r>
            <m:t>E</m:t>
          </m:r>
          <m:d>
            <m:dPr>
              <m:begChr m:val="("/>
              <m:endChr m:val=")"/>
              <m:sepChr m:val=""/>
              <m:grow/>
            </m:dPr>
            <m:e>
              <m:r>
                <m:rPr>
                  <m:sty m:val="b"/>
                </m:rPr>
                <m:t>s</m:t>
              </m:r>
            </m:e>
          </m:d>
          <m:r>
            <m:rPr>
              <m:sty m:val="p"/>
            </m:rPr>
            <m:t>=</m:t>
          </m:r>
          <m:r>
            <m:t>C</m:t>
          </m:r>
          <m:r>
            <m:rPr>
              <m:sty m:val="p"/>
            </m:rPr>
            <m:t>+</m:t>
          </m:r>
          <m:nary>
            <m:naryPr>
              <m:chr m:val="∑"/>
              <m:limLoc m:val="undOvr"/>
              <m:subHide m:val="off"/>
              <m:supHide m:val="on"/>
            </m:naryPr>
            <m:sub>
              <m:r>
                <m:t>i</m:t>
              </m:r>
            </m:sub>
            <m:sup>
              <m:r>
                <m:t>​</m:t>
              </m:r>
            </m:sup>
            <m:e>
              <m:sSub>
                <m:e>
                  <m:r>
                    <m:t>h</m:t>
                  </m:r>
                </m:e>
                <m:sub>
                  <m:r>
                    <m:t>i</m:t>
                  </m:r>
                </m:sub>
              </m:sSub>
            </m:e>
          </m:nary>
          <m:sSub>
            <m:e>
              <m:r>
                <m:t>s</m:t>
              </m:r>
            </m:e>
            <m:sub>
              <m:r>
                <m:t>i</m:t>
              </m:r>
            </m:sub>
          </m:sSub>
          <m:r>
            <m:rPr>
              <m:sty m:val="p"/>
            </m:rPr>
            <m:t>+</m:t>
          </m:r>
          <m:nary>
            <m:naryPr>
              <m:chr m:val="∑"/>
              <m:limLoc m:val="undOvr"/>
              <m:subHide m:val="off"/>
              <m:supHide m:val="on"/>
            </m:naryPr>
            <m:sub>
              <m:r>
                <m:t>i</m:t>
              </m:r>
              <m:r>
                <m:rPr>
                  <m:sty m:val="p"/>
                </m:rPr>
                <m:t>&lt;</m:t>
              </m:r>
              <m:r>
                <m:t>j</m:t>
              </m:r>
            </m:sub>
            <m:sup>
              <m:r>
                <m:t>​</m:t>
              </m:r>
            </m:sup>
            <m:e>
              <m:sSub>
                <m:e>
                  <m:r>
                    <m:t>J</m:t>
                  </m:r>
                </m:e>
                <m:sub>
                  <m:r>
                    <m:t>i</m:t>
                  </m:r>
                  <m:r>
                    <m:t>j</m:t>
                  </m:r>
                </m:sub>
              </m:sSub>
            </m:e>
          </m:nary>
          <m:sSub>
            <m:e>
              <m:r>
                <m:t>s</m:t>
              </m:r>
            </m:e>
            <m:sub>
              <m:r>
                <m:t>i</m:t>
              </m:r>
            </m:sub>
          </m:sSub>
          <m:sSub>
            <m:e>
              <m:r>
                <m:t>s</m:t>
              </m:r>
            </m:e>
            <m:sub>
              <m:r>
                <m:t>j</m:t>
              </m:r>
            </m:sub>
          </m:sSub>
          <m:r>
            <m:rPr>
              <m:sty m:val="p"/>
            </m:rPr>
            <m:t>.</m:t>
          </m:r>
        </m:oMath>
      </m:oMathPara>
    </w:p>
    <w:p>
      <w:pPr>
        <w:pStyle w:val="FirstParagraph"/>
        <w:widowControl/>
        <w:spacing w:line="240" w:lineRule="auto" w:before="120" w:after="120"/>
        <w:ind w:firstLine="0" w:left="0" w:right="0"/>
        <w:jc w:val="center"/>
      </w:pPr>
      <w:r>
        <w:t xml:space="preserve">La constante</w:t>
      </w:r>
      <w:r>
        <w:t xml:space="preserve"> </w:t>
      </w:r>
      <m:oMath>
        <m:r>
          <m:t>C</m:t>
        </m:r>
      </m:oMath>
      <w:r>
        <w:t xml:space="preserve"> </w:t>
      </w:r>
      <w:r>
        <w:t xml:space="preserve">no modifica la solución. Los campos locales</w:t>
      </w:r>
      <w:r>
        <w:t xml:space="preserve"> </w:t>
      </w:r>
      <m:oMath>
        <m:sSub>
          <m:e>
            <m:r>
              <m:t>h</m:t>
            </m:r>
          </m:e>
          <m:sub>
            <m:r>
              <m:t>i</m:t>
            </m:r>
          </m:sub>
        </m:sSub>
      </m:oMath>
      <w:r>
        <w:t xml:space="preserve"> </w:t>
      </w:r>
      <w:r>
        <w:t xml:space="preserve">y los acoplamientos</w:t>
      </w:r>
      <w:r>
        <w:t xml:space="preserve"> </w:t>
      </w:r>
      <m:oMath>
        <m:sSub>
          <m:e>
            <m:r>
              <m:t>J</m:t>
            </m:r>
          </m:e>
          <m:sub>
            <m:r>
              <m:t>i</m:t>
            </m:r>
            <m:r>
              <m:t>j</m:t>
            </m:r>
          </m:sub>
        </m:sSub>
      </m:oMath>
      <w:r>
        <w:t xml:space="preserve"> </w:t>
      </w:r>
      <w:r>
        <w:t xml:space="preserve">dependen de la convención utilizada para</w:t>
      </w:r>
      <w:r>
        <w:t xml:space="preserve"> </w:t>
      </w:r>
      <m:oMath>
        <m:r>
          <m:t>Q</m:t>
        </m:r>
      </m:oMath>
      <w:r>
        <w:t xml:space="preserve">. Por esta razón, la implementación deberá fijar una convención y comprobar la equivalencia mediante enumeración en instancias pequeñas.</w:t>
      </w:r>
    </w:p>
    <w:bookmarkEnd w:id="60"/>
    <w:bookmarkStart w:id="61" w:name="densidad-conectividad-y-escalabilidad"/>
    <w:p>
      <w:pPr>
        <w:pStyle w:val="Heading3"/>
        <w:keepNext/>
        <w:keepLines/>
        <w:ind w:firstLine="0"/>
      </w:pPr>
      <w:r>
        <w:t xml:space="preserve">2.4.7. Densidad, conectividad y escalabilidad</w:t>
      </w:r>
    </w:p>
    <w:p>
      <w:pPr>
        <w:pStyle w:val="FirstParagraph"/>
        <w:widowControl/>
      </w:pPr>
      <w:r>
        <w:t xml:space="preserve">No solo importa el número de variables. Un QUBO denso contiene muchas interacciones y puede ser más difícil de integrar en una topología física limitada. Las penalizaciones de cardinalidad generan acoplamientos entre todos los pares de variables del conjunto, mientras que las restricciones locales producen grafos más dispersos.</w:t>
      </w:r>
    </w:p>
    <w:p>
      <w:pPr>
        <w:pStyle w:val="BodyText"/>
        <w:widowControl/>
      </w:pPr>
      <w:r>
        <w:t xml:space="preserve">El caso de monedas puede incluir un término de cardinalidad denso y conflictos espaciales dispersos. El caso de plataformas añadirá relaciones de transición. El mapa conjunto puede incorporar variables por celda y arista, además de restricciones de conservación. Esta evolución permitirá comparar el tamaño nominal y la estructura del grafo del QUBO.</w:t>
      </w:r>
    </w:p>
    <w:bookmarkEnd w:id="61"/>
    <w:bookmarkStart w:id="62" w:name="verificación-de-una-formulación"/>
    <w:p>
      <w:pPr>
        <w:pStyle w:val="Heading3"/>
        <w:keepNext/>
        <w:keepLines/>
        <w:ind w:firstLine="0"/>
      </w:pPr>
      <w:r>
        <w:t xml:space="preserve">2.4.8. Verificación de una formulación</w:t>
      </w:r>
    </w:p>
    <w:p>
      <w:pPr>
        <w:pStyle w:val="FirstParagraph"/>
        <w:widowControl/>
      </w:pPr>
      <w:r>
        <w:t xml:space="preserve">Una formulación QUBO debe validarse antes de ejecutar métodos aproximados. El procedimiento recomendado será:</w:t>
      </w:r>
    </w:p>
    <w:p>
      <w:pPr>
        <w:pStyle w:val="Compact"/>
        <w:widowControl/>
        <w:numPr>
          <w:ilvl w:val="0"/>
          <w:numId w:val="1003"/>
        </w:numPr>
      </w:pPr>
      <w:r>
        <w:t xml:space="preserve">construir una instancia muy pequeña;</w:t>
      </w:r>
    </w:p>
    <w:p>
      <w:pPr>
        <w:pStyle w:val="Compact"/>
        <w:widowControl/>
        <w:numPr>
          <w:ilvl w:val="0"/>
          <w:numId w:val="1003"/>
        </w:numPr>
      </w:pPr>
      <w:r>
        <w:t xml:space="preserve">enumerar todas las asignaciones;</w:t>
      </w:r>
    </w:p>
    <w:p>
      <w:pPr>
        <w:pStyle w:val="Compact"/>
        <w:widowControl/>
        <w:numPr>
          <w:ilvl w:val="0"/>
          <w:numId w:val="1003"/>
        </w:numPr>
      </w:pPr>
      <w:r>
        <w:t xml:space="preserve">comprobar que las soluciones factibles tienen las energías esperadas;</w:t>
      </w:r>
    </w:p>
    <w:p>
      <w:pPr>
        <w:pStyle w:val="Compact"/>
        <w:widowControl/>
        <w:numPr>
          <w:ilvl w:val="0"/>
          <w:numId w:val="1003"/>
        </w:numPr>
      </w:pPr>
      <w:r>
        <w:t xml:space="preserve">verificar que el mínimo corresponde al óptimo del modelo clásico;</w:t>
      </w:r>
    </w:p>
    <w:p>
      <w:pPr>
        <w:pStyle w:val="Compact"/>
        <w:widowControl/>
        <w:numPr>
          <w:ilvl w:val="0"/>
          <w:numId w:val="1003"/>
        </w:numPr>
      </w:pPr>
      <w:r>
        <w:t xml:space="preserve">variar las penalizaciones y localizar el umbral de validez;</w:t>
      </w:r>
    </w:p>
    <w:p>
      <w:pPr>
        <w:pStyle w:val="Compact"/>
        <w:widowControl/>
        <w:numPr>
          <w:ilvl w:val="0"/>
          <w:numId w:val="1003"/>
        </w:numPr>
      </w:pPr>
      <w:r>
        <w:t xml:space="preserve">comparar la energía QUBO y la energía Ising después de la transformación.</w:t>
      </w:r>
    </w:p>
    <w:p>
      <w:pPr>
        <w:pStyle w:val="FirstParagraph"/>
        <w:widowControl/>
      </w:pPr>
      <w:r>
        <w:t xml:space="preserve">Este proceso evita atribuir a un algoritmo errores que proceden en realidad de la formulación.</w:t>
      </w:r>
    </w:p>
    <w:bookmarkEnd w:id="62"/>
    <w:bookmarkEnd w:id="63"/>
    <w:bookmarkStart w:id="71" w:name="Xfa372ffba4a5e864b30a4bbfb2505054af820ea"/>
    <w:p>
      <w:pPr>
        <w:pStyle w:val="Heading2"/>
        <w:keepNext/>
        <w:keepLines/>
        <w:ind w:firstLine="0"/>
      </w:pPr>
      <w:r>
        <w:t xml:space="preserve">2.5. Métodos clásicos y cuánticos de optimización energética</w:t>
      </w:r>
    </w:p>
    <w:bookmarkStart w:id="64" w:name="Xa660da721cc220dab4f905ee3419ca7a532b24d"/>
    <w:p>
      <w:pPr>
        <w:pStyle w:val="Heading3"/>
        <w:keepNext/>
        <w:keepLines/>
        <w:ind w:firstLine="0"/>
      </w:pPr>
      <w:r>
        <w:t xml:space="preserve">2.5.1. Simulated annealing como referencia clásica</w:t>
      </w:r>
    </w:p>
    <w:p>
      <w:pPr>
        <w:pStyle w:val="FirstParagraph"/>
        <w:widowControl/>
      </w:pPr>
      <w:r>
        <w:t xml:space="preserve">Simulated annealing utiliza fluctuaciones térmicas simuladas para escapar de óptimos locales. La temperatura se reduce de acuerdo con un calendario, de modo que el proceso pasa de una exploración amplia a una búsqueda más selectiva. Su relación directa con funciones energéticas permite utilizarlo como línea base para QUBO.</w:t>
      </w:r>
    </w:p>
    <w:p>
      <w:pPr>
        <w:pStyle w:val="BodyText"/>
        <w:widowControl/>
      </w:pPr>
      <w:r>
        <w:t xml:space="preserve">La comparación con quantum annealing no debe reducirse a afirmar que ambos</w:t>
      </w:r>
      <w:r>
        <w:t xml:space="preserve"> </w:t>
      </w:r>
      <w:r>
        <w:t xml:space="preserve">“</w:t>
      </w:r>
      <w:r>
        <w:t xml:space="preserve">hacen annealing</w:t>
      </w:r>
      <w:r>
        <w:t xml:space="preserve">”</w:t>
      </w:r>
      <w:r>
        <w:t xml:space="preserve">. El mecanismo físico es diferente y la implementación clásica puede explotar estructuras y recursos que no corresponden a un dispositivo cuántico. Aun así, simulated annealing constituye una referencia necesaria porque permite comprobar si un resultado puede obtenerse mediante una metaheurística clásica sencilla.</w:t>
      </w:r>
    </w:p>
    <w:bookmarkEnd w:id="64"/>
    <w:bookmarkStart w:id="65" w:name="Xfcce7a98ad57a266fd276398eb791dadb326414"/>
    <w:p>
      <w:pPr>
        <w:pStyle w:val="Heading3"/>
        <w:keepNext/>
        <w:keepLines/>
        <w:ind w:firstLine="0"/>
      </w:pPr>
      <w:r>
        <w:t xml:space="preserve">2.5.2. Computación adiabática y quantum annealing</w:t>
      </w:r>
    </w:p>
    <w:p>
      <w:pPr>
        <w:pStyle w:val="FirstParagraph"/>
        <w:widowControl/>
      </w:pPr>
      <w:r>
        <w:t xml:space="preserve">En la computación cuántica adiabática se prepara el estado fundamental de un Hamiltoniano inicial y se transforma gradualmente hacia un Hamiltoniano de problema. Una expresión general es</w:t>
      </w:r>
    </w:p>
    <w:p>
      <w:pPr>
        <w:pStyle w:val="BodyText"/>
        <w:widowControl/>
        <w:spacing w:line="240" w:lineRule="auto" w:before="120" w:after="120"/>
        <w:ind w:firstLine="0" w:left="0" w:right="0"/>
        <w:jc w:val="center"/>
      </w:pPr>
      <m:oMathPara>
        <m:oMathParaPr>
          <m:jc m:val="center"/>
        </m:oMathParaPr>
        <m:oMath>
          <m:r>
            <m:t>H</m:t>
          </m:r>
          <m:d>
            <m:dPr>
              <m:begChr m:val="("/>
              <m:endChr m:val=")"/>
              <m:sepChr m:val=""/>
              <m:grow/>
            </m:dPr>
            <m:e>
              <m:r>
                <m:t>t</m:t>
              </m:r>
            </m:e>
          </m:d>
          <m:r>
            <m:rPr>
              <m:sty m:val="p"/>
            </m:rPr>
            <m:t>=</m:t>
          </m:r>
          <m:r>
            <m:t>A</m:t>
          </m:r>
          <m:d>
            <m:dPr>
              <m:begChr m:val="("/>
              <m:endChr m:val=")"/>
              <m:sepChr m:val=""/>
              <m:grow/>
            </m:dPr>
            <m:e>
              <m:r>
                <m:t>t</m:t>
              </m:r>
            </m:e>
          </m:d>
          <m:sSub>
            <m:e>
              <m:r>
                <m:t>H</m:t>
              </m:r>
            </m:e>
            <m:sub>
              <m:r>
                <m:rPr>
                  <m:sty m:val="p"/>
                </m:rPr>
                <m:t>D</m:t>
              </m:r>
            </m:sub>
          </m:sSub>
          <m:r>
            <m:rPr>
              <m:sty m:val="p"/>
            </m:rPr>
            <m:t>+</m:t>
          </m:r>
          <m:r>
            <m:t>B</m:t>
          </m:r>
          <m:d>
            <m:dPr>
              <m:begChr m:val="("/>
              <m:endChr m:val=")"/>
              <m:sepChr m:val=""/>
              <m:grow/>
            </m:dPr>
            <m:e>
              <m:r>
                <m:t>t</m:t>
              </m:r>
            </m:e>
          </m:d>
          <m:sSub>
            <m:e>
              <m:r>
                <m:t>H</m:t>
              </m:r>
            </m:e>
            <m:sub>
              <m:r>
                <m:rPr>
                  <m:sty m:val="p"/>
                </m:rPr>
                <m:t>P</m:t>
              </m:r>
            </m:sub>
          </m:sSub>
          <m:r>
            <m:rPr>
              <m:sty m:val="p"/>
            </m:rPr>
            <m:t>,</m:t>
          </m:r>
          <m:r>
            <m:t>  </m:t>
          </m:r>
          <m:r>
            <m:t>0</m:t>
          </m:r>
          <m:r>
            <m:rPr>
              <m:sty m:val="p"/>
            </m:rPr>
            <m:t>≤</m:t>
          </m:r>
          <m:r>
            <m:t>t</m:t>
          </m:r>
          <m:r>
            <m:rPr>
              <m:sty m:val="p"/>
            </m:rPr>
            <m:t>≤</m:t>
          </m:r>
          <m:r>
            <m:t>τ</m:t>
          </m:r>
          <m:r>
            <m:rPr>
              <m:sty m:val="p"/>
            </m:rPr>
            <m:t>,</m:t>
          </m:r>
        </m:oMath>
      </m:oMathPara>
    </w:p>
    <w:p>
      <w:pPr>
        <w:pStyle w:val="FirstParagraph"/>
        <w:widowControl/>
        <w:spacing w:line="240" w:lineRule="auto" w:before="120" w:after="120"/>
        <w:ind w:firstLine="0" w:left="0" w:right="0"/>
        <w:jc w:val="center"/>
      </w:pPr>
      <w:r>
        <w:t xml:space="preserve">donde</w:t>
      </w:r>
      <w:r>
        <w:t xml:space="preserve"> </w:t>
      </w:r>
      <m:oMath>
        <m:sSub>
          <m:e>
            <m:r>
              <m:t>H</m:t>
            </m:r>
          </m:e>
          <m:sub>
            <m:r>
              <m:rPr>
                <m:sty m:val="p"/>
              </m:rPr>
              <m:t>D</m:t>
            </m:r>
          </m:sub>
        </m:sSub>
      </m:oMath>
      <w:r>
        <w:t xml:space="preserve"> </w:t>
      </w:r>
      <w:r>
        <w:t xml:space="preserve">es el Hamiltoniano conductor y</w:t>
      </w:r>
      <w:r>
        <w:t xml:space="preserve"> </w:t>
      </w:r>
      <m:oMath>
        <m:sSub>
          <m:e>
            <m:r>
              <m:t>H</m:t>
            </m:r>
          </m:e>
          <m:sub>
            <m:r>
              <m:rPr>
                <m:sty m:val="p"/>
              </m:rPr>
              <m:t>P</m:t>
            </m:r>
          </m:sub>
        </m:sSub>
      </m:oMath>
      <w:r>
        <w:t xml:space="preserve"> </w:t>
      </w:r>
      <w:r>
        <w:t xml:space="preserve">codifica la función objetivo. Al inicio domina</w:t>
      </w:r>
      <w:r>
        <w:t xml:space="preserve"> </w:t>
      </w:r>
      <m:oMath>
        <m:r>
          <m:t>A</m:t>
        </m:r>
        <m:d>
          <m:dPr>
            <m:begChr m:val="("/>
            <m:endChr m:val=")"/>
            <m:sepChr m:val=""/>
            <m:grow/>
          </m:dPr>
          <m:e>
            <m:r>
              <m:t>t</m:t>
            </m:r>
          </m:e>
        </m:d>
      </m:oMath>
      <w:r>
        <w:t xml:space="preserve"> </w:t>
      </w:r>
      <w:r>
        <w:t xml:space="preserve">y al final domina</w:t>
      </w:r>
      <w:r>
        <w:t xml:space="preserve"> </w:t>
      </w:r>
      <m:oMath>
        <m:r>
          <m:t>B</m:t>
        </m:r>
        <m:d>
          <m:dPr>
            <m:begChr m:val="("/>
            <m:endChr m:val=")"/>
            <m:sepChr m:val=""/>
            <m:grow/>
          </m:dPr>
          <m:e>
            <m:r>
              <m:t>t</m:t>
            </m:r>
          </m:e>
        </m:d>
      </m:oMath>
      <w:r>
        <w:t xml:space="preserve">.</w:t>
      </w:r>
    </w:p>
    <w:p>
      <w:pPr>
        <w:pStyle w:val="BodyText"/>
        <w:widowControl/>
      </w:pPr>
      <w:r>
        <w:t xml:space="preserve">Quantum annealing utiliza fluctuaciones cuánticas para explorar el paisaje energético y busca terminar en un estado de baja energía del Hamiltoniano de problema. Kadowaki y Nishimori (1998) introdujeron el uso de un campo transversal decreciente como análogo cuántico del recocido térmico. Das y Chakrabarti (2008) revisan la relación entre quantum annealing y computación analógica, mientras que Albash y Lidar (2018) ofrecen un tratamiento amplio de la computación adiabática.</w:t>
      </w:r>
    </w:p>
    <w:p>
      <w:pPr>
        <w:pStyle w:val="BodyText"/>
        <w:widowControl/>
      </w:pPr>
      <w:r>
        <w:t xml:space="preserve">El teorema adiabático establece condiciones bajo las cuales una evolución suficientemente lenta conserva el estado fundamental. En problemas de optimización, el tiempo requerido depende del mínimo intervalo energético durante la evolución. En la práctica, los dispositivos de annealing son sistemas abiertos, finitos y sujetos a ruido, por lo que los resultados se interpretan como muestreo de estados de baja energía, no como garantía automática del óptimo.</w:t>
      </w:r>
    </w:p>
    <w:bookmarkEnd w:id="65"/>
    <w:bookmarkStart w:id="66" w:name="topología-física-y-embedding"/>
    <w:p>
      <w:pPr>
        <w:pStyle w:val="Heading3"/>
        <w:keepNext/>
        <w:keepLines/>
        <w:ind w:firstLine="0"/>
      </w:pPr>
      <w:r>
        <w:t xml:space="preserve">2.5.3. Topología física y embedding</w:t>
      </w:r>
    </w:p>
    <w:p>
      <w:pPr>
        <w:pStyle w:val="FirstParagraph"/>
        <w:widowControl/>
      </w:pPr>
      <w:r>
        <w:t xml:space="preserve">El grafo lógico del QUBO puede contener interacciones que no existen directamente en el hardware. El</w:t>
      </w:r>
      <w:r>
        <w:t xml:space="preserve"> </w:t>
      </w:r>
      <w:r>
        <w:rPr>
          <w:i/>
          <w:iCs/>
        </w:rPr>
        <w:t xml:space="preserve">minor embedding</w:t>
      </w:r>
      <w:r>
        <w:t xml:space="preserve"> </w:t>
      </w:r>
      <w:r>
        <w:t xml:space="preserve">representa una variable lógica mediante una cadena de qubits físicos conectados. Esto aumenta el número de recursos y exige seleccionar una fuerza de cadena.</w:t>
      </w:r>
    </w:p>
    <w:p>
      <w:pPr>
        <w:pStyle w:val="BodyText"/>
        <w:widowControl/>
      </w:pPr>
      <w:r>
        <w:t xml:space="preserve">Una cadena demasiado débil puede romperse; una demasiado fuerte puede reducir la escala efectiva del problema. Además, un QUBO denso puede necesitar muchas cadenas. Aunque el TFM no dispone inicialmente de acceso confirmado a un annealer, estas limitaciones deben considerarse porque afectan a la viabilidad de trasladar la formulación a hardware.</w:t>
      </w:r>
    </w:p>
    <w:bookmarkEnd w:id="66"/>
    <w:bookmarkStart w:id="67" w:name="algoritmos-cuánticos-variacionales"/>
    <w:p>
      <w:pPr>
        <w:pStyle w:val="Heading3"/>
        <w:keepNext/>
        <w:keepLines/>
        <w:ind w:firstLine="0"/>
      </w:pPr>
      <w:r>
        <w:t xml:space="preserve">2.5.4. Algoritmos cuánticos variacionales</w:t>
      </w:r>
    </w:p>
    <w:p>
      <w:pPr>
        <w:pStyle w:val="FirstParagraph"/>
        <w:widowControl/>
      </w:pPr>
      <w:r>
        <w:t xml:space="preserve">Los algoritmos cuánticos variacionales combinan un circuito parametrizado y un optimizador clásico. El circuito prepara un estado, se mide una función de coste y el optimizador actualiza los parámetros. Se han propuesto como estrategia para dispositivos cuánticos ruidosos y de escala intermedia, aunque presentan retos de entrenabilidad, precisión y eficiencia (Cerezo et al., 2021; Preskill, 2018).</w:t>
      </w:r>
    </w:p>
    <w:bookmarkEnd w:id="67"/>
    <w:bookmarkStart w:id="68" w:name="qaoa"/>
    <w:p>
      <w:pPr>
        <w:pStyle w:val="Heading3"/>
        <w:keepNext/>
        <w:keepLines/>
        <w:ind w:firstLine="0"/>
      </w:pPr>
      <w:r>
        <w:t xml:space="preserve">2.5.5. QAOA</w:t>
      </w:r>
    </w:p>
    <w:p>
      <w:pPr>
        <w:pStyle w:val="FirstParagraph"/>
        <w:widowControl/>
        <w:spacing w:line="240" w:lineRule="auto" w:before="120" w:after="120"/>
        <w:ind w:firstLine="0" w:left="0" w:right="0"/>
        <w:jc w:val="center"/>
      </w:pPr>
      <w:r>
        <w:t xml:space="preserve">El Quantum Approximate Optimization Algorithm fue propuesto por Farhi et al. (2014) para problemas combinatorios. QAOA alterna evoluciones generadas por un Hamiltoniano de coste</w:t>
      </w:r>
      <w:r>
        <w:t xml:space="preserve"> </w:t>
      </w:r>
      <m:oMath>
        <m:sSub>
          <m:e>
            <m:r>
              <m:t>H</m:t>
            </m:r>
          </m:e>
          <m:sub>
            <m:r>
              <m:t>C</m:t>
            </m:r>
          </m:sub>
        </m:sSub>
      </m:oMath>
      <w:r>
        <w:t xml:space="preserve"> </w:t>
      </w:r>
      <w:r>
        <w:t xml:space="preserve">y un Hamiltoniano mezclador</w:t>
      </w:r>
      <w:r>
        <w:t xml:space="preserve"> </w:t>
      </w:r>
      <m:oMath>
        <m:sSub>
          <m:e>
            <m:r>
              <m:t>H</m:t>
            </m:r>
          </m:e>
          <m:sub>
            <m:r>
              <m:t>M</m:t>
            </m:r>
          </m:sub>
        </m:sSub>
      </m:oMath>
      <w:r>
        <w:t xml:space="preserve">.</w:t>
      </w:r>
    </w:p>
    <w:p>
      <w:pPr>
        <w:pStyle w:val="BodyText"/>
        <w:widowControl/>
        <w:spacing w:line="240" w:lineRule="auto" w:before="120" w:after="120"/>
        <w:ind w:firstLine="0" w:left="0" w:right="0"/>
        <w:jc w:val="center"/>
      </w:pPr>
      <w:r>
        <w:t xml:space="preserve">Para profundidad</w:t>
      </w:r>
      <w:r>
        <w:t xml:space="preserve"> </w:t>
      </w:r>
      <m:oMath>
        <m:r>
          <m:t>p</m:t>
        </m:r>
      </m:oMath>
      <w:r>
        <w:t xml:space="preserve">, el estado puede escribirse como</w:t>
      </w:r>
    </w:p>
    <w:p>
      <w:pPr>
        <w:pStyle w:val="BodyText"/>
        <w:widowControl/>
        <w:spacing w:line="240" w:lineRule="auto" w:before="120" w:after="120"/>
        <w:ind w:firstLine="0" w:left="0" w:right="0"/>
        <w:jc w:val="center"/>
      </w:pPr>
      <m:oMathPara>
        <m:oMathParaPr>
          <m:jc m:val="center"/>
        </m:oMathParaPr>
        <m:oMath>
          <m:d>
            <m:dPr>
              <m:begChr m:val="|"/>
              <m:endChr m:val="|"/>
              <m:sepChr m:val=""/>
              <m:grow/>
            </m:dPr>
            <m:e>
              <m:r>
                <m:rPr>
                  <m:sty m:val="b"/>
                </m:rPr>
                <m:t>γ</m:t>
              </m:r>
              <m:r>
                <m:rPr>
                  <m:sty m:val="p"/>
                </m:rPr>
                <m:t>,</m:t>
              </m:r>
              <m:r>
                <m:rPr>
                  <m:sty m:val="b"/>
                </m:rPr>
                <m:t>β</m:t>
              </m:r>
              <m:r>
                <m:rPr>
                  <m:sty m:val="p"/>
                </m:rPr>
                <m:t>⟩</m:t>
              </m:r>
              <m:r>
                <m:rPr>
                  <m:sty m:val="p"/>
                </m:rPr>
                <m:t>=</m:t>
              </m:r>
              <m:nary>
                <m:naryPr>
                  <m:chr m:val="∏"/>
                  <m:limLoc m:val="undOvr"/>
                  <m:subHide m:val="off"/>
                  <m:supHide m:val="off"/>
                </m:naryPr>
                <m:sub>
                  <m:r>
                    <m:rPr>
                      <m:sty m:val="p"/>
                    </m:rPr>
                    <m:t>ℓ</m:t>
                  </m:r>
                  <m:r>
                    <m:rPr>
                      <m:sty m:val="p"/>
                    </m:rPr>
                    <m:t>=</m:t>
                  </m:r>
                  <m:r>
                    <m:t>1</m:t>
                  </m:r>
                </m:sub>
                <m:sup>
                  <m:r>
                    <m:t>p</m:t>
                  </m:r>
                </m:sup>
                <m:e>
                  <m:r>
                    <m:rPr>
                      <m:sty m:val="p"/>
                    </m:rPr>
                    <m:t>exp</m:t>
                  </m:r>
                </m:e>
              </m:nary>
              <m:d>
                <m:dPr>
                  <m:begChr m:val="("/>
                  <m:endChr m:val=")"/>
                  <m:sepChr m:val=""/>
                  <m:grow/>
                </m:dPr>
                <m:e>
                  <m:r>
                    <m:rPr>
                      <m:sty m:val="p"/>
                    </m:rPr>
                    <m:t>−</m:t>
                  </m:r>
                  <m:r>
                    <m:t>i</m:t>
                  </m:r>
                  <m:sSub>
                    <m:e>
                      <m:r>
                        <m:t>β</m:t>
                      </m:r>
                    </m:e>
                    <m:sub>
                      <m:r>
                        <m:rPr>
                          <m:sty m:val="p"/>
                        </m:rPr>
                        <m:t>ℓ</m:t>
                      </m:r>
                    </m:sub>
                  </m:sSub>
                  <m:sSub>
                    <m:e>
                      <m:r>
                        <m:t>H</m:t>
                      </m:r>
                    </m:e>
                    <m:sub>
                      <m:r>
                        <m:t>M</m:t>
                      </m:r>
                    </m:sub>
                  </m:sSub>
                </m:e>
              </m:d>
              <m:r>
                <m:rPr>
                  <m:sty m:val="p"/>
                </m:rPr>
                <m:t>exp</m:t>
              </m:r>
              <m:d>
                <m:dPr>
                  <m:begChr m:val="("/>
                  <m:endChr m:val=")"/>
                  <m:sepChr m:val=""/>
                  <m:grow/>
                </m:dPr>
                <m:e>
                  <m:r>
                    <m:rPr>
                      <m:sty m:val="p"/>
                    </m:rPr>
                    <m:t>−</m:t>
                  </m:r>
                  <m:r>
                    <m:t>i</m:t>
                  </m:r>
                  <m:sSub>
                    <m:e>
                      <m:r>
                        <m:t>γ</m:t>
                      </m:r>
                    </m:e>
                    <m:sub>
                      <m:r>
                        <m:rPr>
                          <m:sty m:val="p"/>
                        </m:rPr>
                        <m:t>ℓ</m:t>
                      </m:r>
                    </m:sub>
                  </m:sSub>
                  <m:sSub>
                    <m:e>
                      <m:r>
                        <m:t>H</m:t>
                      </m:r>
                    </m:e>
                    <m:sub>
                      <m:r>
                        <m:t>C</m:t>
                      </m:r>
                    </m:sub>
                  </m:sSub>
                </m:e>
              </m:d>
            </m:e>
          </m:d>
          <m:r>
            <m:rPr>
              <m:sty m:val="p"/>
            </m:rPr>
            <m:t>+</m:t>
          </m:r>
          <m:sSup>
            <m:e>
              <m:r>
                <m:rPr>
                  <m:sty m:val="p"/>
                </m:rPr>
                <m:t>⟩</m:t>
              </m:r>
            </m:e>
            <m:sup>
              <m:r>
                <m:rPr>
                  <m:sty m:val="p"/>
                </m:rPr>
                <m:t>⊗</m:t>
              </m:r>
              <m:r>
                <m:t>n</m:t>
              </m:r>
            </m:sup>
          </m:sSup>
          <m:r>
            <m:rPr>
              <m:sty m:val="p"/>
            </m:rPr>
            <m:t>.</m:t>
          </m:r>
        </m:oMath>
      </m:oMathPara>
    </w:p>
    <w:p>
      <w:pPr>
        <w:pStyle w:val="FirstParagraph"/>
        <w:widowControl/>
      </w:pPr>
      <w:r>
        <w:t xml:space="preserve">El optimizador clásico busca parámetros que minimicen</w:t>
      </w:r>
    </w:p>
    <w:p>
      <w:pPr>
        <w:pStyle w:val="BodyText"/>
        <w:widowControl/>
        <w:spacing w:line="240" w:lineRule="auto" w:before="120" w:after="120"/>
        <w:ind w:firstLine="0" w:left="0" w:right="0"/>
        <w:jc w:val="center"/>
      </w:pPr>
      <m:oMathPara>
        <m:oMathParaPr>
          <m:jc m:val="center"/>
        </m:oMathParaPr>
        <m:oMath>
          <m:sSub>
            <m:e>
              <m:r>
                <m:t>C</m:t>
              </m:r>
            </m:e>
            <m:sub>
              <m:r>
                <m:t>p</m:t>
              </m:r>
            </m:sub>
          </m:sSub>
          <m:d>
            <m:dPr>
              <m:begChr m:val="("/>
              <m:endChr m:val=")"/>
              <m:sepChr m:val=""/>
              <m:grow/>
            </m:dPr>
            <m:e>
              <m:r>
                <m:rPr>
                  <m:sty m:val="b"/>
                </m:rPr>
                <m:t>γ</m:t>
              </m:r>
              <m:r>
                <m:rPr>
                  <m:sty m:val="p"/>
                </m:rPr>
                <m:t>,</m:t>
              </m:r>
              <m:r>
                <m:rPr>
                  <m:sty m:val="b"/>
                </m:rPr>
                <m:t>β</m:t>
              </m:r>
            </m:e>
          </m:d>
          <m:r>
            <m:rPr>
              <m:sty m:val="p"/>
            </m:rPr>
            <m:t>=</m:t>
          </m:r>
          <m:r>
            <m:rPr>
              <m:sty m:val="p"/>
            </m:rPr>
            <m:t>⟨</m:t>
          </m:r>
          <m:r>
            <m:rPr>
              <m:sty m:val="b"/>
            </m:rPr>
            <m:t>γ</m:t>
          </m:r>
          <m:r>
            <m:rPr>
              <m:sty m:val="p"/>
            </m:rPr>
            <m:t>,</m:t>
          </m:r>
          <m:r>
            <m:rPr>
              <m:sty m:val="b"/>
            </m:rPr>
            <m:t>β</m:t>
          </m:r>
          <m:d>
            <m:dPr>
              <m:begChr m:val="|"/>
              <m:endChr m:val="|"/>
              <m:sepChr m:val=""/>
              <m:grow/>
            </m:dPr>
            <m:e>
              <m:sSub>
                <m:e>
                  <m:r>
                    <m:t>H</m:t>
                  </m:r>
                </m:e>
                <m:sub>
                  <m:r>
                    <m:t>C</m:t>
                  </m:r>
                </m:sub>
              </m:sSub>
            </m:e>
          </m:d>
          <m:r>
            <m:rPr>
              <m:sty m:val="b"/>
            </m:rPr>
            <m:t>γ</m:t>
          </m:r>
          <m:r>
            <m:rPr>
              <m:sty m:val="p"/>
            </m:rPr>
            <m:t>,</m:t>
          </m:r>
          <m:r>
            <m:rPr>
              <m:sty m:val="b"/>
            </m:rPr>
            <m:t>β</m:t>
          </m:r>
          <m:r>
            <m:rPr>
              <m:sty m:val="p"/>
            </m:rPr>
            <m:t>⟩</m:t>
          </m:r>
          <m:r>
            <m:rPr>
              <m:sty m:val="p"/>
            </m:rPr>
            <m:t>.</m:t>
          </m:r>
        </m:oMath>
      </m:oMathPara>
    </w:p>
    <w:p>
      <w:pPr>
        <w:pStyle w:val="FirstParagraph"/>
        <w:widowControl/>
      </w:pPr>
      <w:r>
        <w:t xml:space="preserve">Después se mide el circuito varias veces y se obtiene una distribución de cadenas binarias. La solución puede seleccionarse por su energía, no únicamente por su frecuencia.</w:t>
      </w:r>
    </w:p>
    <w:p>
      <w:pPr>
        <w:pStyle w:val="BodyText"/>
        <w:widowControl/>
        <w:spacing w:line="240" w:lineRule="auto" w:before="120" w:after="120"/>
        <w:ind w:firstLine="0" w:left="0" w:right="0"/>
        <w:jc w:val="center"/>
      </w:pPr>
      <w:r>
        <w:t xml:space="preserve">En el TFM, el Hamiltoniano de coste se derivará del QUBO del caso pequeño. El mezclador estándar será una suma de operadores</w:t>
      </w:r>
      <w:r>
        <w:t xml:space="preserve"> </w:t>
      </w:r>
      <m:oMath>
        <m:r>
          <m:t>X</m:t>
        </m:r>
      </m:oMath>
      <w:r>
        <w:t xml:space="preserve">, salvo que se decida utilizar un mezclador que preserve restricciones. Esta última opción puede reducir soluciones inválidas, pero aumenta la complejidad del circuito y se considerará solo si el caso lo justifica.</w:t>
      </w:r>
    </w:p>
    <w:bookmarkEnd w:id="68"/>
    <w:bookmarkStart w:id="69" w:name="Xc8371d5935314cf1e844476902eb0e46a223cd3"/>
    <w:p>
      <w:pPr>
        <w:pStyle w:val="Heading3"/>
        <w:keepNext/>
        <w:keepLines/>
        <w:ind w:firstLine="0"/>
      </w:pPr>
      <w:r>
        <w:t xml:space="preserve">2.5.6. Limitaciones de QAOA y de los algoritmos variacionales</w:t>
      </w:r>
    </w:p>
    <w:p>
      <w:pPr>
        <w:pStyle w:val="FirstParagraph"/>
        <w:widowControl/>
      </w:pPr>
      <w:r>
        <w:t xml:space="preserve">QAOA requiere optimizar parámetros clásicos a partir de estimaciones obtenidas mediante medidas. El número de evaluaciones puede crecer y cada estimación tiene error estadístico. Además, el ruido limita la profundidad de los circuitos.</w:t>
      </w:r>
    </w:p>
    <w:p>
      <w:pPr>
        <w:pStyle w:val="BodyText"/>
        <w:widowControl/>
      </w:pPr>
      <w:r>
        <w:t xml:space="preserve">Los paisajes de optimización variacional pueden presentar regiones de gradientes extremadamente pequeños, conocidas como</w:t>
      </w:r>
      <w:r>
        <w:t xml:space="preserve"> </w:t>
      </w:r>
      <w:r>
        <w:rPr>
          <w:i/>
          <w:iCs/>
        </w:rPr>
        <w:t xml:space="preserve">barren plateaus</w:t>
      </w:r>
      <w:r>
        <w:t xml:space="preserve"> </w:t>
      </w:r>
      <w:r>
        <w:t xml:space="preserve">(McClean et al., 2018). Este fenómeno no afecta de la misma forma a todas las arquitecturas, pero advierte contra la suposición de que aumentar qubits y profundidad conduce automáticamente a mejores resultados.</w:t>
      </w:r>
    </w:p>
    <w:p>
      <w:pPr>
        <w:pStyle w:val="BodyText"/>
        <w:widowControl/>
        <w:spacing w:line="240" w:lineRule="auto" w:before="120" w:after="120"/>
        <w:ind w:firstLine="0" w:left="0" w:right="0"/>
        <w:jc w:val="center"/>
      </w:pPr>
      <w:r>
        <w:t xml:space="preserve">La simulación clásica de QAOA también impone límites. Un vector de estado para</w:t>
      </w:r>
      <w:r>
        <w:t xml:space="preserve"> </w:t>
      </w:r>
      <m:oMath>
        <m:r>
          <m:t>n</m:t>
        </m:r>
      </m:oMath>
      <w:r>
        <w:t xml:space="preserve"> </w:t>
      </w:r>
      <w:r>
        <w:t xml:space="preserve">qubits contiene</w:t>
      </w:r>
      <w:r>
        <w:t xml:space="preserve"> </w:t>
      </w:r>
      <m:oMath>
        <m:sSup>
          <m:e>
            <m:r>
              <m:t>2</m:t>
            </m:r>
          </m:e>
          <m:sup>
            <m:r>
              <m:t>n</m:t>
            </m:r>
          </m:sup>
        </m:sSup>
      </m:oMath>
      <w:r>
        <w:t xml:space="preserve"> </w:t>
      </w:r>
      <w:r>
        <w:t xml:space="preserve">amplitudes. Por ello, el experimento de circuitos se restringirá a instancias pequeñas y se presentará como prueba de la cadena de formulación, no como demostración de escalabilidad.</w:t>
      </w:r>
    </w:p>
    <w:bookmarkEnd w:id="69"/>
    <w:bookmarkStart w:id="70" w:name="criterios-para-una-comparación-rigurosa"/>
    <w:p>
      <w:pPr>
        <w:pStyle w:val="Heading3"/>
        <w:keepNext/>
        <w:keepLines/>
        <w:ind w:firstLine="0"/>
      </w:pPr>
      <w:r>
        <w:t xml:space="preserve">2.5.7. Criterios para una comparación rigurosa</w:t>
      </w:r>
    </w:p>
    <w:p>
      <w:pPr>
        <w:pStyle w:val="FirstParagraph"/>
        <w:widowControl/>
      </w:pPr>
      <w:r>
        <w:t xml:space="preserve">La comparación entre métodos deberá mantener, cuando sea posible, la misma función objetivo y las mismas instancias. Se distinguirán:</w:t>
      </w:r>
    </w:p>
    <w:p>
      <w:pPr>
        <w:pStyle w:val="Compact"/>
        <w:widowControl/>
        <w:numPr>
          <w:ilvl w:val="0"/>
          <w:numId w:val="1004"/>
        </w:numPr>
      </w:pPr>
      <w:r>
        <w:t xml:space="preserve">calidad de la mejor solución;</w:t>
      </w:r>
    </w:p>
    <w:p>
      <w:pPr>
        <w:pStyle w:val="Compact"/>
        <w:widowControl/>
        <w:numPr>
          <w:ilvl w:val="0"/>
          <w:numId w:val="1004"/>
        </w:numPr>
      </w:pPr>
      <w:r>
        <w:t xml:space="preserve">tasa de soluciones válidas;</w:t>
      </w:r>
    </w:p>
    <w:p>
      <w:pPr>
        <w:pStyle w:val="Compact"/>
        <w:widowControl/>
        <w:numPr>
          <w:ilvl w:val="0"/>
          <w:numId w:val="1004"/>
        </w:numPr>
      </w:pPr>
      <w:r>
        <w:t xml:space="preserve">distribución de energías;</w:t>
      </w:r>
    </w:p>
    <w:p>
      <w:pPr>
        <w:pStyle w:val="Compact"/>
        <w:widowControl/>
        <w:numPr>
          <w:ilvl w:val="0"/>
          <w:numId w:val="1004"/>
        </w:numPr>
      </w:pPr>
      <w:r>
        <w:t xml:space="preserve">número de evaluaciones;</w:t>
      </w:r>
    </w:p>
    <w:p>
      <w:pPr>
        <w:pStyle w:val="Compact"/>
        <w:widowControl/>
        <w:numPr>
          <w:ilvl w:val="0"/>
          <w:numId w:val="1004"/>
        </w:numPr>
      </w:pPr>
      <w:r>
        <w:t xml:space="preserve">tiempo de CPU o simulación;</w:t>
      </w:r>
    </w:p>
    <w:p>
      <w:pPr>
        <w:pStyle w:val="Compact"/>
        <w:widowControl/>
        <w:numPr>
          <w:ilvl w:val="0"/>
          <w:numId w:val="1004"/>
        </w:numPr>
      </w:pPr>
      <w:r>
        <w:t xml:space="preserve">recursos lógicos y físicos;</w:t>
      </w:r>
    </w:p>
    <w:p>
      <w:pPr>
        <w:pStyle w:val="Compact"/>
        <w:widowControl/>
        <w:numPr>
          <w:ilvl w:val="0"/>
          <w:numId w:val="1004"/>
        </w:numPr>
      </w:pPr>
      <w:r>
        <w:t xml:space="preserve">parámetros del algoritmo;</w:t>
      </w:r>
    </w:p>
    <w:p>
      <w:pPr>
        <w:pStyle w:val="Compact"/>
        <w:widowControl/>
        <w:numPr>
          <w:ilvl w:val="0"/>
          <w:numId w:val="1004"/>
        </w:numPr>
      </w:pPr>
      <w:r>
        <w:t xml:space="preserve">evidencia o ausencia de optimalidad.</w:t>
      </w:r>
    </w:p>
    <w:p>
      <w:pPr>
        <w:pStyle w:val="FirstParagraph"/>
        <w:widowControl/>
      </w:pPr>
      <w:r>
        <w:t xml:space="preserve">No se afirmará ventaja cuántica a partir de una comparación entre una simulación cuántica pequeña y una línea base clásica no ajustada. Una conclusión válida puede ser simplemente que una formulación se ejecuta, produce soluciones válidas o deja de ser manejable a partir de cierto tamaño.</w:t>
      </w:r>
    </w:p>
    <w:bookmarkEnd w:id="70"/>
    <w:bookmarkEnd w:id="71"/>
    <w:bookmarkStart w:id="76" w:name="Xefbc30087039f867f545702770989492d0187a2"/>
    <w:p>
      <w:pPr>
        <w:pStyle w:val="Heading2"/>
        <w:keepNext/>
        <w:keepLines/>
        <w:ind w:firstLine="0"/>
      </w:pPr>
      <w:r>
        <w:t xml:space="preserve">2.6. Computación cuántica aplicada a generación procedural</w:t>
      </w:r>
    </w:p>
    <w:bookmarkStart w:id="72" w:name="Xf8393fae9b36adcdb87a989c418e3e04900bdd7"/>
    <w:p>
      <w:pPr>
        <w:pStyle w:val="Heading3"/>
        <w:keepNext/>
        <w:keepLines/>
        <w:ind w:firstLine="0"/>
      </w:pPr>
      <w:r>
        <w:t xml:space="preserve">2.6.1. Procedimiento cuántico para generación de mapas</w:t>
      </w:r>
    </w:p>
    <w:p>
      <w:pPr>
        <w:pStyle w:val="FirstParagraph"/>
        <w:widowControl/>
      </w:pPr>
      <w:r>
        <w:t xml:space="preserve">Wootton (2020a) estudia la generación procedural de mapas geopolíticos y de una historia asociada. El procedimiento representa entidades políticas mediante qubits conectados según la topología disponible. Las medidas y operaciones se utilizan para simular decisiones e interacciones entre naciones. El trabajo está adaptado a dispositivos cuánticos cercanos y considera explícitamente las restricciones de conectividad del hardware.</w:t>
      </w:r>
    </w:p>
    <w:p>
      <w:pPr>
        <w:pStyle w:val="BodyText"/>
        <w:widowControl/>
      </w:pPr>
      <w:r>
        <w:t xml:space="preserve">Su aportación principal no es resolver un problema QUBO. Consiste en utilizar la dinámica de una red cuántica como componente generativo. El mapa emerge de un proceso simulado, mientras que en este TFM el mapa se formulará como selección de obstáculos y conectividad bajo una función de optimización.</w:t>
      </w:r>
    </w:p>
    <w:bookmarkEnd w:id="72"/>
    <w:bookmarkStart w:id="73" w:name="X7a317e004fb1e98167d6c334d778a4252c5fdca"/>
    <w:p>
      <w:pPr>
        <w:pStyle w:val="Heading3"/>
        <w:keepNext/>
        <w:keepLines/>
        <w:ind w:firstLine="0"/>
      </w:pPr>
      <w:r>
        <w:t xml:space="preserve">2.6.2. Generación procedural mediante interferencia</w:t>
      </w:r>
    </w:p>
    <w:p>
      <w:pPr>
        <w:pStyle w:val="FirstParagraph"/>
        <w:widowControl/>
      </w:pPr>
      <w:r>
        <w:t xml:space="preserve">Wootton (2020b) propone una generalización cuántica de un proceso de desenfoque. La interferencia modifica el patrón producido y genera un efecto que no coincide con una aplicación clásica directa del mismo procedimiento. El artículo defiende que los simuladores, marcos de programación y dispositivos prototipo ya permiten experimentar con PCG cuántica.</w:t>
      </w:r>
    </w:p>
    <w:p>
      <w:pPr>
        <w:pStyle w:val="BodyText"/>
        <w:widowControl/>
      </w:pPr>
      <w:r>
        <w:t xml:space="preserve">Este trabajo es relevante porque muestra una actitud metodológica prudente: se presenta como prueba de concepto y no como demostración de ventaja. También diferencia entre utilidad creativa y aceleración computacional. Un procedimiento cuántico puede resultar interesante por el tipo de patrones que produce, aunque no sea más rápido.</w:t>
      </w:r>
    </w:p>
    <w:bookmarkEnd w:id="73"/>
    <w:bookmarkStart w:id="74" w:name="diferencia-respecto-al-enfoque-del-tfm"/>
    <w:p>
      <w:pPr>
        <w:pStyle w:val="Heading3"/>
        <w:keepNext/>
        <w:keepLines/>
        <w:ind w:firstLine="0"/>
      </w:pPr>
      <w:r>
        <w:t xml:space="preserve">2.6.3. Diferencia respecto al enfoque del TFM</w:t>
      </w:r>
    </w:p>
    <w:p>
      <w:pPr>
        <w:pStyle w:val="FirstParagraph"/>
        <w:widowControl/>
      </w:pPr>
      <w:r>
        <w:t xml:space="preserve">El presente TFM se diferencia de estos antecedentes en cuatro aspectos. Primero, utiliza QUBO como representación común. Segundo, compara métodos clásicos, annealing y circuitos sobre los mismos casos. Tercero, estudia una progresión desde restricciones locales hasta conectividad global. Cuarto, incorpora Blender como capa de visualización tridimensional.</w:t>
      </w:r>
    </w:p>
    <w:p>
      <w:pPr>
        <w:pStyle w:val="BodyText"/>
        <w:widowControl/>
      </w:pPr>
      <w:r>
        <w:t xml:space="preserve">La contribución no reside en inventar un nuevo efecto cuántico generativo, sino en analizar el proceso de modelado: qué variables se necesitan, qué penalizaciones aparecen, cuánto crece el problema y qué métodos pueden resolverlo.</w:t>
      </w:r>
    </w:p>
    <w:bookmarkEnd w:id="74"/>
    <w:bookmarkStart w:id="75" w:name="estado-exploratorio-del-área"/>
    <w:p>
      <w:pPr>
        <w:pStyle w:val="Heading3"/>
        <w:keepNext/>
        <w:keepLines/>
        <w:ind w:firstLine="0"/>
      </w:pPr>
      <w:r>
        <w:t xml:space="preserve">2.6.4. Estado exploratorio del área</w:t>
      </w:r>
    </w:p>
    <w:p>
      <w:pPr>
        <w:pStyle w:val="FirstParagraph"/>
        <w:widowControl/>
      </w:pPr>
      <w:r>
        <w:t xml:space="preserve">Los antecedentes directos de PCG cuántica siguen siendo escasos en comparación con la literatura clásica de generación procedural. Esta escasez obliga a evitar afirmaciones fuertes sobre un</w:t>
      </w:r>
      <w:r>
        <w:t xml:space="preserve"> </w:t>
      </w:r>
      <w:r>
        <w:t xml:space="preserve">“</w:t>
      </w:r>
      <w:r>
        <w:t xml:space="preserve">estado consolidado</w:t>
      </w:r>
      <w:r>
        <w:t xml:space="preserve">”</w:t>
      </w:r>
      <w:r>
        <w:t xml:space="preserve"> </w:t>
      </w:r>
      <w:r>
        <w:t xml:space="preserve">de la disciplina. El marco teórico del TFM deberá construirse combinando tres áreas que sí cuentan con literatura amplia: PCG basada en búsqueda y restricciones, formulación QUBO y optimización cuántica.</w:t>
      </w:r>
    </w:p>
    <w:p>
      <w:pPr>
        <w:pStyle w:val="BodyText"/>
        <w:widowControl/>
      </w:pPr>
      <w:r>
        <w:t xml:space="preserve">La intersección de estas áreas constituye una oportunidad de estudio, pero también un riesgo metodológico. Es fácil presentar una aplicación visual de un algoritmo cuántico sin demostrar que el problema está bien formulado o que la comparación es significativa. Por ello, el trabajo priorizará la verificación de las formulaciones y la transparencia sobre los recursos utilizados.</w:t>
      </w:r>
    </w:p>
    <w:bookmarkEnd w:id="75"/>
    <w:bookmarkEnd w:id="76"/>
    <w:bookmarkStart w:id="77" w:name="Xbefdf721351c6a86556834491f083a72cdd3fba"/>
    <w:p>
      <w:pPr>
        <w:pStyle w:val="Heading2"/>
        <w:keepNext/>
        <w:keepLines/>
        <w:ind w:firstLine="0"/>
      </w:pPr>
      <w:r>
        <w:t xml:space="preserve">2.7. Síntesis del estado del arte y oportunidad de investigación</w:t>
      </w:r>
    </w:p>
    <w:p>
      <w:pPr>
        <w:pStyle w:val="FirstParagraph"/>
        <w:widowControl/>
      </w:pPr>
      <w:r>
        <w:t xml:space="preserve">La literatura de generación procedural muestra que el contenido funcional requiere representación, control y garantías de validez. Los métodos constructivos pueden incorporar propiedades por diseño; la generación basada en búsqueda permite optimizar funciones de calidad; los solucionadores expresan restricciones; y los algoritmos de recorrido validan conectividad. En plataformas y mapas, la alcanzabilidad no puede darse por supuesta.</w:t>
      </w:r>
    </w:p>
    <w:p>
      <w:pPr>
        <w:pStyle w:val="BodyText"/>
        <w:widowControl/>
      </w:pPr>
      <w:r>
        <w:t xml:space="preserve">QUBO ofrece un marco uniforme para decisiones binarias y es compatible con simulated annealing, quantum annealing y Hamiltonianos de coste para QAOA. Su principal dificultad no es la expresión de una función cuadrática básica, sino la traducción de restricciones y el crecimiento de variables auxiliares. La conectividad global representa un caso especialmente exigente.</w:t>
      </w:r>
    </w:p>
    <w:p>
      <w:pPr>
        <w:pStyle w:val="BodyText"/>
        <w:widowControl/>
      </w:pPr>
      <w:r>
        <w:t xml:space="preserve">Los métodos cuánticos actuales deben interpretarse en su contexto. Quantum annealing busca estados de baja energía en un sistema analógico, mientras que QAOA utiliza circuitos parametrizados y optimización clásica. Ambos están sujetos a limitaciones de recursos y no garantizan ventaja sobre métodos clásicos. Las simulaciones son útiles para verificar la cadena de formulación, pero no sustituyen una evaluación de hardware ni justifican afirmaciones de escalabilidad.</w:t>
      </w:r>
    </w:p>
    <w:p>
      <w:pPr>
        <w:pStyle w:val="BodyText"/>
        <w:widowControl/>
      </w:pPr>
      <w:r>
        <w:t xml:space="preserve">Los trabajos de Wootton demuestran que es posible explorar la generación procedural mediante recursos cuánticos, pero emplean procedimientos diferentes al enfoque QUBO de este TFM. No se ha identificado en la literatura revisada un estudio que compare, dentro de una misma metodología, tres casos espaciales de complejidad creciente, formulaciones QUBO, líneas base clásicas, annealing, un circuito pequeño y visualización tridimensional.</w:t>
      </w:r>
    </w:p>
    <w:p>
      <w:pPr>
        <w:pStyle w:val="BodyText"/>
        <w:widowControl/>
      </w:pPr>
      <w:r>
        <w:t xml:space="preserve">La oportunidad de investigación puede formularse de manera prudente: estudiar cómo se comporta una representación QUBO común cuando el contenido pasa de la selección local de objetos a una secuencia alcanzable y finalmente a una propiedad global de conectividad. La contribución esperada será principalmente metodológica y experimental: formulaciones reproducibles, comparación de enfoques, análisis del crecimiento del modelo y visualización automática de soluciones.</w:t>
      </w:r>
    </w:p>
    <w:bookmarkEnd w:id="77"/>
    <w:bookmarkEnd w:id="78"/>
    <w:bookmarkStart w:id="79" w:name="referencias"/>
    <w:p>
      <w:pPr>
        <w:pStyle w:val="Heading1"/>
        <w:keepNext/>
        <w:keepLines/>
        <w:ind w:firstLine="0"/>
      </w:pPr>
      <w:r>
        <w:t xml:space="preserve">Referencias</w:t>
      </w:r>
    </w:p>
    <w:p>
      <w:pPr>
        <w:pStyle w:val="FirstParagraph"/>
        <w:widowControl/>
        <w:spacing w:line="276" w:lineRule="auto" w:after="120"/>
        <w:ind w:left="709" w:hanging="709"/>
        <w:jc w:val="left"/>
      </w:pPr>
      <w:r>
        <w:t xml:space="preserve">Albash, T., &amp; Lidar, D. A. (2018). Adiabatic quantum computation.</w:t>
      </w:r>
      <w:r>
        <w:t xml:space="preserve"> </w:t>
      </w:r>
      <w:r>
        <w:rPr>
          <w:i/>
          <w:iCs/>
        </w:rPr>
        <w:t xml:space="preserve">Reviews of Modern Physics, 90</w:t>
      </w:r>
      <w:r>
        <w:t xml:space="preserve">(1), 015002. https://doi.org/10.1103/RevModPhys.90.015002</w:t>
      </w:r>
    </w:p>
    <w:p>
      <w:pPr>
        <w:pStyle w:val="BodyText"/>
        <w:widowControl/>
        <w:spacing w:line="276" w:lineRule="auto" w:after="120"/>
        <w:ind w:left="709" w:hanging="709"/>
        <w:jc w:val="left"/>
      </w:pPr>
      <w:r>
        <w:t xml:space="preserve">Cerezo, M., Arrasmith, A., Babbush, R., Benjamin, S. C., Endo, S., Fujii, K., McClean, J. R., Mitarai, K., Yuan, X., Cincio, L., &amp; Coles, P. J. (2021). Variational quantum algorithms.</w:t>
      </w:r>
      <w:r>
        <w:t xml:space="preserve"> </w:t>
      </w:r>
      <w:r>
        <w:rPr>
          <w:i/>
          <w:iCs/>
        </w:rPr>
        <w:t xml:space="preserve">Nature Reviews Physics, 3</w:t>
      </w:r>
      <w:r>
        <w:t xml:space="preserve">, 625–644. https://doi.org/10.1038/s42254-021-00348-9</w:t>
      </w:r>
    </w:p>
    <w:p>
      <w:pPr>
        <w:pStyle w:val="BodyText"/>
        <w:widowControl/>
        <w:spacing w:line="276" w:lineRule="auto" w:after="120"/>
        <w:ind w:left="709" w:hanging="709"/>
        <w:jc w:val="left"/>
      </w:pPr>
      <w:r>
        <w:t xml:space="preserve">Compton, K., &amp; Mateas, M. (2006). Procedural level design for platform games.</w:t>
      </w:r>
      <w:r>
        <w:t xml:space="preserve"> </w:t>
      </w:r>
      <w:r>
        <w:rPr>
          <w:i/>
          <w:iCs/>
        </w:rPr>
        <w:t xml:space="preserve">Proceedings of the AAAI Conference on Artificial Intelligence and Interactive Digital Entertainment, 2</w:t>
      </w:r>
      <w:r>
        <w:t xml:space="preserve">(1), 109–111.</w:t>
      </w:r>
    </w:p>
    <w:p>
      <w:pPr>
        <w:pStyle w:val="BodyText"/>
        <w:widowControl/>
        <w:spacing w:line="276" w:lineRule="auto" w:after="120"/>
        <w:ind w:left="709" w:hanging="709"/>
        <w:jc w:val="left"/>
      </w:pPr>
      <w:r>
        <w:t xml:space="preserve">Cooper, S. (2022). Sturgeon: Tile-based procedural level generation via learned and designed constraints.</w:t>
      </w:r>
      <w:r>
        <w:t xml:space="preserve"> </w:t>
      </w:r>
      <w:r>
        <w:rPr>
          <w:i/>
          <w:iCs/>
        </w:rPr>
        <w:t xml:space="preserve">Proceedings of the AAAI Conference on Artificial Intelligence and Interactive Digital Entertainment, 18</w:t>
      </w:r>
      <w:r>
        <w:t xml:space="preserve">(1), 26–36. https://doi.org/10.1609/aiide.v18i1.21944</w:t>
      </w:r>
    </w:p>
    <w:p>
      <w:pPr>
        <w:pStyle w:val="BodyText"/>
        <w:widowControl/>
        <w:spacing w:line="276" w:lineRule="auto" w:after="120"/>
        <w:ind w:left="709" w:hanging="709"/>
        <w:jc w:val="left"/>
      </w:pPr>
      <w:r>
        <w:t xml:space="preserve">Das, A., &amp; Chakrabarti, B. K. (2008). Colloquium: Quantum annealing and analog quantum computation.</w:t>
      </w:r>
      <w:r>
        <w:t xml:space="preserve"> </w:t>
      </w:r>
      <w:r>
        <w:rPr>
          <w:i/>
          <w:iCs/>
        </w:rPr>
        <w:t xml:space="preserve">Reviews of Modern Physics, 80</w:t>
      </w:r>
      <w:r>
        <w:t xml:space="preserve">(3), 1061–1081. https://doi.org/10.1103/RevModPhys.80.1061</w:t>
      </w:r>
    </w:p>
    <w:p>
      <w:pPr>
        <w:pStyle w:val="BodyText"/>
        <w:widowControl/>
        <w:spacing w:line="276" w:lineRule="auto" w:after="120"/>
        <w:ind w:left="709" w:hanging="709"/>
        <w:jc w:val="left"/>
      </w:pPr>
      <w:r>
        <w:t xml:space="preserve">Dijkstra, E. W. (1959). A note on two problems in connexion with graphs.</w:t>
      </w:r>
      <w:r>
        <w:t xml:space="preserve"> </w:t>
      </w:r>
      <w:r>
        <w:rPr>
          <w:i/>
          <w:iCs/>
        </w:rPr>
        <w:t xml:space="preserve">Numerische Mathematik, 1</w:t>
      </w:r>
      <w:r>
        <w:t xml:space="preserve">, 269–271. https://doi.org/10.1007/BF01386390</w:t>
      </w:r>
    </w:p>
    <w:p>
      <w:pPr>
        <w:pStyle w:val="BodyText"/>
        <w:widowControl/>
        <w:spacing w:line="276" w:lineRule="auto" w:after="120"/>
        <w:ind w:left="709" w:hanging="709"/>
        <w:jc w:val="left"/>
      </w:pPr>
      <w:r>
        <w:t xml:space="preserve">Farhi, E., Goldstone, J., &amp; Gutmann, S. (2014).</w:t>
      </w:r>
      <w:r>
        <w:t xml:space="preserve"> </w:t>
      </w:r>
      <w:r>
        <w:rPr>
          <w:i/>
          <w:iCs/>
        </w:rPr>
        <w:t xml:space="preserve">A quantum approximate optimization algorithm</w:t>
      </w:r>
      <w:r>
        <w:t xml:space="preserve"> </w:t>
      </w:r>
      <w:r>
        <w:t xml:space="preserve">[Preprint]. arXiv. https://doi.org/10.48550/arXiv.1411.4028</w:t>
      </w:r>
    </w:p>
    <w:p>
      <w:pPr>
        <w:pStyle w:val="BodyText"/>
        <w:widowControl/>
        <w:spacing w:line="276" w:lineRule="auto" w:after="120"/>
        <w:ind w:left="709" w:hanging="709"/>
        <w:jc w:val="left"/>
      </w:pPr>
      <w:r>
        <w:t xml:space="preserve">Glover, F., Kochenberger, G., &amp; Du, Y. (2019). Quantum Bridge Analytics I: A tutorial on formulating and using QUBO models.</w:t>
      </w:r>
      <w:r>
        <w:t xml:space="preserve"> </w:t>
      </w:r>
      <w:r>
        <w:rPr>
          <w:i/>
          <w:iCs/>
        </w:rPr>
        <w:t xml:space="preserve">4OR, 17</w:t>
      </w:r>
      <w:r>
        <w:t xml:space="preserve">(4), 335–371. https://doi.org/10.1007/s10288-019-00424-y</w:t>
      </w:r>
    </w:p>
    <w:p>
      <w:pPr>
        <w:pStyle w:val="BodyText"/>
        <w:widowControl/>
        <w:spacing w:line="276" w:lineRule="auto" w:after="120"/>
        <w:ind w:left="709" w:hanging="709"/>
        <w:jc w:val="left"/>
      </w:pPr>
      <w:r>
        <w:t xml:space="preserve">Google. (2024).</w:t>
      </w:r>
      <w:r>
        <w:t xml:space="preserve"> </w:t>
      </w:r>
      <w:r>
        <w:rPr>
          <w:i/>
          <w:iCs/>
        </w:rPr>
        <w:t xml:space="preserve">CP-SAT solver</w:t>
      </w:r>
      <w:r>
        <w:t xml:space="preserve">. OR-Tools. https://developers.google.com/optimization/cp/cp_solver</w:t>
      </w:r>
    </w:p>
    <w:p>
      <w:pPr>
        <w:pStyle w:val="BodyText"/>
        <w:widowControl/>
        <w:spacing w:line="276" w:lineRule="auto" w:after="120"/>
        <w:ind w:left="709" w:hanging="709"/>
        <w:jc w:val="left"/>
      </w:pPr>
      <w:r>
        <w:t xml:space="preserve">Hart, P. E., Nilsson, N. J., &amp; Raphael, B. (1968). A formal basis for the heuristic determination of minimum cost paths.</w:t>
      </w:r>
      <w:r>
        <w:t xml:space="preserve"> </w:t>
      </w:r>
      <w:r>
        <w:rPr>
          <w:i/>
          <w:iCs/>
        </w:rPr>
        <w:t xml:space="preserve">IEEE Transactions on Systems Science and Cybernetics, 4</w:t>
      </w:r>
      <w:r>
        <w:t xml:space="preserve">(2), 100–107. https://doi.org/10.1109/TSSC.1968.300136</w:t>
      </w:r>
    </w:p>
    <w:p>
      <w:pPr>
        <w:pStyle w:val="BodyText"/>
        <w:widowControl/>
        <w:spacing w:line="276" w:lineRule="auto" w:after="120"/>
        <w:ind w:left="709" w:hanging="709"/>
        <w:jc w:val="left"/>
      </w:pPr>
      <w:r>
        <w:t xml:space="preserve">Hendrikx, M., Meijer, S., Van Der Velden, J., &amp; Iosup, A. (2013). Procedural content generation for games: A survey.</w:t>
      </w:r>
      <w:r>
        <w:t xml:space="preserve"> </w:t>
      </w:r>
      <w:r>
        <w:rPr>
          <w:i/>
          <w:iCs/>
        </w:rPr>
        <w:t xml:space="preserve">ACM Transactions on Multimedia Computing, Communications, and Applications, 9</w:t>
      </w:r>
      <w:r>
        <w:t xml:space="preserve">(1), Article 1. https://doi.org/10.1145/2422956.2422957</w:t>
      </w:r>
    </w:p>
    <w:p>
      <w:pPr>
        <w:pStyle w:val="BodyText"/>
        <w:widowControl/>
        <w:spacing w:line="276" w:lineRule="auto" w:after="120"/>
        <w:ind w:left="709" w:hanging="709"/>
        <w:jc w:val="left"/>
      </w:pPr>
      <w:r>
        <w:t xml:space="preserve">Kadowaki, T., &amp; Nishimori, H. (1998). Quantum annealing in the transverse Ising model.</w:t>
      </w:r>
      <w:r>
        <w:t xml:space="preserve"> </w:t>
      </w:r>
      <w:r>
        <w:rPr>
          <w:i/>
          <w:iCs/>
        </w:rPr>
        <w:t xml:space="preserve">Physical Review E, 58</w:t>
      </w:r>
      <w:r>
        <w:t xml:space="preserve">(5), 5355–5363. https://doi.org/10.1103/PhysRevE.58.5355</w:t>
      </w:r>
    </w:p>
    <w:p>
      <w:pPr>
        <w:pStyle w:val="BodyText"/>
        <w:widowControl/>
        <w:spacing w:line="276" w:lineRule="auto" w:after="120"/>
        <w:ind w:left="709" w:hanging="709"/>
        <w:jc w:val="left"/>
      </w:pPr>
      <w:r>
        <w:t xml:space="preserve">Kirkpatrick, S., Gelatt, C. D., Jr., &amp; Vecchi, M. P. (1983). Optimization by simulated annealing.</w:t>
      </w:r>
      <w:r>
        <w:t xml:space="preserve"> </w:t>
      </w:r>
      <w:r>
        <w:rPr>
          <w:i/>
          <w:iCs/>
        </w:rPr>
        <w:t xml:space="preserve">Science, 220</w:t>
      </w:r>
      <w:r>
        <w:t xml:space="preserve">(4598), 671–680. https://doi.org/10.1126/science.220.4598.671</w:t>
      </w:r>
    </w:p>
    <w:p>
      <w:pPr>
        <w:pStyle w:val="BodyText"/>
        <w:widowControl/>
        <w:spacing w:line="276" w:lineRule="auto" w:after="120"/>
        <w:ind w:left="709" w:hanging="709"/>
        <w:jc w:val="left"/>
      </w:pPr>
      <w:r>
        <w:t xml:space="preserve">Lee, V., Partlan, N., &amp; Cooper, S. (2020). Precomputing player movement in platformers for level generation with reachability constraints. In</w:t>
      </w:r>
      <w:r>
        <w:t xml:space="preserve"> </w:t>
      </w:r>
      <w:r>
        <w:rPr>
          <w:i/>
          <w:iCs/>
        </w:rPr>
        <w:t xml:space="preserve">Proceedings of the Experimental AI in Games Workshop at AIIDE 2020</w:t>
      </w:r>
      <w:r>
        <w:t xml:space="preserve">. CEUR Workshop Proceedings, 2862. https://ceur-ws.org/Vol-2862/paper13.pdf</w:t>
      </w:r>
    </w:p>
    <w:p>
      <w:pPr>
        <w:pStyle w:val="BodyText"/>
        <w:widowControl/>
        <w:spacing w:line="276" w:lineRule="auto" w:after="120"/>
        <w:ind w:left="709" w:hanging="709"/>
        <w:jc w:val="left"/>
      </w:pPr>
      <w:r>
        <w:t xml:space="preserve">Lucas, A. (2014). Ising formulations of many NP problems.</w:t>
      </w:r>
      <w:r>
        <w:t xml:space="preserve"> </w:t>
      </w:r>
      <w:r>
        <w:rPr>
          <w:i/>
          <w:iCs/>
        </w:rPr>
        <w:t xml:space="preserve">Frontiers in Physics, 2</w:t>
      </w:r>
      <w:r>
        <w:t xml:space="preserve">, Article 5. https://doi.org/10.3389/fphy.2014.00005</w:t>
      </w:r>
    </w:p>
    <w:p>
      <w:pPr>
        <w:pStyle w:val="BodyText"/>
        <w:widowControl/>
        <w:spacing w:line="276" w:lineRule="auto" w:after="120"/>
        <w:ind w:left="709" w:hanging="709"/>
        <w:jc w:val="left"/>
      </w:pPr>
      <w:r>
        <w:t xml:space="preserve">McClean, J. R., Boixo, S., Smelyanskiy, V. N., Babbush, R., &amp; Neven, H. (2018). Barren plateaus in quantum neural network training landscapes.</w:t>
      </w:r>
      <w:r>
        <w:t xml:space="preserve"> </w:t>
      </w:r>
      <w:r>
        <w:rPr>
          <w:i/>
          <w:iCs/>
        </w:rPr>
        <w:t xml:space="preserve">Nature Communications, 9</w:t>
      </w:r>
      <w:r>
        <w:t xml:space="preserve">, Article 4812. https://doi.org/10.1038/s41467-018-07090-4</w:t>
      </w:r>
    </w:p>
    <w:p>
      <w:pPr>
        <w:pStyle w:val="BodyText"/>
        <w:widowControl/>
        <w:spacing w:line="276" w:lineRule="auto" w:after="120"/>
        <w:ind w:left="709" w:hanging="709"/>
        <w:jc w:val="left"/>
      </w:pPr>
      <w:r>
        <w:t xml:space="preserve">Preskill, J. (2018). Quantum computing in the NISQ era and beyond.</w:t>
      </w:r>
      <w:r>
        <w:t xml:space="preserve"> </w:t>
      </w:r>
      <w:r>
        <w:rPr>
          <w:i/>
          <w:iCs/>
        </w:rPr>
        <w:t xml:space="preserve">Quantum, 2</w:t>
      </w:r>
      <w:r>
        <w:t xml:space="preserve">, Article 79. https://doi.org/10.22331/q-2018-08-06-79</w:t>
      </w:r>
    </w:p>
    <w:p>
      <w:pPr>
        <w:pStyle w:val="BodyText"/>
        <w:widowControl/>
        <w:spacing w:line="276" w:lineRule="auto" w:after="120"/>
        <w:ind w:left="709" w:hanging="709"/>
        <w:jc w:val="left"/>
      </w:pPr>
      <w:r>
        <w:t xml:space="preserve">Smith, G., Cha, M., &amp; Whitehead, J. (2008). A framework for analysis of 2D platformer levels. In</w:t>
      </w:r>
      <w:r>
        <w:t xml:space="preserve"> </w:t>
      </w:r>
      <w:r>
        <w:rPr>
          <w:i/>
          <w:iCs/>
        </w:rPr>
        <w:t xml:space="preserve">Proceedings of the 2008 ACM SIGGRAPH Symposium on Video Games</w:t>
      </w:r>
      <w:r>
        <w:t xml:space="preserve"> </w:t>
      </w:r>
      <w:r>
        <w:t xml:space="preserve">(pp. 75–80). Association for Computing Machinery. https://doi.org/10.1145/1401843.1401858</w:t>
      </w:r>
    </w:p>
    <w:p>
      <w:pPr>
        <w:pStyle w:val="BodyText"/>
        <w:widowControl/>
        <w:spacing w:line="276" w:lineRule="auto" w:after="120"/>
        <w:ind w:left="709" w:hanging="709"/>
        <w:jc w:val="left"/>
      </w:pPr>
      <w:r>
        <w:t xml:space="preserve">Smith, G., Whitehead, J., &amp; Mateas, M. (2011). Tanagra: Reactive planning and constraint solving for mixed-initiative level design.</w:t>
      </w:r>
      <w:r>
        <w:t xml:space="preserve"> </w:t>
      </w:r>
      <w:r>
        <w:rPr>
          <w:i/>
          <w:iCs/>
        </w:rPr>
        <w:t xml:space="preserve">IEEE Transactions on Computational Intelligence and AI in Games, 3</w:t>
      </w:r>
      <w:r>
        <w:t xml:space="preserve">(3), 201–215. https://doi.org/10.1109/TCIAIG.2011.2159716</w:t>
      </w:r>
    </w:p>
    <w:p>
      <w:pPr>
        <w:pStyle w:val="BodyText"/>
        <w:widowControl/>
        <w:spacing w:line="276" w:lineRule="auto" w:after="120"/>
        <w:ind w:left="709" w:hanging="709"/>
        <w:jc w:val="left"/>
      </w:pPr>
      <w:r>
        <w:t xml:space="preserve">Summerville, A., Snodgrass, S., Guzdial, M., Holmgård, C., Hoover, A. K., Isaksen, A., Nealen, A., &amp; Togelius, J. (2018). Procedural content generation via machine learning (PCGML).</w:t>
      </w:r>
      <w:r>
        <w:t xml:space="preserve"> </w:t>
      </w:r>
      <w:r>
        <w:rPr>
          <w:i/>
          <w:iCs/>
        </w:rPr>
        <w:t xml:space="preserve">IEEE Transactions on Games, 10</w:t>
      </w:r>
      <w:r>
        <w:t xml:space="preserve">(3), 257–270. https://doi.org/10.1109/TG.2018.2846639</w:t>
      </w:r>
    </w:p>
    <w:p>
      <w:pPr>
        <w:pStyle w:val="BodyText"/>
        <w:widowControl/>
        <w:spacing w:line="276" w:lineRule="auto" w:after="120"/>
        <w:ind w:left="709" w:hanging="709"/>
        <w:jc w:val="left"/>
      </w:pPr>
      <w:r>
        <w:t xml:space="preserve">Togelius, J., Yannakakis, G. N., Stanley, K. O., &amp; Browne, C. (2011). Search-based procedural content generation: A taxonomy and survey.</w:t>
      </w:r>
      <w:r>
        <w:t xml:space="preserve"> </w:t>
      </w:r>
      <w:r>
        <w:rPr>
          <w:i/>
          <w:iCs/>
        </w:rPr>
        <w:t xml:space="preserve">IEEE Transactions on Computational Intelligence and AI in Games, 3</w:t>
      </w:r>
      <w:r>
        <w:t xml:space="preserve">(3), 172–186. https://doi.org/10.1109/TCIAIG.2011.2148116</w:t>
      </w:r>
    </w:p>
    <w:p>
      <w:pPr>
        <w:pStyle w:val="BodyText"/>
        <w:widowControl/>
        <w:spacing w:line="276" w:lineRule="auto" w:after="120"/>
        <w:ind w:left="709" w:hanging="709"/>
        <w:jc w:val="left"/>
      </w:pPr>
      <w:r>
        <w:t xml:space="preserve">Wootton, J. R. (2020a). A quantum procedure for map generation. In</w:t>
      </w:r>
      <w:r>
        <w:t xml:space="preserve"> </w:t>
      </w:r>
      <w:r>
        <w:rPr>
          <w:i/>
          <w:iCs/>
        </w:rPr>
        <w:t xml:space="preserve">2020 IEEE Conference on Games</w:t>
      </w:r>
      <w:r>
        <w:t xml:space="preserve"> </w:t>
      </w:r>
      <w:r>
        <w:t xml:space="preserve">(pp. 73–80). IEEE. https://doi.org/10.1109/CoG47356.2020.9231571</w:t>
      </w:r>
    </w:p>
    <w:p>
      <w:pPr>
        <w:pStyle w:val="BodyText"/>
        <w:widowControl/>
        <w:spacing w:line="276" w:lineRule="auto" w:after="120"/>
        <w:ind w:left="709" w:hanging="709"/>
        <w:jc w:val="left"/>
      </w:pPr>
      <w:r>
        <w:t xml:space="preserve">Wootton, J. R. (2020b). Procedural generation using quantum computation. In</w:t>
      </w:r>
      <w:r>
        <w:t xml:space="preserve"> </w:t>
      </w:r>
      <w:r>
        <w:rPr>
          <w:i/>
          <w:iCs/>
        </w:rPr>
        <w:t xml:space="preserve">Proceedings of the 15th International Conference on the Foundations of Digital Games</w:t>
      </w:r>
      <w:r>
        <w:t xml:space="preserve"> </w:t>
      </w:r>
      <w:r>
        <w:t xml:space="preserve">(Article 73, pp. 1–8). Association for Computing Machinery. https://doi.org/10.1145/3402942.3409600</w:t>
      </w:r>
    </w:p>
    <w:bookmarkEnd w:id="79"/>
    <w:bookmarkStart w:id="80" w:name="X2316c4ed4b5dc3ed9d4165d859dea54d05fdf8d"/>
    <w:p>
      <w:pPr>
        <w:pStyle w:val="Heading1"/>
        <w:keepNext/>
        <w:keepLines/>
        <w:ind w:firstLine="0"/>
      </w:pPr>
      <w:r>
        <w:t xml:space="preserve">Puntos pendientes para la siguiente revisión</w:t>
      </w:r>
    </w:p>
    <w:p>
      <w:pPr>
        <w:pStyle w:val="Compact"/>
        <w:widowControl/>
        <w:numPr>
          <w:ilvl w:val="0"/>
          <w:numId w:val="1005"/>
        </w:numPr>
      </w:pPr>
      <w:r>
        <w:t xml:space="preserve">Cerrar la función objetivo concreta del caso de monedas: dispersión, cobertura del recorrido o puntuación por zonas.</w:t>
      </w:r>
    </w:p>
    <w:p>
      <w:pPr>
        <w:pStyle w:val="Compact"/>
        <w:widowControl/>
        <w:numPr>
          <w:ilvl w:val="0"/>
          <w:numId w:val="1005"/>
        </w:numPr>
      </w:pPr>
      <w:r>
        <w:t xml:space="preserve">Definir el modelo de salto de plataformas y decidir si se seleccionarán nodos, aristas o ambos.</w:t>
      </w:r>
    </w:p>
    <w:p>
      <w:pPr>
        <w:pStyle w:val="Compact"/>
        <w:widowControl/>
        <w:numPr>
          <w:ilvl w:val="0"/>
          <w:numId w:val="1005"/>
        </w:numPr>
      </w:pPr>
      <w:r>
        <w:t xml:space="preserve">Probar dos formulaciones del mapa: flujo conjunto y generación con validación externa.</w:t>
      </w:r>
    </w:p>
    <w:p>
      <w:pPr>
        <w:pStyle w:val="Compact"/>
        <w:widowControl/>
        <w:numPr>
          <w:ilvl w:val="0"/>
          <w:numId w:val="1005"/>
        </w:numPr>
      </w:pPr>
      <w:r>
        <w:t xml:space="preserve">Seleccionar la pila de implementación: solucionador exacto, biblioteca QUBO, simulated annealing, simulador de circuitos y versión de Blender.</w:t>
      </w:r>
    </w:p>
    <w:p>
      <w:pPr>
        <w:pStyle w:val="Compact"/>
        <w:widowControl/>
        <w:numPr>
          <w:ilvl w:val="0"/>
          <w:numId w:val="1005"/>
        </w:numPr>
      </w:pPr>
      <w:r>
        <w:t xml:space="preserve">Construir instancias mínimas y verificar mediante enumeración todas las penalizaciones antes de redactar el capítulo 3 como definitivo.</w:t>
      </w:r>
    </w:p>
    <w:p>
      <w:pPr>
        <w:pStyle w:val="Compact"/>
        <w:widowControl/>
        <w:numPr>
          <w:ilvl w:val="0"/>
          <w:numId w:val="1005"/>
        </w:numPr>
      </w:pPr>
      <w:r>
        <w:t xml:space="preserve">Revisar con el tutor si el título provisional y el alcance de QAOA reflejan correctamente la contribución esperada.</w:t>
      </w:r>
    </w:p>
    <w:bookmarkEnd w:id="80"/>
    <w:sectPr w:rsidR="00FC693F" w:rsidRPr="0006063C" w:rsidSect="00034616">
      <w:footerReference r:id="rId9" w:type="default"/>
      <w:footerReference w:type="first" r:id="rId10"/>
      <w:pgSz w:h="16838" w:w="11906"/>
      <w:pgMar w:bottom="1417" w:footer="680" w:gutter="0" w:header="680" w:left="1701" w:right="1417" w:top="141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s-E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0" w:line="360" w:lineRule="auto"/>
      <w:ind w:firstLine="709"/>
      <w:jc w:val="both"/>
    </w:pPr>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360"/>
      <w:ind w:firstLine="0"/>
      <w:outlineLvl w:val="0"/>
    </w:pPr>
    <w:rPr>
      <w:rFonts w:ascii="Times New Roman" w:asciiTheme="majorHAnsi" w:cstheme="majorBidi" w:eastAsia="Times New Roman" w:eastAsiaTheme="majorEastAsia" w:hAnsi="Times New Roman"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160" w:before="280"/>
      <w:ind w:firstLine="0"/>
      <w:outlineLvl w:val="1"/>
    </w:pPr>
    <w:rPr>
      <w:rFonts w:ascii="Times New Roman" w:asciiTheme="majorHAnsi" w:cstheme="majorBidi" w:eastAsia="Times New Roman" w:eastAsiaTheme="majorEastAsia" w:hAnsi="Times New Roman"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120" w:before="240"/>
      <w:ind w:firstLine="0"/>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60" w:before="0" w:line="240" w:lineRule="auto"/>
      <w:ind w:firstLine="0"/>
      <w:contextualSpacing/>
      <w:jc w:val="center"/>
    </w:pPr>
    <w:rPr>
      <w:rFonts w:ascii="Times New Roman" w:asciiTheme="majorHAnsi" w:cstheme="majorBidi" w:eastAsia="Times New Roman" w:eastAsiaTheme="majorEastAsia" w:hAnsi="Times New Roman" w:hAnsiTheme="majorHAnsi"/>
      <w:b/>
      <w:color w:themeColor="text2" w:themeShade="BF" w:val="17365D"/>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360" w:before="0"/>
      <w:ind w:firstLine="0"/>
      <w:jc w:val="center"/>
    </w:pPr>
    <w:rPr>
      <w:rFonts w:ascii="Times New Roman" w:asciiTheme="majorHAnsi" w:cstheme="majorBidi" w:eastAsia="Times New Roman" w:eastAsiaTheme="majorEastAsia" w:hAnsi="Times New Roman" w:hAnsiTheme="majorHAnsi"/>
      <w:b w:val="0"/>
      <w:i/>
      <w:iCs/>
      <w:color w:themeColor="accent1" w:val="4F81BD"/>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0" w:line="360" w:lineRule="auto"/>
      <w:ind w:firstLine="0" w:left="720"/>
      <w:contextualSpacing/>
    </w:pPr>
    <w:rPr>
      <w:rFonts w:ascii="Times New Roman" w:eastAsia="Times New Roman" w:hAnsi="Times New Roman"/>
      <w:sz w:val="24"/>
    </w:rPr>
  </w:style>
  <w:style w:styleId="BodyText" w:type="paragraph">
    <w:name w:val="Body Text"/>
    <w:basedOn w:val="Normal"/>
    <w:link w:val="BodyTextChar"/>
    <w:uiPriority w:val="99"/>
    <w:unhideWhenUsed/>
    <w:rsid w:val="00AA1D8D"/>
    <w:pPr>
      <w:spacing w:after="0" w:line="360" w:lineRule="auto"/>
      <w:ind w:firstLine="0"/>
    </w:pPr>
    <w:rPr>
      <w:rFonts w:ascii="Times New Roman" w:eastAsia="Times New Roman" w:hAnsi="Times New Roman"/>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20" w:before="120" w:line="276" w:lineRule="auto"/>
      <w:ind w:firstLine="0" w:left="567" w:right="567"/>
    </w:pPr>
    <w:rPr>
      <w:rFonts w:ascii="Times New Roman" w:eastAsia="Times New Roman" w:hAnsi="Times New Roman"/>
      <w:i/>
      <w:iCs/>
      <w:color w:themeColor="text1"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 w:type="paragraph">
    <w:name w:val="Author"/>
    <w:pPr>
      <w:spacing w:after="120"/>
      <w:ind w:firstLine="0"/>
      <w:jc w:val="center"/>
    </w:pPr>
    <w:rPr>
      <w:rFonts w:ascii="Times New Roman" w:eastAsia="Times New Roman" w:hAnsi="Times New Roman"/>
      <w:sz w:val="24"/>
    </w:rPr>
  </w:style>
  <w:style w:customStyle="1" w:styleId="Date" w:type="paragraph">
    <w:name w:val="Date"/>
    <w:pPr>
      <w:spacing w:after="120"/>
      <w:ind w:firstLine="0"/>
      <w:jc w:val="center"/>
    </w:pPr>
    <w:rPr>
      <w:rFonts w:ascii="Times New Roman" w:eastAsia="Times New Roman" w:hAnsi="Times New Roman"/>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Generación procedural de contenido mediante optimización cuántica</dc:title>
  <dc:creator>Belén</dc:creator>
  <dc:language>es-ES</dc:language>
  <cp:keywords>TFM, generación procedural, QUBO, quantum annealing, QAOA, Blender</cp:keywords>
  <dcterms:created xsi:type="dcterms:W3CDTF">2026-08-06T15:54:53Z</dcterms:created>
  <dcterms:modified xsi:type="dcterms:W3CDTF">2026-08-06T15:54:53Z</dcterms:modified>
  <dc:subject>Borrador de los capítulos 1 y 2 del TFM</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6 de agosto de 2026</vt:lpwstr>
  </property>
  <property fmtid="{D5CDD505-2E9C-101B-9397-08002B2CF9AE}" pid="3" name="subtitle">
    <vt:lpwstr>Estudio exploratorio con formulaciones QUBO en entornos tridimensionales</vt:lpwstr>
  </property>
  <property fmtid="{D5CDD505-2E9C-101B-9397-08002B2CF9AE}" pid="4" name="toc-title">
    <vt:lpwstr>Índice</vt:lpwstr>
  </property>
</Properties>
</file>