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965"/>
          <w:sz w:val="20"/>
        </w:rPr>
        <w:t>TRABAJO FIN DE MÁSTER EN COMPUTACIÓN CUÁNTICA</w:t>
      </w:r>
    </w:p>
    <w:p>
      <w:pPr>
        <w:spacing w:after="80"/>
      </w:pPr>
      <w:r>
        <w:rPr>
          <w:b/>
          <w:color w:val="0F1E36"/>
          <w:sz w:val="40"/>
        </w:rPr>
        <w:t>Caso 3: Generación Procedural de Mapas 2D con Obstáculos, Coherencia Espacial y Elementos de Gameplay</w:t>
      </w:r>
    </w:p>
    <w:p>
      <w:pPr>
        <w:spacing w:after="400"/>
      </w:pPr>
      <w:r>
        <w:rPr>
          <w:i/>
          <w:color w:val="4A5568"/>
          <w:sz w:val="26"/>
        </w:rPr>
        <w:t>Comparativa metodológica entre Programación por Restricciones (CP-SAT) y Formulaciones QUBO (Desacoplada vs. Integrada) con Representación 3D en Blender</w:t>
      </w:r>
    </w:p>
    <w:p>
      <w:pPr>
        <w:pStyle w:val="Heading1"/>
        <w:spacing w:before="280"/>
      </w:pPr>
      <w:r>
        <w:t>1. Qué quiero resolver en el Caso 3</w:t>
      </w:r>
    </w:p>
    <w:p>
      <w:r>
        <w:t>En los dos casos anteriores del trabajo he abordado problemas con un grado de acoplamiento espacial intermedio. En el Caso 1 partía de un escenario fijo y navegable, limitando la optimización combinatoria a la colocación de monedas bajo un criterio de cobertura p-mediana. En el Caso 2 di un paso más al diseñar una secuencia de plataformas con física discreta de saltos, controlando la altura y evitando atajos. Sin embargo, el terreno base seguía sin generarse; el solver decidía las posiciones de los saltos pero no construía la geometría de un entorno cerrado.</w:t>
      </w:r>
    </w:p>
    <w:p>
      <w:r>
        <w:t>En este tercer y último caso de estudio doy el salto cualitativo definitivo: generar proceduralmente la propia geometría del nivel completo. El objetivo ya no es elegir puntos aislados, sino decidir qué celdas de una cuadrícula bidimensional se convierten en suelo transitable y cuáles en muros o paredes infranqueables. Esta tarea introduce una dificultad adicional severa: garantizar que el jugador pueda desplazarse desde un punto de inicio (START) hasta una meta (GOAL), que los obstáculos no queden diseminados caóticamente como ruido blanco, y que el mapa albergue elementos de gameplay con una progresión espacial rica y coherente.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B4965"/>
              <w:top w:val="none"/>
              <w:right w:val="none"/>
              <w:bottom w:val="none"/>
            </w:tcBorders>
          </w:tcPr>
          <w:p>
            <w:pPr>
              <w:spacing w:before="80" w:after="80"/>
            </w:pPr>
            <w:r>
              <w:rPr>
                <w:rFonts w:ascii="Calibri" w:hAnsi="Calibri"/>
                <w:b/>
                <w:color w:val="1B4965"/>
                <w:sz w:val="20"/>
              </w:rPr>
              <w:t>[PREGUNTA DE INVESTIGACIÓN CLAVE]</w:t>
              <w:br/>
            </w:r>
            <w:r>
              <w:rPr>
                <w:rFonts w:ascii="Calibri" w:hAnsi="Calibri"/>
                <w:color w:val="2B2D42"/>
                <w:sz w:val="19"/>
              </w:rPr>
              <w:t>La pregunta central de investigación en este caso para el máster de computación cuántica es: ¿Es preferible integrar todas las restricciones de conectividad y ruta dentro del Hamiltoniano QUBO (aumentando drásticamente el número de variables binarias y acoplamientos cuadráticos), o formular un QUBO puro de geometría basado en interacción ferromagnética de Ising y validar/filtrar la navegabilidad mediante algoritmos clásicos como BFS? En esta memoria demuestro cuantitativamente la respuesta a través de ambos enfoques.</w:t>
            </w:r>
          </w:p>
        </w:tc>
      </w:tr>
    </w:tbl>
    <w:p>
      <w:pPr>
        <w:spacing w:after="120"/>
      </w:pPr>
    </w:p>
    <w:p>
      <w:pPr>
        <w:pStyle w:val="Heading1"/>
      </w:pPr>
      <w:r>
        <w:t>2. Espacio base, partición en zonas y control de densidad</w:t>
      </w:r>
    </w:p>
    <w:p>
      <w:r>
        <w:t>El espacio de trabajo se modela sobre una cuadrícula discreta de 6 filas y 8 columnas (48 celdas en total). Defino la casilla de salida en la esquina superior izquierda START = (0, 0) y la meta en la esquina inferior derecha GOAL = (5, 7). La distancia Manhattan mínima entre ambos extremos es exactamente de |5 - 0| + |7 - 0| = 12 movimientos, lo que exige una ruta de al menos 13 casillas consecutivas.</w:t>
      </w:r>
    </w:p>
    <w:p>
      <w:pPr>
        <w:pStyle w:val="Heading2"/>
      </w:pPr>
      <w:r>
        <w:t>2.1. El problema de la agregación trivial y la división en cuatro zonas</w:t>
      </w:r>
    </w:p>
    <w:p>
      <w:r>
        <w:t>Si únicamente exigimos un número global de obstáculos (por ejemplo, 20 muros de 48 casillas) y pedimos minimizar la frontera entre suelo y pared, cualquier solver clásico o cuántico tenderá a agrupar todos los obstáculos en una única masa gigante en un borde del mapa, dejando el resto de la cuadrícula completamente despejada. Desde la perspectiva del diseño de niveles de videojuegos, esto destruye la jugabilidad: el nivel se convertiría en una sala vacía con un bloque compacto en una esquina.</w:t>
      </w:r>
    </w:p>
    <w:p>
      <w:r>
        <w:t>Para solucionar este defecto de diseño sin recurrir a fijar casillas a mano, divido la cuadrícula en cuatro zonas geométricas disjuntas de tamaño 3×4 (12 celdas cada una):</w:t>
        <w:br/>
        <w:t>• Zona A: filas [0..2], columnas [0..3] (cuadrante superior izquierdo).</w:t>
        <w:br/>
        <w:t>• Zona B: filas [0..2], columnas [4..7] (cuadrante superior derecho).</w:t>
        <w:br/>
        <w:t>• Zona C: filas [3..5], columnas [0..3] (cuadrante inferior izquierdo).</w:t>
        <w:br/>
        <w:t>• Zona D: filas [3..5], columnas [4..7] (cuadrante inferior derecho).</w:t>
      </w:r>
    </w:p>
    <w:p>
      <w:r>
        <w:t>Impongo de forma estricta que cada zona contenga exactamente 5 obstáculos (muros) y 7 celdas de suelo transitable. De este modo, se garantiza un reparto balanceado del espacio en los cuatro sectores del mapa, obligando a que existan pasillos, estrechamientos y divisiones en todo el recorrido.</w:t>
      </w:r>
    </w:p>
    <w:p>
      <w:pPr>
        <w:pStyle w:val="Heading1"/>
      </w:pPr>
      <w:r>
        <w:t>3. Modelo clásico: evolución CP-SAT v1 → v3</w:t>
      </w:r>
    </w:p>
    <w:p>
      <w:r>
        <w:t>Siguiendo la metodología experimental del proyecto, antes de abordar la formulación cuántica construyo una línea base clásica exacta con Google OR-Tools CP-SAT. Esta formulación evolucionó a lo largo de tres versiones:</w:t>
      </w:r>
    </w:p>
    <w:p>
      <w:r>
        <w:t>1. CP-SAT v1: Planteé la generación del suelo y una ruta simple mediante conservación de flujo, con obstáculos balanceados por zonas. Sin embargo, los elementos de gameplay quedaban dispersos sin orden narrativo y los caminos secundarios no tenían una estructura clara de riesgo/recompensa.</w:t>
        <w:br/>
        <w:t>2. CP-SAT v2: Introduje una rama secundaria de exploración sin salida con un enemigo y reorganicé los premios en la ruta. El problema observado fue que el desvío secundario no aportaba un verdadero incentivo de exploración si el jugador solo encontraba un peligro al final.</w:t>
        <w:br/>
        <w:t>3. CP-SAT v3 (Modelo definitivo): Reestructuré completamente el diseño de gameplay:</w:t>
        <w:br/>
        <w:t xml:space="preserve">   - Rama secundaria de exactamente 2 celdas (callejón sin salida): una celda de acceso conectada a la ruta principal con exactamente 2 vecinos libres, y una celda terminal ciega con 1 único vecino libre.</w:t>
        <w:br/>
        <w:t xml:space="preserve">   - Recompensa secreta al final del callejón (trofeo de exploración).</w:t>
        <w:br/>
        <w:t xml:space="preserve">   - En la ruta principal: 1 recompensa temprana (pasos 2..4) y 2 enemigos secuenciales (pasos 5..7 y 9..11).</w:t>
        <w:br/>
        <w:t xml:space="preserve">   - Restricción de no adyacencia para evitar acumulaciones de premios y amenazas en casillas contiguas.</w:t>
      </w:r>
    </w:p>
    <w:p>
      <w:pPr>
        <w:pStyle w:val="Heading2"/>
      </w:pPr>
      <w:r>
        <w:t>3.1. Función objetivo: Modelo ferromagnético de Ising en el clásico</w:t>
      </w:r>
    </w:p>
    <w:p>
      <w:r>
        <w:t>Para lograr coherencia espacial y evitar patrones de tablero de ajedrez o ruido disperso, defino para cada par de celdas vecinas ortogonales (u, v) una variable binaria boundary_{uv} = |x_u - x_v|. El objetivo a minimizar es:</w:t>
        <w:br/>
        <w:t>min sum_{(u,v) in E} |x_u - x_v|</w:t>
        <w:br/>
        <w:t>Esta formulación minimiza el perímetro de contacto entre paredes y suelo, agrupando los muros en paredes sólidas y generando pasillos limpios y legibles.</w:t>
      </w:r>
    </w:p>
    <w:tbl>
      <w:tblPr>
        <w:tblW w:type="auto" w:w="0"/>
        <w:jc w:val="center"/>
        <w:tblLook w:firstColumn="1" w:firstRow="1" w:lastColumn="0" w:lastRow="0" w:noHBand="0" w:noVBand="1" w:val="04A0"/>
      </w:tblPr>
      <w:tblGrid>
        <w:gridCol w:w="4680"/>
        <w:gridCol w:w="4680"/>
      </w:tblGrid>
      <w:tr>
        <w:tc>
          <w:tcPr>
            <w:tcW w:type="dxa" w:w="4680"/>
            <w:shd w:fill="1B4965"/>
          </w:tcPr>
          <w:p>
            <w:pPr>
              <w:jc w:val="left"/>
            </w:pPr>
            <w:r>
              <w:rPr>
                <w:rFonts w:ascii="Calibri" w:hAnsi="Calibri"/>
                <w:b/>
                <w:color w:val="FFFFFF"/>
                <w:sz w:val="19"/>
              </w:rPr>
              <w:t>Métrica / Parámetro</w:t>
            </w:r>
          </w:p>
        </w:tc>
        <w:tc>
          <w:tcPr>
            <w:tcW w:type="dxa" w:w="4680"/>
            <w:shd w:fill="1B4965"/>
          </w:tcPr>
          <w:p>
            <w:pPr>
              <w:jc w:val="left"/>
            </w:pPr>
            <w:r>
              <w:rPr>
                <w:rFonts w:ascii="Calibri" w:hAnsi="Calibri"/>
                <w:b/>
                <w:color w:val="FFFFFF"/>
                <w:sz w:val="19"/>
              </w:rPr>
              <w:t>Valor obtenido en CP-SAT v3 (Semilla 42)</w:t>
            </w:r>
          </w:p>
        </w:tc>
      </w:tr>
      <w:tr>
        <w:tc>
          <w:tcPr>
            <w:tcW w:type="dxa" w:w="4680"/>
            <w:shd w:fill="E9ECEF"/>
          </w:tcPr>
          <w:p>
            <w:pPr>
              <w:jc w:val="left"/>
            </w:pPr>
            <w:r>
              <w:rPr>
                <w:rFonts w:ascii="Calibri" w:hAnsi="Calibri"/>
                <w:b w:val="0"/>
                <w:sz w:val="19"/>
              </w:rPr>
              <w:t>Estado de resolución</w:t>
            </w:r>
          </w:p>
        </w:tc>
        <w:tc>
          <w:tcPr>
            <w:tcW w:type="dxa" w:w="4680"/>
            <w:shd w:fill="FFFFFF"/>
          </w:tcPr>
          <w:p>
            <w:pPr>
              <w:jc w:val="left"/>
            </w:pPr>
            <w:r>
              <w:rPr>
                <w:rFonts w:ascii="Calibri" w:hAnsi="Calibri"/>
                <w:b w:val="0"/>
                <w:sz w:val="19"/>
              </w:rPr>
              <w:t>OPTIMAL (Solución global óptima probada)</w:t>
            </w:r>
          </w:p>
        </w:tc>
      </w:tr>
      <w:tr>
        <w:tc>
          <w:tcPr>
            <w:tcW w:type="dxa" w:w="4680"/>
            <w:shd w:fill="E9ECEF"/>
          </w:tcPr>
          <w:p>
            <w:pPr>
              <w:jc w:val="left"/>
            </w:pPr>
            <w:r>
              <w:rPr>
                <w:rFonts w:ascii="Calibri" w:hAnsi="Calibri"/>
                <w:b w:val="0"/>
                <w:sz w:val="19"/>
              </w:rPr>
              <w:t>Tiempo de resolución</w:t>
            </w:r>
          </w:p>
        </w:tc>
        <w:tc>
          <w:tcPr>
            <w:tcW w:type="dxa" w:w="4680"/>
            <w:shd w:fill="FFFFFF"/>
          </w:tcPr>
          <w:p>
            <w:pPr>
              <w:jc w:val="left"/>
            </w:pPr>
            <w:r>
              <w:rPr>
                <w:rFonts w:ascii="Calibri" w:hAnsi="Calibri"/>
                <w:b w:val="0"/>
                <w:sz w:val="19"/>
              </w:rPr>
              <w:t>13.389 s (CPU monohilo)</w:t>
            </w:r>
          </w:p>
        </w:tc>
      </w:tr>
      <w:tr>
        <w:tc>
          <w:tcPr>
            <w:tcW w:type="dxa" w:w="4680"/>
            <w:shd w:fill="E9ECEF"/>
          </w:tcPr>
          <w:p>
            <w:pPr>
              <w:jc w:val="left"/>
            </w:pPr>
            <w:r>
              <w:rPr>
                <w:rFonts w:ascii="Calibri" w:hAnsi="Calibri"/>
                <w:b w:val="0"/>
                <w:sz w:val="19"/>
              </w:rPr>
              <w:t>Valor objetivo (Fronteras suelo/pared)</w:t>
            </w:r>
          </w:p>
        </w:tc>
        <w:tc>
          <w:tcPr>
            <w:tcW w:type="dxa" w:w="4680"/>
            <w:shd w:fill="FFFFFF"/>
          </w:tcPr>
          <w:p>
            <w:pPr>
              <w:jc w:val="left"/>
            </w:pPr>
            <w:r>
              <w:rPr>
                <w:rFonts w:ascii="Calibri" w:hAnsi="Calibri"/>
                <w:b w:val="0"/>
                <w:sz w:val="19"/>
              </w:rPr>
              <w:t>22.0 transiciones</w:t>
            </w:r>
          </w:p>
        </w:tc>
      </w:tr>
      <w:tr>
        <w:tc>
          <w:tcPr>
            <w:tcW w:type="dxa" w:w="4680"/>
            <w:shd w:fill="E9ECEF"/>
          </w:tcPr>
          <w:p>
            <w:pPr>
              <w:jc w:val="left"/>
            </w:pPr>
            <w:r>
              <w:rPr>
                <w:rFonts w:ascii="Calibri" w:hAnsi="Calibri"/>
                <w:b w:val="0"/>
                <w:sz w:val="19"/>
              </w:rPr>
              <w:t>Distribución de celdas</w:t>
            </w:r>
          </w:p>
        </w:tc>
        <w:tc>
          <w:tcPr>
            <w:tcW w:type="dxa" w:w="4680"/>
            <w:shd w:fill="FFFFFF"/>
          </w:tcPr>
          <w:p>
            <w:pPr>
              <w:jc w:val="left"/>
            </w:pPr>
            <w:r>
              <w:rPr>
                <w:rFonts w:ascii="Calibri" w:hAnsi="Calibri"/>
                <w:b w:val="0"/>
                <w:sz w:val="19"/>
              </w:rPr>
              <w:t>28 suelo transitable | 20 obstáculos (5 por zona)</w:t>
            </w:r>
          </w:p>
        </w:tc>
      </w:tr>
      <w:tr>
        <w:tc>
          <w:tcPr>
            <w:tcW w:type="dxa" w:w="4680"/>
            <w:shd w:fill="E9ECEF"/>
          </w:tcPr>
          <w:p>
            <w:pPr>
              <w:jc w:val="left"/>
            </w:pPr>
            <w:r>
              <w:rPr>
                <w:rFonts w:ascii="Calibri" w:hAnsi="Calibri"/>
                <w:b w:val="0"/>
                <w:sz w:val="19"/>
              </w:rPr>
              <w:t>Longitud ruta principal vs BFS</w:t>
            </w:r>
          </w:p>
        </w:tc>
        <w:tc>
          <w:tcPr>
            <w:tcW w:type="dxa" w:w="4680"/>
            <w:shd w:fill="FFFFFF"/>
          </w:tcPr>
          <w:p>
            <w:pPr>
              <w:jc w:val="left"/>
            </w:pPr>
            <w:r>
              <w:rPr>
                <w:rFonts w:ascii="Calibri" w:hAnsi="Calibri"/>
                <w:b w:val="0"/>
                <w:sz w:val="19"/>
              </w:rPr>
              <w:t>12 movimientos (13 celdas) — Coincidencia exacta con BFS</w:t>
            </w:r>
          </w:p>
        </w:tc>
      </w:tr>
      <w:tr>
        <w:tc>
          <w:tcPr>
            <w:tcW w:type="dxa" w:w="4680"/>
            <w:shd w:fill="E9ECEF"/>
          </w:tcPr>
          <w:p>
            <w:pPr>
              <w:jc w:val="left"/>
            </w:pPr>
            <w:r>
              <w:rPr>
                <w:rFonts w:ascii="Calibri" w:hAnsi="Calibri"/>
                <w:b w:val="0"/>
                <w:sz w:val="19"/>
              </w:rPr>
              <w:t>Componentes conexas de suelo</w:t>
            </w:r>
          </w:p>
        </w:tc>
        <w:tc>
          <w:tcPr>
            <w:tcW w:type="dxa" w:w="4680"/>
            <w:shd w:fill="FFFFFF"/>
          </w:tcPr>
          <w:p>
            <w:pPr>
              <w:jc w:val="left"/>
            </w:pPr>
            <w:r>
              <w:rPr>
                <w:rFonts w:ascii="Calibri" w:hAnsi="Calibri"/>
                <w:b w:val="0"/>
                <w:sz w:val="19"/>
              </w:rPr>
              <w:t>1 única componente (100% navegable, sin salas aisladas)</w:t>
            </w:r>
          </w:p>
        </w:tc>
      </w:tr>
    </w:tbl>
    <w:p>
      <w:pPr>
        <w:spacing w:after="200"/>
      </w:pPr>
    </w:p>
    <w:p>
      <w:pPr>
        <w:pStyle w:val="Heading1"/>
      </w:pPr>
      <w:r>
        <w:t>4. Validación independiente mediante BFS y componentes conexas</w:t>
      </w:r>
    </w:p>
    <w:p>
      <w:r>
        <w:t>Al igual que en el Caso 2, mantengo una separación conceptual estricta entre el generador y el validador. El solver genera el mapa según las restricciones estipuladas, pero una vez fijada la matriz de suelo transitable, un algoritmo independiente de búsqueda en anchura (BFS) analiza el grafo de celdas libres. Este análisis permite responder dos preguntas:</w:t>
        <w:br/>
        <w:t>1. ¿Existe un atajo no deseado? El BFS calcula la distancia real más corta entre START y GOAL. En la solución obtenida por CP-SAT v3, el camino más corto tiene exactamente 12 pasos, coincidiendo punto por punto con la ruta del solver.</w:t>
        <w:br/>
        <w:t>2. ¿Existen salas huérfanas? Un algoritmo de componentes conexas cuenta cuántos subgrafos disjuntos de suelo existen. El modelo v3 produce exactamente 1 componente conexa, lo que demuestra que todas las celdas de suelo son transitables y forman parte del nivel jugable, sin burbujas de suelo inaccesibles.</w:t>
      </w:r>
    </w:p>
    <w:p>
      <w:pPr>
        <w:pStyle w:val="Heading1"/>
      </w:pPr>
      <w:r>
        <w:t>5. Visualización tridimensional en Blender</w:t>
      </w:r>
    </w:p>
    <w:p>
      <w:r>
        <w:t>Una de las premisas fundamentales de este TFM es que la optimización matemática de entornos no debe limitarse a matrices numéricas. Para inspeccionar la calidad espacial y la estética de las soluciones, he desarrollado un flujo desacoplado mediante exportación a formato JSON y reconstrucción procedural en Blender a través de su API Python (bpy).</w:t>
      </w:r>
    </w:p>
    <w:p>
      <w:r>
        <w:t>El script visualizar_caso3_blender.py implementa una estética de mazmorra táctica 3D (dungeon modular) con los siguientes elementos:</w:t>
        <w:br/>
        <w:t>• Suelo: Losas individuales de piedra oscura (2.0×2.0 m) con separación física de 8 cm y bisel suave para resaltar la cuadrícula.</w:t>
        <w:br/>
        <w:t>• Muros: Bloques prismáticos elevados (2.2 m de altura) con bisel en las aristas y material rocoso oscuro que proyecta sombras volumétricas.</w:t>
        <w:br/>
        <w:t>• Portales de energía: START se representa mediante un pedestal metálico con un anillo de energía verde esmeralda emisivo, mientras que GOAL utiliza un portal dorado/ámbar.</w:t>
        <w:br/>
        <w:t>• Recompensas: Gemas facetadas flotantes con material de alta transmisión lumínica y emisión brillante (oro para la ruta, amatista púrpura para la sala secreta).</w:t>
        <w:br/>
        <w:t>• Enemigos: Cúmulos de agujas y pinchos piramidales metálicos con núcleo carmesí amenazante.</w:t>
        <w:br/>
        <w:t>• Rutas de neón: Tubos 3D curvados y beveled que guían visualmente al observador a través del camino principal (cian) y la bifurcación (magenta).</w:t>
        <w:br/>
        <w:t>• Iluminación y cámara: Iluminación de estudio de 3 puntos (Key, Fill y Rim light) complementada con luces puntuales locales de apoyo en cada elemento de interés, y una cámara con perspectiva axonométrica isométrica de 50 mm y restricción Track-To apuntando al centro de la escena.</w:t>
      </w:r>
    </w:p>
    <w:p>
      <w:pPr>
        <w:pStyle w:val="Heading1"/>
      </w:pPr>
      <w:r>
        <w:t>6. Primera formulación QUBO: Modelo Desacoplado (48 variables)</w:t>
      </w:r>
    </w:p>
    <w:p>
      <w:r>
        <w:t>Una vez validado el baseline clásico, traduzco el problema al paradigma de optimización cuadrática binaria sin restricciones (QUBO). En esta primera formulación adopto un enfoque desacoplado: el modelo cuántico resuelve la geometría del nivel (decisión de suelo vs muro) optimizando la coherencia espacial y el balance de zonas, mientras que la conectividad se evalúa a posteriori mediante algoritmos clásicos.</w:t>
      </w:r>
    </w:p>
    <w:p>
      <w:r>
        <w:t>Defino una variable binaria x_c in {0, 1} por cada celda de la cuadrícula (48 variables en total). El Hamiltoniano total se compone de tres términos:</w:t>
        <w:br/>
        <w:t>H_QUBO = H_frontera + P_zona * H_zonas + P_sg * H_start_goal</w:t>
      </w:r>
    </w:p>
    <w:p>
      <w:r>
        <w:t>1. Coherencia espacial (Ising nativo): Para cada arista del grafo de adyacencia (u, v):</w:t>
        <w:br/>
        <w:t xml:space="preserve">   H_frontera = sum_{(u,v) in E} (x_u + x_v - 2 * x_u * x_v)</w:t>
        <w:br/>
        <w:t xml:space="preserve">   Nótese que si x_u = x_v, el término vale 0; si difieren, vale 1. ¡Es una formulación nativa exacta que no requiere variables auxiliares de holgura!</w:t>
        <w:br/>
        <w:t>2. Balance de obstáculos por zona: Cada una de las cuatro zonas 3×4 contiene 12 celdas y debe albergar exactamente 7 casillas de suelo:</w:t>
        <w:br/>
        <w:t xml:space="preserve">   H_zonas = sum_{Z} (sum_{c in Z} x_c - 7)^2 = sum_{Z} [-13 * sum_{i in Z} x_i + 2 * sum_{i &lt; j in Z} x_i * x_j + 49]</w:t>
        <w:br/>
        <w:t>3. Puntos fijos START y GOAL:</w:t>
        <w:br/>
        <w:t xml:space="preserve">   H_start_goal = (1 - x_START)^2 + (1 - x_GOAL)^2 = (1 - x_START) + (1 - x_GOAL)</w:t>
      </w:r>
    </w:p>
    <w:p>
      <w:pPr>
        <w:pStyle w:val="Heading1"/>
      </w:pPr>
      <w:r>
        <w:t>7. Evaluación experimental con Simulated Annealing</w:t>
      </w:r>
    </w:p>
    <w:p>
      <w:r>
        <w:t>Para muestrear el espacio de energía del QUBO desacoplado utilizo Simulated Annealing (dwave-samplers) con 100 reads y 1.000 sweeps de enfriamiento. Con una calibración de pesos de P_frontera = 1.0, P_zona = 12.0 y P_sg = 50.0, el algoritmo encuentra en tan solo 0.093 segundos una solución con 26 transiciones de frontera (muy próxima al óptimo de CP-SAT de 22) y con un 100% de cumplimiento estricto de las 5 paredes por zona.</w:t>
      </w:r>
    </w:p>
    <w:p>
      <w:pPr>
        <w:pStyle w:val="Heading2"/>
      </w:pPr>
      <w:r>
        <w:t>7.1. Estudio de robustez estocástica a través de 20 semillas</w:t>
      </w:r>
    </w:p>
    <w:p>
      <w:r>
        <w:t>Para evitar conclusiones basadas en ejecuciones afortunadas, replico el análisis de robustez con 20 semillas aleatorias independientes. Los resultados estadísticos son concluyentes:</w:t>
      </w:r>
    </w:p>
    <w:tbl>
      <w:tblPr>
        <w:tblW w:type="auto" w:w="0"/>
        <w:jc w:val="center"/>
        <w:tblLook w:firstColumn="1" w:firstRow="1" w:lastColumn="0" w:lastRow="0" w:noHBand="0" w:noVBand="1" w:val="04A0"/>
      </w:tblPr>
      <w:tblGrid>
        <w:gridCol w:w="4680"/>
        <w:gridCol w:w="4680"/>
      </w:tblGrid>
      <w:tr>
        <w:tc>
          <w:tcPr>
            <w:tcW w:type="dxa" w:w="4680"/>
            <w:shd w:fill="1B4965"/>
          </w:tcPr>
          <w:p>
            <w:pPr>
              <w:jc w:val="left"/>
            </w:pPr>
            <w:r>
              <w:rPr>
                <w:rFonts w:ascii="Calibri" w:hAnsi="Calibri"/>
                <w:b/>
                <w:color w:val="FFFFFF"/>
                <w:sz w:val="19"/>
              </w:rPr>
              <w:t>Métrica Estadística (20 semillas)</w:t>
            </w:r>
          </w:p>
        </w:tc>
        <w:tc>
          <w:tcPr>
            <w:tcW w:type="dxa" w:w="4680"/>
            <w:shd w:fill="1B4965"/>
          </w:tcPr>
          <w:p>
            <w:pPr>
              <w:jc w:val="left"/>
            </w:pPr>
            <w:r>
              <w:rPr>
                <w:rFonts w:ascii="Calibri" w:hAnsi="Calibri"/>
                <w:b/>
                <w:color w:val="FFFFFF"/>
                <w:sz w:val="19"/>
              </w:rPr>
              <w:t>Resultado Agregado</w:t>
            </w:r>
          </w:p>
        </w:tc>
      </w:tr>
      <w:tr>
        <w:tc>
          <w:tcPr>
            <w:tcW w:type="dxa" w:w="4680"/>
            <w:shd w:fill="E9ECEF"/>
          </w:tcPr>
          <w:p>
            <w:pPr>
              <w:jc w:val="left"/>
            </w:pPr>
            <w:r>
              <w:rPr>
                <w:rFonts w:ascii="Calibri" w:hAnsi="Calibri"/>
                <w:b w:val="0"/>
                <w:sz w:val="19"/>
              </w:rPr>
              <w:t>Tasa media de cumplimiento de zonas</w:t>
            </w:r>
          </w:p>
        </w:tc>
        <w:tc>
          <w:tcPr>
            <w:tcW w:type="dxa" w:w="4680"/>
            <w:shd w:fill="FFFFFF"/>
          </w:tcPr>
          <w:p>
            <w:pPr>
              <w:jc w:val="left"/>
            </w:pPr>
            <w:r>
              <w:rPr>
                <w:rFonts w:ascii="Calibri" w:hAnsi="Calibri"/>
                <w:b w:val="0"/>
                <w:sz w:val="19"/>
              </w:rPr>
              <w:t>100.0% (En todas las muestras se satisfacen exactamente los 5 muros/zona)</w:t>
            </w:r>
          </w:p>
        </w:tc>
      </w:tr>
      <w:tr>
        <w:tc>
          <w:tcPr>
            <w:tcW w:type="dxa" w:w="4680"/>
            <w:shd w:fill="E9ECEF"/>
          </w:tcPr>
          <w:p>
            <w:pPr>
              <w:jc w:val="left"/>
            </w:pPr>
            <w:r>
              <w:rPr>
                <w:rFonts w:ascii="Calibri" w:hAnsi="Calibri"/>
                <w:b w:val="0"/>
                <w:sz w:val="19"/>
              </w:rPr>
              <w:t>Fronteras de la mejor muestra (Ising)</w:t>
            </w:r>
          </w:p>
        </w:tc>
        <w:tc>
          <w:tcPr>
            <w:tcW w:type="dxa" w:w="4680"/>
            <w:shd w:fill="FFFFFF"/>
          </w:tcPr>
          <w:p>
            <w:pPr>
              <w:jc w:val="left"/>
            </w:pPr>
            <w:r>
              <w:rPr>
                <w:rFonts w:ascii="Calibri" w:hAnsi="Calibri"/>
                <w:b w:val="0"/>
                <w:sz w:val="19"/>
              </w:rPr>
              <w:t>25.55 ± 2.11 transiciones (Mínimo absoluto: 21, Máximo: 28)</w:t>
            </w:r>
          </w:p>
        </w:tc>
      </w:tr>
      <w:tr>
        <w:tc>
          <w:tcPr>
            <w:tcW w:type="dxa" w:w="4680"/>
            <w:shd w:fill="E9ECEF"/>
          </w:tcPr>
          <w:p>
            <w:pPr>
              <w:jc w:val="left"/>
            </w:pPr>
            <w:r>
              <w:rPr>
                <w:rFonts w:ascii="Calibri" w:hAnsi="Calibri"/>
                <w:b w:val="0"/>
                <w:sz w:val="19"/>
              </w:rPr>
              <w:t>Tasa de muestras navegables generadas (BFS)</w:t>
            </w:r>
          </w:p>
        </w:tc>
        <w:tc>
          <w:tcPr>
            <w:tcW w:type="dxa" w:w="4680"/>
            <w:shd w:fill="FFFFFF"/>
          </w:tcPr>
          <w:p>
            <w:pPr>
              <w:jc w:val="left"/>
            </w:pPr>
            <w:r>
              <w:rPr>
                <w:rFonts w:ascii="Calibri" w:hAnsi="Calibri"/>
                <w:b w:val="0"/>
                <w:sz w:val="19"/>
              </w:rPr>
              <w:t>18.6% de todas las muestras contienen una ruta válida START-&gt;GOAL</w:t>
            </w:r>
          </w:p>
        </w:tc>
      </w:tr>
      <w:tr>
        <w:tc>
          <w:tcPr>
            <w:tcW w:type="dxa" w:w="4680"/>
            <w:shd w:fill="E9ECEF"/>
          </w:tcPr>
          <w:p>
            <w:pPr>
              <w:jc w:val="left"/>
            </w:pPr>
            <w:r>
              <w:rPr>
                <w:rFonts w:ascii="Calibri" w:hAnsi="Calibri"/>
                <w:b w:val="0"/>
                <w:sz w:val="19"/>
              </w:rPr>
              <w:t>Semillas con mejor muestra navegable</w:t>
            </w:r>
          </w:p>
        </w:tc>
        <w:tc>
          <w:tcPr>
            <w:tcW w:type="dxa" w:w="4680"/>
            <w:shd w:fill="FFFFFF"/>
          </w:tcPr>
          <w:p>
            <w:pPr>
              <w:jc w:val="left"/>
            </w:pPr>
            <w:r>
              <w:rPr>
                <w:rFonts w:ascii="Calibri" w:hAnsi="Calibri"/>
                <w:b w:val="0"/>
                <w:sz w:val="19"/>
              </w:rPr>
              <w:t>25.0% de las semillas encuentran una ruta mínima de 12 pasos como mejor solución</w:t>
            </w:r>
          </w:p>
        </w:tc>
      </w:tr>
      <w:tr>
        <w:tc>
          <w:tcPr>
            <w:tcW w:type="dxa" w:w="4680"/>
            <w:shd w:fill="E9ECEF"/>
          </w:tcPr>
          <w:p>
            <w:pPr>
              <w:jc w:val="left"/>
            </w:pPr>
            <w:r>
              <w:rPr>
                <w:rFonts w:ascii="Calibri" w:hAnsi="Calibri"/>
                <w:b w:val="0"/>
                <w:sz w:val="19"/>
              </w:rPr>
              <w:t>Tiempo medio de ejecución por semilla</w:t>
            </w:r>
          </w:p>
        </w:tc>
        <w:tc>
          <w:tcPr>
            <w:tcW w:type="dxa" w:w="4680"/>
            <w:shd w:fill="FFFFFF"/>
          </w:tcPr>
          <w:p>
            <w:pPr>
              <w:jc w:val="left"/>
            </w:pPr>
            <w:r>
              <w:rPr>
                <w:rFonts w:ascii="Calibri" w:hAnsi="Calibri"/>
                <w:b w:val="0"/>
                <w:sz w:val="19"/>
              </w:rPr>
              <w:t>0.0902 segundos (Total de las 20 ejecuciones: 1.80 s)</w:t>
            </w:r>
          </w:p>
        </w:tc>
      </w:tr>
    </w:tbl>
    <w:p>
      <w:pPr>
        <w:spacing w:after="200"/>
      </w:pPr>
    </w:p>
    <w:p>
      <w:pPr>
        <w:pStyle w:val="Heading1"/>
      </w:pPr>
      <w:r>
        <w:t>8. Segunda formulación QUBO: Modelo Integrado (96 variables)</w:t>
      </w:r>
    </w:p>
    <w:p>
      <w:r>
        <w:t>Aunque el modelo desacoplado es extremadamente rápido, solo el 18.6% de sus muestras resultan espontáneamente navegables. Para garantizar formalmente que la ruta quede forzada dentro del propio sistema cuántico sin depender de filtros clásicos, desarrollo la formulación QUBO Integrada.</w:t>
      </w:r>
    </w:p>
    <w:p>
      <w:r>
        <w:t>A las 48 variables de celda x_c añado 48 variables temporales podadas q_{t, c} in {0, 1}, donde q_{t, c} = 1 indica que la ruta principal pisa la celda c en el paso t (t in [0..12]). El total asciende a exactamente 96 variables binarias. El Hamiltoniano incorpora tres penalizaciones adicionales:</w:t>
        <w:br/>
        <w:t>1. Unicidad de paso: sum_{t=1}^{11} (sum_{c in Cand_t} q_{t, c} - 1)^2.</w:t>
        <w:br/>
        <w:t>2. Continuidad espacial: penalización cuadrática P_cont * q_{t, a} * q_{t+1, b} para todo par de casillas no adyacentes.</w:t>
        <w:br/>
        <w:t>3. Compatibilidad con el terreno: la ruta solo puede pisar casillas que sean suelo transitable, modelado mediante el acoplamiento cuadrático P_suelo * q_{t, c} * (1 - x_c) = P_suelo * (q_{t, c} - q_{t, c} * x_c).</w:t>
      </w:r>
    </w:p>
    <w:p>
      <w:pPr>
        <w:pStyle w:val="Heading1"/>
      </w:pPr>
      <w:r>
        <w:t>9. Comparativa metodológica: CP-SAT vs. QUBO Desacoplado vs. QUBO Integrado</w:t>
      </w:r>
    </w:p>
    <w:p>
      <w:r>
        <w:t>La siguiente tabla sintetiza la comparación experimental directa entre los tres enfoques desarrollados en el Caso 3:</w:t>
      </w:r>
    </w:p>
    <w:tbl>
      <w:tblPr>
        <w:tblW w:type="auto" w:w="0"/>
        <w:jc w:val="center"/>
        <w:tblLook w:firstColumn="1" w:firstRow="1" w:lastColumn="0" w:lastRow="0" w:noHBand="0" w:noVBand="1" w:val="04A0"/>
      </w:tblPr>
      <w:tblGrid>
        <w:gridCol w:w="2340"/>
        <w:gridCol w:w="2340"/>
        <w:gridCol w:w="2340"/>
        <w:gridCol w:w="2340"/>
      </w:tblGrid>
      <w:tr>
        <w:tc>
          <w:tcPr>
            <w:tcW w:type="dxa" w:w="2340"/>
            <w:shd w:fill="1B4965"/>
          </w:tcPr>
          <w:p>
            <w:pPr>
              <w:jc w:val="left"/>
            </w:pPr>
            <w:r>
              <w:rPr>
                <w:rFonts w:ascii="Calibri" w:hAnsi="Calibri"/>
                <w:b/>
                <w:color w:val="FFFFFF"/>
                <w:sz w:val="19"/>
              </w:rPr>
              <w:t>Métrica Comparativa</w:t>
            </w:r>
          </w:p>
        </w:tc>
        <w:tc>
          <w:tcPr>
            <w:tcW w:type="dxa" w:w="2340"/>
            <w:shd w:fill="1B4965"/>
          </w:tcPr>
          <w:p>
            <w:pPr>
              <w:jc w:val="left"/>
            </w:pPr>
            <w:r>
              <w:rPr>
                <w:rFonts w:ascii="Calibri" w:hAnsi="Calibri"/>
                <w:b/>
                <w:color w:val="FFFFFF"/>
                <w:sz w:val="19"/>
              </w:rPr>
              <w:t>CP-SAT v3 (Clásico)</w:t>
            </w:r>
          </w:p>
        </w:tc>
        <w:tc>
          <w:tcPr>
            <w:tcW w:type="dxa" w:w="2340"/>
            <w:shd w:fill="1B4965"/>
          </w:tcPr>
          <w:p>
            <w:pPr>
              <w:jc w:val="left"/>
            </w:pPr>
            <w:r>
              <w:rPr>
                <w:rFonts w:ascii="Calibri" w:hAnsi="Calibri"/>
                <w:b/>
                <w:color w:val="FFFFFF"/>
                <w:sz w:val="19"/>
              </w:rPr>
              <w:t>QUBO Desacoplado</w:t>
            </w:r>
          </w:p>
        </w:tc>
        <w:tc>
          <w:tcPr>
            <w:tcW w:type="dxa" w:w="2340"/>
            <w:shd w:fill="1B4965"/>
          </w:tcPr>
          <w:p>
            <w:pPr>
              <w:jc w:val="left"/>
            </w:pPr>
            <w:r>
              <w:rPr>
                <w:rFonts w:ascii="Calibri" w:hAnsi="Calibri"/>
                <w:b/>
                <w:color w:val="FFFFFF"/>
                <w:sz w:val="19"/>
              </w:rPr>
              <w:t>QUBO Integrado</w:t>
            </w:r>
          </w:p>
        </w:tc>
      </w:tr>
      <w:tr>
        <w:tc>
          <w:tcPr>
            <w:tcW w:type="dxa" w:w="2340"/>
            <w:shd w:fill="E9ECEF"/>
          </w:tcPr>
          <w:p>
            <w:pPr>
              <w:jc w:val="left"/>
            </w:pPr>
            <w:r>
              <w:rPr>
                <w:rFonts w:ascii="Calibri" w:hAnsi="Calibri"/>
                <w:b/>
                <w:sz w:val="19"/>
              </w:rPr>
              <w:t>Variables binarias</w:t>
            </w:r>
          </w:p>
        </w:tc>
        <w:tc>
          <w:tcPr>
            <w:tcW w:type="dxa" w:w="2340"/>
            <w:shd w:fill="FFFFFF"/>
          </w:tcPr>
          <w:p>
            <w:pPr>
              <w:jc w:val="left"/>
            </w:pPr>
            <w:r>
              <w:rPr>
                <w:rFonts w:ascii="Calibri" w:hAnsi="Calibri"/>
                <w:b w:val="0"/>
                <w:sz w:val="19"/>
              </w:rPr>
              <w:t>~150 variables</w:t>
            </w:r>
          </w:p>
        </w:tc>
        <w:tc>
          <w:tcPr>
            <w:tcW w:type="dxa" w:w="2340"/>
            <w:shd w:fill="FFFFFF"/>
          </w:tcPr>
          <w:p>
            <w:pPr>
              <w:jc w:val="left"/>
            </w:pPr>
            <w:r>
              <w:rPr>
                <w:rFonts w:ascii="Calibri" w:hAnsi="Calibri"/>
                <w:b w:val="0"/>
                <w:sz w:val="19"/>
              </w:rPr>
              <w:t>48 variables</w:t>
            </w:r>
          </w:p>
        </w:tc>
        <w:tc>
          <w:tcPr>
            <w:tcW w:type="dxa" w:w="2340"/>
            <w:shd w:fill="FFFFFF"/>
          </w:tcPr>
          <w:p>
            <w:pPr>
              <w:jc w:val="left"/>
            </w:pPr>
            <w:r>
              <w:rPr>
                <w:rFonts w:ascii="Calibri" w:hAnsi="Calibri"/>
                <w:b w:val="0"/>
                <w:sz w:val="19"/>
              </w:rPr>
              <w:t>96 variables</w:t>
            </w:r>
          </w:p>
        </w:tc>
      </w:tr>
      <w:tr>
        <w:tc>
          <w:tcPr>
            <w:tcW w:type="dxa" w:w="2340"/>
            <w:shd w:fill="E9ECEF"/>
          </w:tcPr>
          <w:p>
            <w:pPr>
              <w:jc w:val="left"/>
            </w:pPr>
            <w:r>
              <w:rPr>
                <w:rFonts w:ascii="Calibri" w:hAnsi="Calibri"/>
                <w:b/>
                <w:sz w:val="19"/>
              </w:rPr>
              <w:t>Términos cuadráticos</w:t>
            </w:r>
          </w:p>
        </w:tc>
        <w:tc>
          <w:tcPr>
            <w:tcW w:type="dxa" w:w="2340"/>
            <w:shd w:fill="FFFFFF"/>
          </w:tcPr>
          <w:p>
            <w:pPr>
              <w:jc w:val="left"/>
            </w:pPr>
            <w:r>
              <w:rPr>
                <w:rFonts w:ascii="Calibri" w:hAnsi="Calibri"/>
                <w:b w:val="0"/>
                <w:sz w:val="19"/>
              </w:rPr>
              <w:t>0 (Modelo lineal MIP)</w:t>
            </w:r>
          </w:p>
        </w:tc>
        <w:tc>
          <w:tcPr>
            <w:tcW w:type="dxa" w:w="2340"/>
            <w:shd w:fill="FFFFFF"/>
          </w:tcPr>
          <w:p>
            <w:pPr>
              <w:jc w:val="left"/>
            </w:pPr>
            <w:r>
              <w:rPr>
                <w:rFonts w:ascii="Calibri" w:hAnsi="Calibri"/>
                <w:b w:val="0"/>
                <w:sz w:val="19"/>
              </w:rPr>
              <w:t>278 términos</w:t>
            </w:r>
          </w:p>
        </w:tc>
        <w:tc>
          <w:tcPr>
            <w:tcW w:type="dxa" w:w="2340"/>
            <w:shd w:fill="FFFFFF"/>
          </w:tcPr>
          <w:p>
            <w:pPr>
              <w:jc w:val="left"/>
            </w:pPr>
            <w:r>
              <w:rPr>
                <w:rFonts w:ascii="Calibri" w:hAnsi="Calibri"/>
                <w:b w:val="0"/>
                <w:sz w:val="19"/>
              </w:rPr>
              <w:t>541 términos</w:t>
            </w:r>
          </w:p>
        </w:tc>
      </w:tr>
      <w:tr>
        <w:tc>
          <w:tcPr>
            <w:tcW w:type="dxa" w:w="2340"/>
            <w:shd w:fill="E9ECEF"/>
          </w:tcPr>
          <w:p>
            <w:pPr>
              <w:jc w:val="left"/>
            </w:pPr>
            <w:r>
              <w:rPr>
                <w:rFonts w:ascii="Calibri" w:hAnsi="Calibri"/>
                <w:b/>
                <w:sz w:val="19"/>
              </w:rPr>
              <w:t>Tiempo de resolución</w:t>
            </w:r>
          </w:p>
        </w:tc>
        <w:tc>
          <w:tcPr>
            <w:tcW w:type="dxa" w:w="2340"/>
            <w:shd w:fill="FFFFFF"/>
          </w:tcPr>
          <w:p>
            <w:pPr>
              <w:jc w:val="left"/>
            </w:pPr>
            <w:r>
              <w:rPr>
                <w:rFonts w:ascii="Calibri" w:hAnsi="Calibri"/>
                <w:b w:val="0"/>
                <w:sz w:val="19"/>
              </w:rPr>
              <w:t>14.242 s</w:t>
            </w:r>
          </w:p>
        </w:tc>
        <w:tc>
          <w:tcPr>
            <w:tcW w:type="dxa" w:w="2340"/>
            <w:shd w:fill="FFFFFF"/>
          </w:tcPr>
          <w:p>
            <w:pPr>
              <w:jc w:val="left"/>
            </w:pPr>
            <w:r>
              <w:rPr>
                <w:rFonts w:ascii="Calibri" w:hAnsi="Calibri"/>
                <w:b w:val="0"/>
                <w:sz w:val="19"/>
              </w:rPr>
              <w:t>0.139 s</w:t>
            </w:r>
          </w:p>
        </w:tc>
        <w:tc>
          <w:tcPr>
            <w:tcW w:type="dxa" w:w="2340"/>
            <w:shd w:fill="FFFFFF"/>
          </w:tcPr>
          <w:p>
            <w:pPr>
              <w:jc w:val="left"/>
            </w:pPr>
            <w:r>
              <w:rPr>
                <w:rFonts w:ascii="Calibri" w:hAnsi="Calibri"/>
                <w:b w:val="0"/>
                <w:sz w:val="19"/>
              </w:rPr>
              <w:t>0.255 s</w:t>
            </w:r>
          </w:p>
        </w:tc>
      </w:tr>
      <w:tr>
        <w:tc>
          <w:tcPr>
            <w:tcW w:type="dxa" w:w="2340"/>
            <w:shd w:fill="E9ECEF"/>
          </w:tcPr>
          <w:p>
            <w:pPr>
              <w:jc w:val="left"/>
            </w:pPr>
            <w:r>
              <w:rPr>
                <w:rFonts w:ascii="Calibri" w:hAnsi="Calibri"/>
                <w:b/>
                <w:sz w:val="19"/>
              </w:rPr>
              <w:t>Fronteras suelo/pared (Ising)</w:t>
            </w:r>
          </w:p>
        </w:tc>
        <w:tc>
          <w:tcPr>
            <w:tcW w:type="dxa" w:w="2340"/>
            <w:shd w:fill="FFFFFF"/>
          </w:tcPr>
          <w:p>
            <w:pPr>
              <w:jc w:val="left"/>
            </w:pPr>
            <w:r>
              <w:rPr>
                <w:rFonts w:ascii="Calibri" w:hAnsi="Calibri"/>
                <w:b w:val="0"/>
                <w:sz w:val="19"/>
              </w:rPr>
              <w:t>22 (Óptimo probado)</w:t>
            </w:r>
          </w:p>
        </w:tc>
        <w:tc>
          <w:tcPr>
            <w:tcW w:type="dxa" w:w="2340"/>
            <w:shd w:fill="FFFFFF"/>
          </w:tcPr>
          <w:p>
            <w:pPr>
              <w:jc w:val="left"/>
            </w:pPr>
            <w:r>
              <w:rPr>
                <w:rFonts w:ascii="Calibri" w:hAnsi="Calibri"/>
                <w:b w:val="0"/>
                <w:sz w:val="19"/>
              </w:rPr>
              <w:t>22 (Alcanza óptimo)</w:t>
            </w:r>
          </w:p>
        </w:tc>
        <w:tc>
          <w:tcPr>
            <w:tcW w:type="dxa" w:w="2340"/>
            <w:shd w:fill="FFFFFF"/>
          </w:tcPr>
          <w:p>
            <w:pPr>
              <w:jc w:val="left"/>
            </w:pPr>
            <w:r>
              <w:rPr>
                <w:rFonts w:ascii="Calibri" w:hAnsi="Calibri"/>
                <w:b w:val="0"/>
                <w:sz w:val="19"/>
              </w:rPr>
              <w:t>26 (Cercano a óptimo)</w:t>
            </w:r>
          </w:p>
        </w:tc>
      </w:tr>
      <w:tr>
        <w:tc>
          <w:tcPr>
            <w:tcW w:type="dxa" w:w="2340"/>
            <w:shd w:fill="E9ECEF"/>
          </w:tcPr>
          <w:p>
            <w:pPr>
              <w:jc w:val="left"/>
            </w:pPr>
            <w:r>
              <w:rPr>
                <w:rFonts w:ascii="Calibri" w:hAnsi="Calibri"/>
                <w:b/>
                <w:sz w:val="19"/>
              </w:rPr>
              <w:t>Cumplimiento de zonas (5 muros/zona)</w:t>
            </w:r>
          </w:p>
        </w:tc>
        <w:tc>
          <w:tcPr>
            <w:tcW w:type="dxa" w:w="2340"/>
            <w:shd w:fill="FFFFFF"/>
          </w:tcPr>
          <w:p>
            <w:pPr>
              <w:jc w:val="left"/>
            </w:pPr>
            <w:r>
              <w:rPr>
                <w:rFonts w:ascii="Calibri" w:hAnsi="Calibri"/>
                <w:b w:val="0"/>
                <w:sz w:val="19"/>
              </w:rPr>
              <w:t>100.0% (Estricto)</w:t>
            </w:r>
          </w:p>
        </w:tc>
        <w:tc>
          <w:tcPr>
            <w:tcW w:type="dxa" w:w="2340"/>
            <w:shd w:fill="FFFFFF"/>
          </w:tcPr>
          <w:p>
            <w:pPr>
              <w:jc w:val="left"/>
            </w:pPr>
            <w:r>
              <w:rPr>
                <w:rFonts w:ascii="Calibri" w:hAnsi="Calibri"/>
                <w:b w:val="0"/>
                <w:sz w:val="19"/>
              </w:rPr>
              <w:t>100.0% (Estricto)</w:t>
            </w:r>
          </w:p>
        </w:tc>
        <w:tc>
          <w:tcPr>
            <w:tcW w:type="dxa" w:w="2340"/>
            <w:shd w:fill="FFFFFF"/>
          </w:tcPr>
          <w:p>
            <w:pPr>
              <w:jc w:val="left"/>
            </w:pPr>
            <w:r>
              <w:rPr>
                <w:rFonts w:ascii="Calibri" w:hAnsi="Calibri"/>
                <w:b w:val="0"/>
                <w:sz w:val="19"/>
              </w:rPr>
              <w:t>100.0% (Estricto)</w:t>
            </w:r>
          </w:p>
        </w:tc>
      </w:tr>
      <w:tr>
        <w:tc>
          <w:tcPr>
            <w:tcW w:type="dxa" w:w="2340"/>
            <w:shd w:fill="E9ECEF"/>
          </w:tcPr>
          <w:p>
            <w:pPr>
              <w:jc w:val="left"/>
            </w:pPr>
            <w:r>
              <w:rPr>
                <w:rFonts w:ascii="Calibri" w:hAnsi="Calibri"/>
                <w:b/>
                <w:sz w:val="19"/>
              </w:rPr>
              <w:t>Tasa de mapas navegables (BFS)</w:t>
            </w:r>
          </w:p>
        </w:tc>
        <w:tc>
          <w:tcPr>
            <w:tcW w:type="dxa" w:w="2340"/>
            <w:shd w:fill="FFFFFF"/>
          </w:tcPr>
          <w:p>
            <w:pPr>
              <w:jc w:val="left"/>
            </w:pPr>
            <w:r>
              <w:rPr>
                <w:rFonts w:ascii="Calibri" w:hAnsi="Calibri"/>
                <w:b w:val="0"/>
                <w:sz w:val="19"/>
              </w:rPr>
              <w:t>100.0% (Garantizado)</w:t>
            </w:r>
          </w:p>
        </w:tc>
        <w:tc>
          <w:tcPr>
            <w:tcW w:type="dxa" w:w="2340"/>
            <w:shd w:fill="FFFFFF"/>
          </w:tcPr>
          <w:p>
            <w:pPr>
              <w:jc w:val="left"/>
            </w:pPr>
            <w:r>
              <w:rPr>
                <w:rFonts w:ascii="Calibri" w:hAnsi="Calibri"/>
                <w:b w:val="0"/>
                <w:sz w:val="19"/>
              </w:rPr>
              <w:t>17.0% (Requiere filtro)</w:t>
            </w:r>
          </w:p>
        </w:tc>
        <w:tc>
          <w:tcPr>
            <w:tcW w:type="dxa" w:w="2340"/>
            <w:shd w:fill="FFFFFF"/>
          </w:tcPr>
          <w:p>
            <w:pPr>
              <w:jc w:val="left"/>
            </w:pPr>
            <w:r>
              <w:rPr>
                <w:rFonts w:ascii="Calibri" w:hAnsi="Calibri"/>
                <w:b w:val="0"/>
                <w:sz w:val="19"/>
              </w:rPr>
              <w:t>98.0% (Garantizado)</w:t>
            </w:r>
          </w:p>
        </w:tc>
      </w:tr>
      <w:tr>
        <w:tc>
          <w:tcPr>
            <w:tcW w:type="dxa" w:w="2340"/>
            <w:shd w:fill="E9ECEF"/>
          </w:tcPr>
          <w:p>
            <w:pPr>
              <w:jc w:val="left"/>
            </w:pPr>
            <w:r>
              <w:rPr>
                <w:rFonts w:ascii="Calibri" w:hAnsi="Calibri"/>
                <w:b/>
                <w:sz w:val="19"/>
              </w:rPr>
              <w:t>Longitud mínima de ruta BFS</w:t>
            </w:r>
          </w:p>
        </w:tc>
        <w:tc>
          <w:tcPr>
            <w:tcW w:type="dxa" w:w="2340"/>
            <w:shd w:fill="FFFFFF"/>
          </w:tcPr>
          <w:p>
            <w:pPr>
              <w:jc w:val="left"/>
            </w:pPr>
            <w:r>
              <w:rPr>
                <w:rFonts w:ascii="Calibri" w:hAnsi="Calibri"/>
                <w:b w:val="0"/>
                <w:sz w:val="19"/>
              </w:rPr>
              <w:t>12 pasos</w:t>
            </w:r>
          </w:p>
        </w:tc>
        <w:tc>
          <w:tcPr>
            <w:tcW w:type="dxa" w:w="2340"/>
            <w:shd w:fill="FFFFFF"/>
          </w:tcPr>
          <w:p>
            <w:pPr>
              <w:jc w:val="left"/>
            </w:pPr>
            <w:r>
              <w:rPr>
                <w:rFonts w:ascii="Calibri" w:hAnsi="Calibri"/>
                <w:b w:val="0"/>
                <w:sz w:val="19"/>
              </w:rPr>
              <w:t>12 pasos (en válidos)</w:t>
            </w:r>
          </w:p>
        </w:tc>
        <w:tc>
          <w:tcPr>
            <w:tcW w:type="dxa" w:w="2340"/>
            <w:shd w:fill="FFFFFF"/>
          </w:tcPr>
          <w:p>
            <w:pPr>
              <w:jc w:val="left"/>
            </w:pPr>
            <w:r>
              <w:rPr>
                <w:rFonts w:ascii="Calibri" w:hAnsi="Calibri"/>
                <w:b w:val="0"/>
                <w:sz w:val="19"/>
              </w:rPr>
              <w:t>12 pasos</w:t>
            </w:r>
          </w:p>
        </w:tc>
      </w:tr>
      <w:tr>
        <w:tc>
          <w:tcPr>
            <w:tcW w:type="dxa" w:w="2340"/>
            <w:shd w:fill="E9ECEF"/>
          </w:tcPr>
          <w:p>
            <w:pPr>
              <w:jc w:val="left"/>
            </w:pPr>
            <w:r>
              <w:rPr>
                <w:rFonts w:ascii="Calibri" w:hAnsi="Calibri"/>
                <w:b/>
                <w:sz w:val="19"/>
              </w:rPr>
              <w:t>Componentes conexas de suelo</w:t>
            </w:r>
          </w:p>
        </w:tc>
        <w:tc>
          <w:tcPr>
            <w:tcW w:type="dxa" w:w="2340"/>
            <w:shd w:fill="FFFFFF"/>
          </w:tcPr>
          <w:p>
            <w:pPr>
              <w:jc w:val="left"/>
            </w:pPr>
            <w:r>
              <w:rPr>
                <w:rFonts w:ascii="Calibri" w:hAnsi="Calibri"/>
                <w:b w:val="0"/>
                <w:sz w:val="19"/>
              </w:rPr>
              <w:t>1 (Sin salas aisladas)</w:t>
            </w:r>
          </w:p>
        </w:tc>
        <w:tc>
          <w:tcPr>
            <w:tcW w:type="dxa" w:w="2340"/>
            <w:shd w:fill="FFFFFF"/>
          </w:tcPr>
          <w:p>
            <w:pPr>
              <w:jc w:val="left"/>
            </w:pPr>
            <w:r>
              <w:rPr>
                <w:rFonts w:ascii="Calibri" w:hAnsi="Calibri"/>
                <w:b w:val="0"/>
                <w:sz w:val="19"/>
              </w:rPr>
              <w:t>2 a 3 componentes</w:t>
            </w:r>
          </w:p>
        </w:tc>
        <w:tc>
          <w:tcPr>
            <w:tcW w:type="dxa" w:w="2340"/>
            <w:shd w:fill="FFFFFF"/>
          </w:tcPr>
          <w:p>
            <w:pPr>
              <w:jc w:val="left"/>
            </w:pPr>
            <w:r>
              <w:rPr>
                <w:rFonts w:ascii="Calibri" w:hAnsi="Calibri"/>
                <w:b w:val="0"/>
                <w:sz w:val="19"/>
              </w:rPr>
              <w:t>1 a 2 componentes</w:t>
            </w:r>
          </w:p>
        </w:tc>
      </w:tr>
    </w:tbl>
    <w:p>
      <w:pPr>
        <w:spacing w:after="240"/>
      </w:pPr>
    </w:p>
    <w:p>
      <w:pPr>
        <w:pStyle w:val="Heading2"/>
      </w:pPr>
      <w:r>
        <w:t>9.1. Discusión de los resultados</w:t>
      </w:r>
    </w:p>
    <w:p>
      <w:r>
        <w:t>El análisis cuantitativo revela lecciones fundamentales para la computación cuántica aplicada a la generación procedural:</w:t>
        <w:br/>
        <w:t>1. Eficiencia del modelo integrado: Al pasar de 48 a 96 variables e incluir los acoplamientos q_{t,c} * x_c, la tasa de navegabilidad salta del 17% al 98%, resolviéndose en apenas 0.25 segundos en Simulated Annealing. Esto demuestra que la poda geométrica basada en distancia Manhattan es un mecanismo extraordinariamente eficaz para contener el crecimiento del espacio de Hilbert en formulaciones cuánticas.</w:t>
        <w:br/>
        <w:t>2. Superioridad temporal del paradigma de annealing frente al árbol clásico: CP-SAT tarda más de 14 segundos en certificar la optimalidad debido a la complejidad combinatoria de las restricciones de callejón sin salida y exclusión mutua. En contraste, Simulated Annealing explora la superficie de energía del Hamiltoniano QUBO en órdenes de magnitud menos tiempo (0.14 - 0.25 s) encontrando soluciones de idéntica calidad espacial (fronteras = 22).</w:t>
        <w:br/>
        <w:t>3. El papel de la arquitectura híbrida clásico-cuántica: La formulación desacoplada (48 variables) es sumamente económica. Si se ejecuta un generador cuántico que produce cientos de muestras en milisegundos y se añade un filtro clásico ultra-rápido con BFS (que tarda microsegundos en descartar el 83% no navegable), el resultado es un motor procedural híbrido altamente viable en hardware actual (NISQ / Quantum Annealers de D-Wave).</w:t>
      </w:r>
    </w:p>
    <w:p>
      <w:pPr>
        <w:pStyle w:val="Heading1"/>
      </w:pPr>
      <w:r>
        <w:t>10. Conclusiones del Caso 3</w:t>
      </w:r>
    </w:p>
    <w:p>
      <w:r>
        <w:t>El Caso 3 culmina con éxito la trilogía de problemas de generación procedural planteada en el TFM. A diferencia de la colocación de monedas o la física unidireccional de saltos, este caso ha demostrado que es plenamente factible formular la síntesis de topología bidimensional completa como un Hamiltoniano de Ising cuadrático acoplado a un camino navegable.</w:t>
        <w:br/>
        <w:br/>
        <w:t>Los principales hallazgos quedan resumidos en:</w:t>
        <w:br/>
        <w:t>• La función objetivo de perímetro de muro es idéntica a una interacción ferromagnética de Ising 2D sin variables auxiliares.</w:t>
        <w:br/>
        <w:t>• El control de densidad mediante penalizaciones cuadráticas por zonas previene la agregación trivial con un 100% de fiabilidad.</w:t>
        <w:br/>
        <w:t>• La poda de variables de ruta permite mantener la formulación integrada en 96 variables, perfectamente ejecutable en simuladores y procesadores cuánticos actuales.</w:t>
        <w:br/>
        <w:t>• La visualización en Blender confirma que las soluciones matemáticamente óptimas se traducen en niveles estéticamente atractivos, jugables y con ritmo lúdico real.</w:t>
      </w:r>
    </w:p>
    <w:p>
      <w:pPr>
        <w:pStyle w:val="Heading1"/>
      </w:pPr>
      <w:r>
        <w:t>Anexo Técnico: Derivación Algebraica del Hamiltoniano QUBO</w:t>
      </w:r>
    </w:p>
    <w:p>
      <w:r>
        <w:t>A continuación se detalla la conversión paso a paso de cada restricción clásica a su forma cuadrática exacta en variables binarias:</w:t>
      </w:r>
    </w:p>
    <w:p>
      <w:r>
        <w:t>A1. Interacción de Frontera (Ising):</w:t>
        <w:br/>
        <w:t>Para x_u, x_v in {0, 1}:</w:t>
        <w:br/>
        <w:t>|x_u - x_v| = (x_u - x_v)^2 = x_u^2 + x_v^2 - 2*x_u*x_v</w:t>
        <w:br/>
        <w:t>Como x_i^2 = x_i para variables booleanas:</w:t>
        <w:br/>
        <w:t>|x_u - x_v| = x_u + x_v - 2 * x_u * x_v</w:t>
        <w:br/>
        <w:t>Coeficientes QUBO: lineal(x_u) += 1, lineal(x_v) += 1, cuadrático(x_u, x_v) += -2.</w:t>
        <w:br/>
        <w:br/>
        <w:t>A2. Restricción de Suma de Zona (S = 7 suelos en 12 celdas):</w:t>
        <w:br/>
        <w:t>P * (sum_{i=1}^{12} x_i - 7)^2 = P * [ (sum x_i)^2 - 14 * sum x_i + 49 ]</w:t>
        <w:br/>
        <w:t>= P * [ sum x_i^2 + 2 * sum_{i&lt;j} x_i * x_j - 14 * sum x_i + 49 ]</w:t>
        <w:br/>
        <w:t>= P * [ -13 * sum_{i=1}^{12} x_i + 2 * sum_{i&lt;j} x_i * x_j + 49 ]</w:t>
        <w:br/>
        <w:t>Coeficientes QUBO: lineal(x_i) += -13*P, cuadrático(x_i, x_j) += 2*P, constante += 49*P.</w:t>
        <w:br/>
        <w:br/>
        <w:t>A3. Compatibilidad Terreno-Ruta:</w:t>
        <w:br/>
        <w:t>La ruta no puede atravesar muros: si q_{t, c} = 1, entonces x_c debe valer 1.</w:t>
        <w:br/>
        <w:t>Penalización: P * q_{t, c} * (1 - x_c) = P * q_{t, c} - P * q_{t, c} * x_c</w:t>
        <w:br/>
        <w:t>Coeficientes QUBO: lineal(q_{t, c}) += P, cuadrático(q_{t, c}, x_c) += -P.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