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Work through</w:t>
      </w:r>
      <w:r>
        <w:t xml:space="preserve"> </w:t>
      </w:r>
      <w:r>
        <w:rPr>
          <w:bCs/>
          <w:b/>
        </w:rPr>
        <w:t xml:space="preserve">Module 0</w:t>
      </w:r>
      <w:r>
        <w:t xml:space="preserve"> </w:t>
      </w:r>
      <w:r>
        <w:t xml:space="preserve">— it sets up your coding environment, Slack, and GitHub.</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4"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bookmarkEnd w:id="30"/>
    <w:bookmarkStart w:id="31"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3"/>
        </w:numPr>
        <w:pStyle w:val="Compact"/>
      </w:pPr>
      <w:r>
        <w:rPr>
          <w:bCs/>
          <w:b/>
        </w:rPr>
        <w:t xml:space="preserve">If you have to miss class</w:t>
      </w:r>
      <w:r>
        <w:t xml:space="preserve">, let me know on Slack when you can. You’re still responsible for that week’s module and its deadlines.</w:t>
      </w:r>
    </w:p>
    <w:p>
      <w:pPr>
        <w:numPr>
          <w:ilvl w:val="0"/>
          <w:numId w:val="1003"/>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3"/>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3"/>
        </w:numPr>
        <w:pStyle w:val="Compact"/>
      </w:pPr>
      <w:r>
        <w:t xml:space="preserve">Absences for reasons of faith or conscience are accommodated. See Student rights.</w:t>
      </w:r>
    </w:p>
    <w:bookmarkEnd w:id="31"/>
    <w:bookmarkStart w:id="33"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2">
        <w:r>
          <w:rPr>
            <w:rStyle w:val="Hyperlink"/>
          </w:rPr>
          <w:t xml:space="preserve">steps for requesting accommodations</w:t>
        </w:r>
      </w:hyperlink>
      <w:r>
        <w:t xml:space="preserve"> </w:t>
      </w:r>
      <w:r>
        <w:t xml:space="preserve">through the Disability Access Center, and then talk to me about what you need specifically in this class. Full DAC contact details and testing procedures are under ADA accommodations.</w:t>
      </w:r>
    </w:p>
    <w:p>
      <w:r>
        <w:pict>
          <v:rect style="width:0;height:1.5pt" o:hralign="center" o:hrstd="t" o:hr="t"/>
        </w:pict>
      </w:r>
    </w:p>
    <w:bookmarkEnd w:id="33"/>
    <w:bookmarkEnd w:id="34"/>
    <w:bookmarkStart w:id="38"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computer labs are listed in Module 0.</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in Module 0.</w:t>
            </w:r>
          </w:p>
        </w:tc>
      </w:tr>
      <w:tr>
        <w:tc>
          <w:tcPr/>
          <w:p>
            <w:pPr>
              <w:pStyle w:val="Compact"/>
              <w:jc w:val="left"/>
            </w:pPr>
            <w:r>
              <w:rPr>
                <w:bCs/>
                <w:b/>
              </w:rPr>
              <w:t xml:space="preserve">A GitHub account</w:t>
            </w:r>
          </w:p>
        </w:tc>
        <w:tc>
          <w:tcPr/>
          <w:p>
            <w:pPr>
              <w:pStyle w:val="Compact"/>
              <w:jc w:val="left"/>
            </w:pPr>
            <w:r>
              <w:t xml:space="preserve">Free — it’s how you sign into cs50.dev. Setup in Module 0;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5">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4"/>
        </w:numPr>
        <w:pStyle w:val="Compact"/>
      </w:pPr>
      <w:r>
        <w:t xml:space="preserve">You may use a display name instead of your full legal name. Just tell me which account is yours.</w:t>
      </w:r>
    </w:p>
    <w:p>
      <w:pPr>
        <w:numPr>
          <w:ilvl w:val="0"/>
          <w:numId w:val="1004"/>
        </w:numPr>
        <w:pStyle w:val="Compact"/>
      </w:pPr>
      <w:r>
        <w:t xml:space="preserve">Don’t post personal or sensitive information — yours or anyone else’s — in Slack or in a public GitHub repository.</w:t>
      </w:r>
    </w:p>
    <w:p>
      <w:pPr>
        <w:numPr>
          <w:ilvl w:val="0"/>
          <w:numId w:val="1004"/>
        </w:numPr>
        <w:pStyle w:val="Compact"/>
      </w:pPr>
      <w:r>
        <w:t xml:space="preserve">Each service sets its own privacy and accessibility terms, which Clark doesn’t control.</w:t>
      </w:r>
    </w:p>
    <w:p>
      <w:pPr>
        <w:numPr>
          <w:ilvl w:val="0"/>
          <w:numId w:val="1004"/>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6">
        <w:r>
          <w:rPr>
            <w:rStyle w:val="Hyperlink"/>
          </w:rPr>
          <w:t xml:space="preserve">Clark’s eLearning policies page</w:t>
        </w:r>
      </w:hyperlink>
      <w:r>
        <w:t xml:space="preserve">. As a Clark student, you can also</w:t>
      </w:r>
      <w:r>
        <w:t xml:space="preserve"> </w:t>
      </w:r>
      <w:hyperlink r:id="rId37">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8"/>
    <w:bookmarkStart w:id="45" w:name="how-youll-be-graded"/>
    <w:p>
      <w:pPr>
        <w:pStyle w:val="Heading1"/>
      </w:pPr>
      <w:r>
        <w:t xml:space="preserve">How you’ll be graded</w:t>
      </w:r>
    </w:p>
    <w:bookmarkStart w:id="39"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and nine collaborative assignments</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everything is due</w:t>
      </w:r>
      <w:r>
        <w:t xml:space="preserve"> </w:t>
      </w:r>
      <w:r>
        <w:rPr>
          <w:bCs/>
          <w:b/>
        </w:rPr>
        <w:t xml:space="preserve">Sunday at 11:59 PM Pacific</w:t>
      </w:r>
      <w:r>
        <w:t xml:space="preserve"> </w:t>
      </w:r>
      <w:r>
        <w:t xml:space="preserve">and stays open for</w:t>
      </w:r>
      <w:r>
        <w:t xml:space="preserve"> </w:t>
      </w:r>
      <w:r>
        <w:rPr>
          <w:bCs/>
          <w:b/>
        </w:rPr>
        <w:t xml:space="preserve">three more days — through Wednesday at 11:59 PM — at full credit</w:t>
      </w:r>
      <w:r>
        <w:t xml:space="preserve">. Two things sit outside it: anything taken in class, and the final project.</w:t>
      </w:r>
    </w:p>
    <w:bookmarkEnd w:id="39"/>
    <w:bookmarkStart w:id="40" w:name="the-details"/>
    <w:p>
      <w:pPr>
        <w:pStyle w:val="Heading2"/>
      </w:pPr>
      <w:r>
        <w:t xml:space="preserve">The details</w:t>
      </w:r>
    </w:p>
    <w:p>
      <w:pPr>
        <w:numPr>
          <w:ilvl w:val="0"/>
          <w:numId w:val="1005"/>
        </w:numPr>
        <w:pStyle w:val="Compact"/>
      </w:pPr>
      <w:r>
        <w:rPr>
          <w:bCs/>
          <w:b/>
        </w:rPr>
        <w:t xml:space="preserve">Problem sets</w:t>
      </w:r>
      <w:r>
        <w:t xml:space="preserve"> </w:t>
      </w:r>
      <w:r>
        <w:t xml:space="preserve">— one per module. Close three days after the due date.</w:t>
      </w:r>
    </w:p>
    <w:p>
      <w:pPr>
        <w:numPr>
          <w:ilvl w:val="0"/>
          <w:numId w:val="1005"/>
        </w:numPr>
        <w:pStyle w:val="Compact"/>
      </w:pPr>
      <w:r>
        <w:rPr>
          <w:bCs/>
          <w:b/>
        </w:rPr>
        <w:t xml:space="preserve">Labs</w:t>
      </w:r>
      <w:r>
        <w:t xml:space="preserve"> </w:t>
      </w:r>
      <w:r>
        <w:t xml:space="preserve">— one or more per module. Close three days after the due date.</w:t>
      </w:r>
    </w:p>
    <w:p>
      <w:pPr>
        <w:numPr>
          <w:ilvl w:val="0"/>
          <w:numId w:val="1005"/>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6"/>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Sunday due date.</w:t>
      </w:r>
      <w:r>
        <w:t xml:space="preserve"> </w:t>
      </w:r>
      <w:r>
        <w:t xml:space="preserve">In practice that means Mondays —</w:t>
      </w:r>
      <w:r>
        <w:t xml:space="preserve"> </w:t>
      </w:r>
      <w:r>
        <w:rPr>
          <w:bCs/>
          <w:b/>
        </w:rPr>
        <w:t xml:space="preserve">October 5, 12, 19 and 26, and November 2, 9, 16 and 23.</w:t>
      </w:r>
      <w:r>
        <w:t xml:space="preserve"> </w:t>
      </w:r>
      <w:r>
        <w:t xml:space="preserve">They’re marked on the schedule below, and I’ll remind you the session before. You will never walk into a surprise quiz.</w:t>
      </w:r>
    </w:p>
    <w:p>
      <w:pPr>
        <w:numPr>
          <w:ilvl w:val="1"/>
          <w:numId w:val="1006"/>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6"/>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6"/>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6"/>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5"/>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7"/>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7"/>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5"/>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8"/>
        </w:numPr>
        <w:pStyle w:val="Compact"/>
      </w:pPr>
      <w:r>
        <w:rPr>
          <w:bCs/>
          <w:b/>
        </w:rPr>
        <w:t xml:space="preserve">December 4 is firm — it’s the only take-home deadline without the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5"/>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09"/>
        </w:numPr>
        <w:pStyle w:val="Compact"/>
      </w:pPr>
      <w:r>
        <w:rPr>
          <w:bCs/>
          <w:b/>
        </w:rPr>
        <w:t xml:space="preserve">This is the one thing with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09"/>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09"/>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0"/>
    <w:bookmarkStart w:id="41" w:name="how-participation-works"/>
    <w:p>
      <w:pPr>
        <w:pStyle w:val="Heading2"/>
      </w:pPr>
      <w:r>
        <w:t xml:space="preserve">How participation works</w:t>
      </w:r>
    </w:p>
    <w:p>
      <w:pPr>
        <w:pStyle w:val="FirstParagraph"/>
      </w:pPr>
      <w:r>
        <w:t xml:space="preserve">This is your biggest category, so here is exactly how you earn it.</w:t>
      </w:r>
    </w:p>
    <w:p>
      <w:pPr>
        <w:pStyle w:val="TableCaption"/>
      </w:pPr>
      <w:r>
        <w:t xml:space="preserve">The three parts of the participation grade and what each is worth.</w:t>
      </w:r>
    </w:p>
    <w:tbl>
      <w:tblPr>
        <w:tblStyle w:val="Table"/>
        <w:tblW w:type="auto" w:w="0"/>
        <w:tblLook w:firstRow="1" w:lastRow="0" w:firstColumn="0" w:lastColumn="0" w:noHBand="0" w:noVBand="0" w:val="0020"/>
        <w:jc w:val="start"/>
        <w:tblCaption w:val="The three parts of the participation grade and what each is worth."/>
      </w:tblPr>
      <w:tblGrid>
        <w:gridCol w:w="3960"/>
        <w:gridCol w:w="3960"/>
      </w:tblGrid>
      <w:tr>
        <w:trPr>
          <w:tblHeader w:val="true"/>
        </w:trPr>
        <w:tc>
          <w:tcPr/>
          <w:p>
            <w:pPr>
              <w:pStyle w:val="Compact"/>
              <w:jc w:val="left"/>
            </w:pPr>
            <w:r>
              <w:t xml:space="preserve">Component</w:t>
            </w:r>
          </w:p>
        </w:tc>
        <w:tc>
          <w:tcPr/>
          <w:p>
            <w:pPr>
              <w:pStyle w:val="Compact"/>
              <w:jc w:val="left"/>
            </w:pPr>
            <w:r>
              <w:t xml:space="preserve">Share of your final grade</w:t>
            </w:r>
          </w:p>
        </w:tc>
      </w:tr>
      <w:tr>
        <w:tc>
          <w:tcPr/>
          <w:p>
            <w:pPr>
              <w:pStyle w:val="Compact"/>
              <w:jc w:val="left"/>
            </w:pPr>
            <w:r>
              <w:t xml:space="preserve">In-class participation and group work</w:t>
            </w:r>
          </w:p>
        </w:tc>
        <w:tc>
          <w:tcPr/>
          <w:p>
            <w:pPr>
              <w:pStyle w:val="Compact"/>
              <w:jc w:val="left"/>
            </w:pPr>
            <w:r>
              <w:t xml:space="preserve">12%</w:t>
            </w:r>
          </w:p>
        </w:tc>
      </w:tr>
      <w:tr>
        <w:tc>
          <w:tcPr/>
          <w:p>
            <w:pPr>
              <w:pStyle w:val="Compact"/>
              <w:jc w:val="left"/>
            </w:pPr>
            <w:r>
              <w:t xml:space="preserve">Collaborative assignments (nine across the quarter)</w:t>
            </w:r>
          </w:p>
        </w:tc>
        <w:tc>
          <w:tcPr/>
          <w:p>
            <w:pPr>
              <w:pStyle w:val="Compact"/>
              <w:jc w:val="left"/>
            </w:pPr>
            <w:r>
              <w:t xml:space="preserve">8%</w:t>
            </w:r>
          </w:p>
        </w:tc>
      </w:tr>
      <w:tr>
        <w:tc>
          <w:tcPr/>
          <w:p>
            <w:pPr>
              <w:pStyle w:val="Compact"/>
              <w:jc w:val="left"/>
            </w:pPr>
            <w:r>
              <w:t xml:space="preserve">Weekly written/video reflections and discussion posts in Canvas</w:t>
            </w:r>
          </w:p>
        </w:tc>
        <w:tc>
          <w:tcPr/>
          <w:p>
            <w:pPr>
              <w:pStyle w:val="Compact"/>
              <w:jc w:val="left"/>
            </w:pPr>
            <w:r>
              <w:t xml:space="preserve">5%</w:t>
            </w:r>
          </w:p>
        </w:tc>
      </w:tr>
    </w:tbl>
    <w:p>
      <w:pPr>
        <w:numPr>
          <w:ilvl w:val="0"/>
          <w:numId w:val="1010"/>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0"/>
        </w:numPr>
        <w:pStyle w:val="Compact"/>
      </w:pPr>
      <w:r>
        <w:t xml:space="preserve">Reflections and collaborative assignments can be done outside class, so missing a session doesn’t cost you those points.</w:t>
      </w:r>
    </w:p>
    <w:p>
      <w:pPr>
        <w:numPr>
          <w:ilvl w:val="0"/>
          <w:numId w:val="1010"/>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0"/>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1"/>
    <w:bookmarkStart w:id="42"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1"/>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1"/>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1"/>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2"/>
    <w:bookmarkStart w:id="43"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2"/>
        </w:numPr>
        <w:pStyle w:val="Compact"/>
      </w:pPr>
      <w:r>
        <w:t xml:space="preserve">No penalty, no permission needed, no explanation required inside that window. It’s built into every regular take-home deadline.</w:t>
      </w:r>
    </w:p>
    <w:p>
      <w:pPr>
        <w:numPr>
          <w:ilvl w:val="0"/>
          <w:numId w:val="1012"/>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2"/>
        </w:numPr>
        <w:pStyle w:val="Compact"/>
      </w:pPr>
      <w:r>
        <w:rPr>
          <w:bCs/>
          <w:b/>
        </w:rPr>
        <w:t xml:space="preserve">Two things sit outside the window.</w:t>
      </w:r>
      <w:r>
        <w:t xml:space="preserve"> </w:t>
      </w:r>
      <w:r>
        <w:t xml:space="preserve">First,</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Second, the</w:t>
      </w:r>
      <w:r>
        <w:t xml:space="preserve"> </w:t>
      </w:r>
      <w:r>
        <w:rPr>
          <w:bCs/>
          <w:b/>
        </w:rPr>
        <w:t xml:space="preserve">final project</w:t>
      </w:r>
      <w:r>
        <w:t xml:space="preserve">: December 4 is firm, because presentations begin December 7.</w:t>
      </w:r>
    </w:p>
    <w:p>
      <w:pPr>
        <w:numPr>
          <w:ilvl w:val="0"/>
          <w:numId w:val="1012"/>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3"/>
    <w:bookmarkStart w:id="44"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4"/>
    <w:bookmarkEnd w:id="45"/>
    <w:bookmarkStart w:id="46"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quiz and exam dates, and what is due each week.</w:t>
      </w:r>
    </w:p>
    <w:tbl>
      <w:tblPr>
        <w:tblStyle w:val="Table"/>
        <w:tblW w:type="pct" w:w="5000"/>
        <w:tblLook w:firstRow="1" w:lastRow="0" w:firstColumn="0" w:lastColumn="0" w:noHBand="0" w:noVBand="0" w:val="0020"/>
        <w:jc w:val="start"/>
        <w:tblCaption w:val="The quarter week by week: dates, topics, quiz and exam date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Due that week</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Sunday, October 4</w:t>
            </w:r>
            <w:r>
              <w:t xml:space="preserve"> </w:t>
            </w:r>
            <w:r>
              <w:t xml:space="preserve">—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 Oct 5</w:t>
            </w:r>
          </w:p>
        </w:tc>
        <w:tc>
          <w:tcPr/>
          <w:p>
            <w:pPr>
              <w:pStyle w:val="Compact"/>
              <w:jc w:val="left"/>
            </w:pPr>
            <w:r>
              <w:rPr>
                <w:bCs/>
                <w:b/>
              </w:rPr>
              <w:t xml:space="preserve">Sunday, October 11</w:t>
            </w:r>
            <w:r>
              <w:t xml:space="preserve"> </w:t>
            </w:r>
            <w:r>
              <w:t xml:space="preserve">— 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 Oct 12</w:t>
            </w:r>
          </w:p>
        </w:tc>
        <w:tc>
          <w:tcPr/>
          <w:p>
            <w:pPr>
              <w:pStyle w:val="Compact"/>
              <w:jc w:val="left"/>
            </w:pPr>
            <w:r>
              <w:rPr>
                <w:bCs/>
                <w:b/>
              </w:rPr>
              <w:t xml:space="preserve">Sunday, October 18</w:t>
            </w:r>
            <w:r>
              <w:t xml:space="preserve"> </w:t>
            </w:r>
            <w:r>
              <w:t xml:space="preserve">— 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 Oct 19</w:t>
            </w:r>
            <w:r>
              <w:t xml:space="preserve"> </w:t>
            </w:r>
            <w:r>
              <w:t xml:space="preserve">·</w:t>
            </w:r>
            <w:r>
              <w:t xml:space="preserve"> </w:t>
            </w:r>
            <w:r>
              <w:rPr>
                <w:bCs/>
                <w:b/>
              </w:rPr>
              <w:t xml:space="preserve">Final project assigned</w:t>
            </w:r>
          </w:p>
        </w:tc>
        <w:tc>
          <w:tcPr/>
          <w:p>
            <w:pPr>
              <w:pStyle w:val="Compact"/>
              <w:jc w:val="left"/>
            </w:pPr>
            <w:r>
              <w:rPr>
                <w:bCs/>
                <w:b/>
              </w:rPr>
              <w:t xml:space="preserve">Sunday, October 25</w:t>
            </w:r>
            <w:r>
              <w:t xml:space="preserve"> </w:t>
            </w:r>
            <w:r>
              <w:t xml:space="preserve">— 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 Oct 26</w:t>
            </w:r>
            <w:r>
              <w:t xml:space="preserve"> </w:t>
            </w:r>
            <w:r>
              <w:t xml:space="preserve">·</w:t>
            </w:r>
            <w:r>
              <w:t xml:space="preserve"> </w:t>
            </w:r>
            <w:r>
              <w:rPr>
                <w:bCs/>
                <w:b/>
              </w:rPr>
              <w:t xml:space="preserve">Midterm in class Wed Oct 28</w:t>
            </w:r>
          </w:p>
        </w:tc>
        <w:tc>
          <w:tcPr/>
          <w:p>
            <w:pPr>
              <w:pStyle w:val="Compact"/>
              <w:jc w:val="left"/>
            </w:pPr>
            <w:r>
              <w:rPr>
                <w:bCs/>
                <w:b/>
              </w:rPr>
              <w:t xml:space="preserve">Sunday, November 1</w:t>
            </w:r>
            <w:r>
              <w:t xml:space="preserve"> </w:t>
            </w:r>
            <w:r>
              <w:t xml:space="preserve">— 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 Nov 2</w:t>
            </w:r>
          </w:p>
        </w:tc>
        <w:tc>
          <w:tcPr/>
          <w:p>
            <w:pPr>
              <w:pStyle w:val="Compact"/>
              <w:jc w:val="left"/>
            </w:pPr>
            <w:r>
              <w:rPr>
                <w:bCs/>
                <w:b/>
              </w:rPr>
              <w:t xml:space="preserve">Sunday, November 8</w:t>
            </w:r>
            <w:r>
              <w:t xml:space="preserve"> </w:t>
            </w:r>
            <w:r>
              <w:t xml:space="preserve">— 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 Nov 9</w:t>
            </w:r>
            <w:r>
              <w:t xml:space="preserve"> </w:t>
            </w:r>
            <w:r>
              <w:t xml:space="preserve">·</w:t>
            </w:r>
            <w:r>
              <w:t xml:space="preserve"> </w:t>
            </w:r>
            <w:r>
              <w:rPr>
                <w:iCs/>
                <w:i/>
              </w:rPr>
              <w:t xml:space="preserve">No class Wed Nov 11</w:t>
            </w:r>
          </w:p>
        </w:tc>
        <w:tc>
          <w:tcPr/>
          <w:p>
            <w:pPr>
              <w:pStyle w:val="Compact"/>
              <w:jc w:val="left"/>
            </w:pPr>
            <w:r>
              <w:rPr>
                <w:bCs/>
                <w:b/>
              </w:rPr>
              <w:t xml:space="preserve">Sunday, November 15</w:t>
            </w:r>
            <w:r>
              <w:t xml:space="preserve"> </w:t>
            </w:r>
            <w:r>
              <w:t xml:space="preserve">— 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 Nov 16</w:t>
            </w:r>
          </w:p>
        </w:tc>
        <w:tc>
          <w:tcPr/>
          <w:p>
            <w:pPr>
              <w:pStyle w:val="Compact"/>
              <w:jc w:val="left"/>
            </w:pPr>
            <w:r>
              <w:rPr>
                <w:bCs/>
                <w:b/>
              </w:rPr>
              <w:t xml:space="preserve">Sunday, November 22</w:t>
            </w:r>
            <w:r>
              <w:t xml:space="preserve"> </w:t>
            </w:r>
            <w:r>
              <w:t xml:space="preserve">— 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 Nov 23</w:t>
            </w:r>
            <w:r>
              <w:t xml:space="preserve"> </w:t>
            </w:r>
            <w:r>
              <w:t xml:space="preserve">·</w:t>
            </w:r>
            <w:r>
              <w:t xml:space="preserve"> </w:t>
            </w:r>
            <w:r>
              <w:rPr>
                <w:iCs/>
                <w:i/>
              </w:rPr>
              <w:t xml:space="preserve">No class Wed Nov 25</w:t>
            </w:r>
          </w:p>
        </w:tc>
        <w:tc>
          <w:tcPr/>
          <w:p>
            <w:pPr>
              <w:pStyle w:val="Compact"/>
              <w:jc w:val="left"/>
            </w:pPr>
            <w:r>
              <w:rPr>
                <w:bCs/>
                <w:b/>
              </w:rPr>
              <w:t xml:space="preserve">Sunday, November 29</w:t>
            </w:r>
            <w:r>
              <w:t xml:space="preserve"> </w:t>
            </w:r>
            <w:r>
              <w:t xml:space="preserve">— 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the only take-home deadline without the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The bold date in the last column is the deadline</w:t>
      </w:r>
      <w:r>
        <w:t xml:space="preserve"> </w:t>
      </w:r>
      <w:r>
        <w:t xml:space="preserve">— 11:59 PM Pacific that day. Everything under it stays open three more days at full credit, through the following</w:t>
      </w:r>
      <w:r>
        <w:t xml:space="preserve"> </w:t>
      </w:r>
      <w:r>
        <w:rPr>
          <w:bCs/>
          <w:b/>
        </w:rPr>
        <w:t xml:space="preserve">Wednesday at 11:59 PM</w:t>
      </w:r>
      <w:r>
        <w:t xml:space="preserve">. Quizzes, the midterm and the final exam are taken in class on the dates shown in the Topic column, so they aren’t part of that window — and neither is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w:t>
      </w:r>
      <w:r>
        <w:t xml:space="preserve"> </w:t>
      </w:r>
      <w:r>
        <w:rPr>
          <w:bCs/>
          <w:b/>
        </w:rPr>
        <w:t xml:space="preserve">Sunday, November 29 — the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to Wednesday, December 2, but don’t plan on that: December 2 is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6"/>
    <w:bookmarkStart w:id="57" w:name="course-agreements"/>
    <w:p>
      <w:pPr>
        <w:pStyle w:val="Heading1"/>
      </w:pPr>
      <w:r>
        <w:t xml:space="preserve">Course agreements</w:t>
      </w:r>
    </w:p>
    <w:bookmarkStart w:id="47"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bookmarkEnd w:id="47"/>
    <w:bookmarkStart w:id="48"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8"/>
    <w:bookmarkStart w:id="51"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49">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0"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3"/>
        </w:numPr>
        <w:pStyle w:val="Compact"/>
      </w:pPr>
      <w:r>
        <w:rPr>
          <w:bCs/>
          <w:b/>
        </w:rPr>
        <w:t xml:space="preserve">You get one, for the whole quarter.</w:t>
      </w:r>
      <w:r>
        <w:t xml:space="preserve"> </w:t>
      </w:r>
      <w:r>
        <w:t xml:space="preserve">Not one per assignment. One.</w:t>
      </w:r>
    </w:p>
    <w:p>
      <w:pPr>
        <w:numPr>
          <w:ilvl w:val="0"/>
          <w:numId w:val="1013"/>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3"/>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3"/>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3"/>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4"/>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4"/>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4"/>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4"/>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0"/>
    <w:bookmarkEnd w:id="51"/>
    <w:bookmarkStart w:id="52" w:name="classroom-norms"/>
    <w:p>
      <w:pPr>
        <w:pStyle w:val="Heading2"/>
      </w:pPr>
      <w:r>
        <w:t xml:space="preserve">Classroom norms</w:t>
      </w:r>
    </w:p>
    <w:p>
      <w:pPr>
        <w:numPr>
          <w:ilvl w:val="0"/>
          <w:numId w:val="1015"/>
        </w:numPr>
        <w:pStyle w:val="Compact"/>
      </w:pPr>
      <w:r>
        <w:t xml:space="preserve">Complete each week’s module — readings, assignments, and discussions — by the due date.</w:t>
      </w:r>
    </w:p>
    <w:p>
      <w:pPr>
        <w:numPr>
          <w:ilvl w:val="0"/>
          <w:numId w:val="1015"/>
        </w:numPr>
        <w:pStyle w:val="Compact"/>
      </w:pPr>
      <w:r>
        <w:t xml:space="preserve">Take part in class discussions and exercises, and bring your own experiences into them.</w:t>
      </w:r>
    </w:p>
    <w:p>
      <w:pPr>
        <w:numPr>
          <w:ilvl w:val="0"/>
          <w:numId w:val="1015"/>
        </w:numPr>
        <w:pStyle w:val="Compact"/>
      </w:pPr>
      <w:r>
        <w:t xml:space="preserve">Be a courteous member of the room and don’t get in the way of anyone else’s learning.</w:t>
      </w:r>
    </w:p>
    <w:p>
      <w:pPr>
        <w:numPr>
          <w:ilvl w:val="0"/>
          <w:numId w:val="1015"/>
        </w:numPr>
        <w:pStyle w:val="Compact"/>
      </w:pPr>
      <w:r>
        <w:t xml:space="preserve">Academic and intellectual honesty are expected at all times.</w:t>
      </w:r>
    </w:p>
    <w:p>
      <w:pPr>
        <w:numPr>
          <w:ilvl w:val="0"/>
          <w:numId w:val="1015"/>
        </w:numPr>
        <w:pStyle w:val="Compact"/>
      </w:pPr>
      <w:r>
        <w:t xml:space="preserve">Tell me as early as you can about anything that affects your ability to take part fully.</w:t>
      </w:r>
    </w:p>
    <w:bookmarkEnd w:id="52"/>
    <w:bookmarkStart w:id="53"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3"/>
    <w:bookmarkStart w:id="54"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4"/>
    <w:bookmarkStart w:id="56"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5">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6"/>
    <w:bookmarkEnd w:id="57"/>
    <w:bookmarkStart w:id="58"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6"/>
        </w:numPr>
        <w:pStyle w:val="Compact"/>
      </w:pPr>
      <w:r>
        <w:rPr>
          <w:bCs/>
          <w:b/>
        </w:rPr>
        <w:t xml:space="preserve">C1.</w:t>
      </w:r>
      <w:r>
        <w:t xml:space="preserve"> </w:t>
      </w:r>
      <w:r>
        <w:t xml:space="preserve">Show how computer operations and algorithmic thinking are applied to solve problems.</w:t>
      </w:r>
    </w:p>
    <w:p>
      <w:pPr>
        <w:numPr>
          <w:ilvl w:val="0"/>
          <w:numId w:val="1016"/>
        </w:numPr>
        <w:pStyle w:val="Compact"/>
      </w:pPr>
      <w:r>
        <w:rPr>
          <w:bCs/>
          <w:b/>
        </w:rPr>
        <w:t xml:space="preserve">C2.</w:t>
      </w:r>
      <w:r>
        <w:t xml:space="preserve"> </w:t>
      </w:r>
      <w:r>
        <w:t xml:space="preserve">Demonstrate working knowledge of fundamental computer concepts and iteration.</w:t>
      </w:r>
    </w:p>
    <w:p>
      <w:pPr>
        <w:numPr>
          <w:ilvl w:val="0"/>
          <w:numId w:val="1016"/>
        </w:numPr>
        <w:pStyle w:val="Compact"/>
      </w:pPr>
      <w:r>
        <w:rPr>
          <w:bCs/>
          <w:b/>
        </w:rPr>
        <w:t xml:space="preserve">C3.</w:t>
      </w:r>
      <w:r>
        <w:t xml:space="preserve"> </w:t>
      </w:r>
      <w:r>
        <w:t xml:space="preserve">Identify problems, solve them algorithmically, and write programs that address them.</w:t>
      </w:r>
    </w:p>
    <w:p>
      <w:pPr>
        <w:numPr>
          <w:ilvl w:val="0"/>
          <w:numId w:val="1016"/>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8"/>
    <w:bookmarkStart w:id="78" w:name="college-policies"/>
    <w:p>
      <w:pPr>
        <w:pStyle w:val="Heading1"/>
      </w:pPr>
      <w:r>
        <w:t xml:space="preserve">College policies</w:t>
      </w:r>
    </w:p>
    <w:bookmarkStart w:id="63" w:name="ada-accommodations"/>
    <w:p>
      <w:pPr>
        <w:pStyle w:val="Heading2"/>
      </w:pPr>
      <w:r>
        <w:t xml:space="preserve">ADA accommodations</w:t>
      </w:r>
    </w:p>
    <w:p>
      <w:pPr>
        <w:pStyle w:val="FirstParagraph"/>
      </w:pPr>
      <w:r>
        <w:t xml:space="preserve">The Disability Access Center (DAC) coordinates accommodations for students with disabilities and with temporary health conditions, including a temporary injury or pregnancy.</w:t>
      </w:r>
      <w:r>
        <w:t xml:space="preserve"> </w:t>
      </w:r>
      <w:r>
        <w:rPr>
          <w:bCs/>
          <w:b/>
        </w:rPr>
        <w:t xml:space="preserve">All accommodations must be approved through DAC first.</w:t>
      </w:r>
      <w:r>
        <w:t xml:space="preserve"> </w:t>
      </w:r>
      <w:r>
        <w:t xml:space="preserve">Request them by following the steps at</w:t>
      </w:r>
      <w:r>
        <w:t xml:space="preserve"> </w:t>
      </w:r>
      <w:hyperlink r:id="rId59">
        <w:r>
          <w:rPr>
            <w:rStyle w:val="Hyperlink"/>
          </w:rPr>
          <w:t xml:space="preserve">www.clark.edu/dac</w:t>
        </w:r>
      </w:hyperlink>
      <w:r>
        <w:t xml:space="preserve">.</w:t>
      </w:r>
    </w:p>
    <w:p>
      <w:pPr>
        <w:pStyle w:val="TableCaption"/>
      </w:pPr>
      <w:r>
        <w:t xml:space="preserve">Contact details for the Disability Access Center.</w:t>
      </w:r>
    </w:p>
    <w:tbl>
      <w:tblPr>
        <w:tblStyle w:val="Table"/>
        <w:tblW w:type="pct" w:w="5000"/>
        <w:tblLook w:firstRow="0" w:lastRow="0" w:firstColumn="0" w:lastColumn="0" w:noHBand="0" w:noVBand="0" w:val="0000"/>
        <w:jc w:val="start"/>
        <w:tblCaption w:val="Contact details for the Disability Access Center."/>
      </w:tblPr>
      <w:tblGrid>
        <w:gridCol w:w="3960"/>
        <w:gridCol w:w="3960"/>
      </w:tblGrid>
      <w:tr>
        <w:tc>
          <w:tcPr/>
          <w:p>
            <w:pPr>
              <w:pStyle w:val="Compact"/>
              <w:jc w:val="left"/>
            </w:pPr>
            <w:r>
              <w:rPr>
                <w:bCs/>
                <w:b/>
              </w:rPr>
              <w:t xml:space="preserve">Phone</w:t>
            </w:r>
          </w:p>
        </w:tc>
        <w:tc>
          <w:tcPr/>
          <w:p>
            <w:pPr>
              <w:pStyle w:val="Compact"/>
              <w:jc w:val="left"/>
            </w:pPr>
            <w:r>
              <w:t xml:space="preserve">360-992-2314 · ASL video phone 360-991-0901</w:t>
            </w:r>
          </w:p>
        </w:tc>
      </w:tr>
      <w:tr>
        <w:tc>
          <w:tcPr/>
          <w:p>
            <w:pPr>
              <w:pStyle w:val="Compact"/>
              <w:jc w:val="left"/>
            </w:pPr>
            <w:r>
              <w:rPr>
                <w:bCs/>
                <w:b/>
              </w:rPr>
              <w:t xml:space="preserve">Email</w:t>
            </w:r>
          </w:p>
        </w:tc>
        <w:tc>
          <w:tcPr/>
          <w:p>
            <w:pPr>
              <w:pStyle w:val="Compact"/>
              <w:jc w:val="left"/>
            </w:pPr>
            <w:hyperlink r:id="rId60">
              <w:r>
                <w:rPr>
                  <w:rStyle w:val="Hyperlink"/>
                </w:rPr>
                <w:t xml:space="preserve">dac@clark.edu</w:t>
              </w:r>
            </w:hyperlink>
            <w:r>
              <w:t xml:space="preserve"> </w:t>
            </w:r>
            <w:r>
              <w:t xml:space="preserve">· testing questions:</w:t>
            </w:r>
            <w:r>
              <w:t xml:space="preserve"> </w:t>
            </w:r>
            <w:hyperlink r:id="rId61">
              <w:r>
                <w:rPr>
                  <w:rStyle w:val="Hyperlink"/>
                </w:rPr>
                <w:t xml:space="preserve">DACtesting@clark.edu</w:t>
              </w:r>
            </w:hyperlink>
          </w:p>
        </w:tc>
      </w:tr>
      <w:tr>
        <w:tc>
          <w:tcPr/>
          <w:p>
            <w:pPr>
              <w:pStyle w:val="Compact"/>
              <w:jc w:val="left"/>
            </w:pPr>
            <w:r>
              <w:rPr>
                <w:bCs/>
                <w:b/>
              </w:rPr>
              <w:t xml:space="preserve">Location</w:t>
            </w:r>
          </w:p>
        </w:tc>
        <w:tc>
          <w:tcPr/>
          <w:p>
            <w:pPr>
              <w:pStyle w:val="Compact"/>
              <w:jc w:val="left"/>
            </w:pPr>
            <w:r>
              <w:t xml:space="preserve">Penguin Union Building (PUB) 002</w:t>
            </w:r>
          </w:p>
        </w:tc>
      </w:tr>
    </w:tbl>
    <w:p>
      <w:pPr>
        <w:pStyle w:val="BodyText"/>
      </w:pPr>
      <w:r>
        <w:t xml:space="preserve">Two things students often miss:</w:t>
      </w:r>
      <w:r>
        <w:t xml:space="preserve"> </w:t>
      </w:r>
      <w:r>
        <w:rPr>
          <w:bCs/>
          <w:b/>
        </w:rPr>
        <w:t xml:space="preserve">accommodations must be requested every term</w:t>
      </w:r>
      <w:r>
        <w:t xml:space="preserve"> </w:t>
      </w:r>
      <w:r>
        <w:t xml:space="preserve">in</w:t>
      </w:r>
      <w:r>
        <w:t xml:space="preserve"> </w:t>
      </w:r>
      <w:hyperlink r:id="rId62">
        <w:r>
          <w:rPr>
            <w:rStyle w:val="Hyperlink"/>
          </w:rPr>
          <w:t xml:space="preserve">myAccess</w:t>
        </w:r>
      </w:hyperlink>
      <w:r>
        <w:t xml:space="preserve">, and</w:t>
      </w:r>
      <w:r>
        <w:t xml:space="preserve"> </w:t>
      </w:r>
      <w:r>
        <w:rPr>
          <w:bCs/>
          <w:b/>
        </w:rPr>
        <w:t xml:space="preserve">exams at DAC must be scheduled by you</w:t>
      </w:r>
      <w:r>
        <w:t xml:space="preserve"> </w:t>
      </w:r>
      <w:r>
        <w:t xml:space="preserve">with at least five business days’ notice.</w:t>
      </w:r>
    </w:p>
    <w:p>
      <w:pPr>
        <w:pStyle w:val="BodyText"/>
      </w:pPr>
      <w:r>
        <w:t xml:space="preserve">Once your accommodations are set, contact me so we can talk about this course specifically. If you have any emergency medical information I should know about, tell me by the end of week one.</w:t>
      </w:r>
    </w:p>
    <w:bookmarkEnd w:id="63"/>
    <w:bookmarkStart w:id="65" w:name="non-discrimination"/>
    <w:p>
      <w:pPr>
        <w:pStyle w:val="Heading2"/>
      </w:pPr>
      <w:r>
        <w:t xml:space="preserve">Non-discrimination</w:t>
      </w:r>
    </w:p>
    <w:p>
      <w:pPr>
        <w:pStyle w:val="FirstParagraph"/>
      </w:pPr>
      <w:r>
        <w:t xml:space="preserve">Clark College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w:t>
      </w:r>
    </w:p>
    <w:p>
      <w:pPr>
        <w:pStyle w:val="BodyText"/>
      </w:pPr>
      <w:r>
        <w:t xml:space="preserve">To file a formal grievance: Human Resources, 1933 Fort Vancouver Way, Baird Hall 133 · 360-992-2105 ·</w:t>
      </w:r>
      <w:r>
        <w:t xml:space="preserve"> </w:t>
      </w:r>
      <w:hyperlink r:id="rId64">
        <w:r>
          <w:rPr>
            <w:rStyle w:val="Hyperlink"/>
          </w:rPr>
          <w:t xml:space="preserve">hr@clark.edu</w:t>
        </w:r>
      </w:hyperlink>
      <w:r>
        <w:t xml:space="preserve">.</w:t>
      </w:r>
    </w:p>
    <w:bookmarkEnd w:id="65"/>
    <w:bookmarkStart w:id="71" w:name="title-ix-and-sexual-misconduct"/>
    <w:p>
      <w:pPr>
        <w:pStyle w:val="Heading2"/>
      </w:pPr>
      <w:r>
        <w:t xml:space="preserve">Title IX and sexual misconduct</w:t>
      </w:r>
    </w:p>
    <w:p>
      <w:pPr>
        <w:pStyle w:val="FirstParagraph"/>
      </w:pPr>
      <w:r>
        <w:t xml:space="preserve">If you or someone you care about has been affected by sexual misconduct, you are not alone, and people here can help — to listen, to explain your options, and to help keep you safe. There’s no</w:t>
      </w:r>
      <w:r>
        <w:t xml:space="preserve"> </w:t>
      </w:r>
      <w:r>
        <w:t xml:space="preserve">“</w:t>
      </w:r>
      <w:r>
        <w:t xml:space="preserve">right way</w:t>
      </w:r>
      <w:r>
        <w:t xml:space="preserve">”</w:t>
      </w:r>
      <w:r>
        <w:t xml:space="preserve"> </w:t>
      </w:r>
      <w:r>
        <w:t xml:space="preserve">to feel and no single right thing to do.</w:t>
      </w:r>
    </w:p>
    <w:p>
      <w:pPr>
        <w:numPr>
          <w:ilvl w:val="0"/>
          <w:numId w:val="1017"/>
        </w:numPr>
        <w:pStyle w:val="Compact"/>
      </w:pPr>
      <w:hyperlink r:id="rId66">
        <w:r>
          <w:rPr>
            <w:rStyle w:val="Hyperlink"/>
          </w:rPr>
          <w:t xml:space="preserve">Campus and community resources</w:t>
        </w:r>
      </w:hyperlink>
    </w:p>
    <w:p>
      <w:pPr>
        <w:numPr>
          <w:ilvl w:val="0"/>
          <w:numId w:val="1017"/>
        </w:numPr>
        <w:pStyle w:val="Compact"/>
      </w:pPr>
      <w:hyperlink r:id="rId67">
        <w:r>
          <w:rPr>
            <w:rStyle w:val="Hyperlink"/>
          </w:rPr>
          <w:t xml:space="preserve">Reporting options</w:t>
        </w:r>
      </w:hyperlink>
    </w:p>
    <w:p>
      <w:pPr>
        <w:numPr>
          <w:ilvl w:val="0"/>
          <w:numId w:val="1017"/>
        </w:numPr>
        <w:pStyle w:val="Compact"/>
      </w:pPr>
      <w:hyperlink r:id="rId68">
        <w:r>
          <w:rPr>
            <w:rStyle w:val="Hyperlink"/>
          </w:rPr>
          <w:t xml:space="preserve">Title IX at Clark</w:t>
        </w:r>
      </w:hyperlink>
    </w:p>
    <w:p>
      <w:pPr>
        <w:numPr>
          <w:ilvl w:val="0"/>
          <w:numId w:val="1017"/>
        </w:numPr>
        <w:pStyle w:val="Compact"/>
      </w:pPr>
      <w:hyperlink r:id="rId69">
        <w:r>
          <w:rPr>
            <w:rStyle w:val="Hyperlink"/>
          </w:rPr>
          <w:t xml:space="preserve">Personal safety and helping a friend</w:t>
        </w:r>
      </w:hyperlink>
    </w:p>
    <w:p>
      <w:pPr>
        <w:numPr>
          <w:ilvl w:val="0"/>
          <w:numId w:val="1017"/>
        </w:numPr>
        <w:pStyle w:val="Compact"/>
      </w:pPr>
      <w:hyperlink r:id="rId70">
        <w:r>
          <w:rPr>
            <w:rStyle w:val="Hyperlink"/>
          </w:rPr>
          <w:t xml:space="preserve">Counseling and Health Center</w:t>
        </w:r>
      </w:hyperlink>
    </w:p>
    <w:bookmarkEnd w:id="71"/>
    <w:bookmarkStart w:id="73" w:name="student-rights-and-responsibilities"/>
    <w:p>
      <w:pPr>
        <w:pStyle w:val="Heading2"/>
      </w:pPr>
      <w:r>
        <w:t xml:space="preserve">Student rights and responsibilities</w:t>
      </w:r>
    </w:p>
    <w:p>
      <w:pPr>
        <w:pStyle w:val="FirstParagraph"/>
      </w:pPr>
      <w:r>
        <w:t xml:space="preserve">Clark’s</w:t>
      </w:r>
      <w:r>
        <w:t xml:space="preserve"> </w:t>
      </w:r>
      <w:hyperlink r:id="rId72">
        <w:r>
          <w:rPr>
            <w:rStyle w:val="Hyperlink"/>
          </w:rPr>
          <w:t xml:space="preserve">Student Rights and Responsibilities page</w:t>
        </w:r>
      </w:hyperlink>
      <w:r>
        <w:t xml:space="preserve"> </w:t>
      </w:r>
      <w:r>
        <w:t xml:space="preserve">covers freedom of access to education, absence for reasons of faith or conscience, FERPA, and emergency and health information.</w:t>
      </w:r>
      <w:r>
        <w:t xml:space="preserve"> </w:t>
      </w:r>
      <w:r>
        <w:rPr>
          <w:bCs/>
          <w:b/>
        </w:rPr>
        <w:t xml:space="preserve">If you’ll be absent for reasons of faith, just let me know</w:t>
      </w:r>
      <w:r>
        <w:t xml:space="preserve"> </w:t>
      </w:r>
      <w:r>
        <w:t xml:space="preserve">— no explanation needed beyond that.</w:t>
      </w:r>
    </w:p>
    <w:bookmarkEnd w:id="73"/>
    <w:bookmarkStart w:id="74"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74"/>
    <w:bookmarkStart w:id="77"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75">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76">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r>
        <w:tc>
          <w:tcPr/>
          <w:p>
            <w:pPr>
              <w:pStyle w:val="Compact"/>
              <w:jc w:val="left"/>
            </w:pPr>
            <w:r>
              <w:rPr>
                <w:bCs/>
                <w:b/>
              </w:rPr>
              <w:t xml:space="preserve">Need an escort to your car</w:t>
            </w:r>
          </w:p>
        </w:tc>
        <w:tc>
          <w:tcPr/>
          <w:p>
            <w:pPr>
              <w:pStyle w:val="Compact"/>
              <w:jc w:val="left"/>
            </w:pPr>
            <w:r>
              <w:t xml:space="preserve">Campus Security: 360-992-2133.</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77"/>
    <w:bookmarkEnd w:id="78"/>
    <w:bookmarkStart w:id="110"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83"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r>
        <w:tc>
          <w:tcPr/>
          <w:p>
            <w:pPr>
              <w:pStyle w:val="Compact"/>
              <w:jc w:val="left"/>
            </w:pPr>
            <w:r>
              <w:t xml:space="preserve">Free tutoring</w:t>
            </w:r>
          </w:p>
        </w:tc>
        <w:tc>
          <w:tcPr/>
          <w:p>
            <w:pPr>
              <w:pStyle w:val="Compact"/>
              <w:jc w:val="left"/>
            </w:pPr>
            <w:hyperlink r:id="rId79">
              <w:r>
                <w:rPr>
                  <w:rStyle w:val="Hyperlink"/>
                </w:rPr>
                <w:t xml:space="preserve">Clark Tutoring Services</w:t>
              </w:r>
            </w:hyperlink>
            <w:r>
              <w:t xml:space="preserve"> </w:t>
            </w:r>
            <w:r>
              <w:t xml:space="preserve">in person or on Zoom ·</w:t>
            </w:r>
            <w:r>
              <w:t xml:space="preserve"> </w:t>
            </w:r>
            <w:hyperlink r:id="rId80">
              <w:r>
                <w:rPr>
                  <w:rStyle w:val="Hyperlink"/>
                </w:rPr>
                <w:t xml:space="preserve">eTutoringOnline.org</w:t>
              </w:r>
            </w:hyperlink>
          </w:p>
        </w:tc>
      </w:tr>
      <w:tr>
        <w:tc>
          <w:tcPr/>
          <w:p>
            <w:pPr>
              <w:pStyle w:val="Compact"/>
              <w:jc w:val="left"/>
            </w:pPr>
            <w:r>
              <w:t xml:space="preserve">Research and citation help</w:t>
            </w:r>
          </w:p>
        </w:tc>
        <w:tc>
          <w:tcPr/>
          <w:p>
            <w:pPr>
              <w:pStyle w:val="Compact"/>
              <w:jc w:val="left"/>
            </w:pPr>
            <w:hyperlink r:id="rId81">
              <w:r>
                <w:rPr>
                  <w:rStyle w:val="Hyperlink"/>
                </w:rPr>
                <w:t xml:space="preserve">Clark librarians</w:t>
              </w:r>
            </w:hyperlink>
            <w:r>
              <w:t xml:space="preserve"> </w:t>
            </w:r>
            <w:r>
              <w:t xml:space="preserve">— in person or by</w:t>
            </w:r>
            <w:r>
              <w:t xml:space="preserve"> </w:t>
            </w:r>
            <w:hyperlink r:id="rId82">
              <w:r>
                <w:rPr>
                  <w:rStyle w:val="Hyperlink"/>
                </w:rPr>
                <w:t xml:space="preserve">chat</w:t>
              </w:r>
            </w:hyperlink>
          </w:p>
        </w:tc>
      </w:tr>
    </w:tbl>
    <w:bookmarkEnd w:id="83"/>
    <w:bookmarkStart w:id="92" w:name="tech-help"/>
    <w:p>
      <w:pPr>
        <w:pStyle w:val="Heading2"/>
      </w:pPr>
      <w:r>
        <w:t xml:space="preserve">Tech help</w:t>
      </w:r>
    </w:p>
    <w:p>
      <w:pPr>
        <w:pStyle w:val="TableCaption"/>
      </w:pPr>
      <w:r>
        <w:t xml:space="preserve">Where to go when Canvas, your account, or your software is not working.</w:t>
      </w:r>
    </w:p>
    <w:tbl>
      <w:tblPr>
        <w:tblStyle w:val="Table"/>
        <w:tblW w:type="pct" w:w="5000"/>
        <w:tblLook w:firstRow="1" w:lastRow="0" w:firstColumn="0" w:lastColumn="0" w:noHBand="0" w:noVBand="0" w:val="0020"/>
        <w:jc w:val="start"/>
        <w:tblCaption w:val="Where to go when Canvas, your account, or your software is not working."/>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Canvas, software, or account trouble</w:t>
            </w:r>
          </w:p>
        </w:tc>
        <w:tc>
          <w:tcPr/>
          <w:p>
            <w:pPr>
              <w:pStyle w:val="Compact"/>
              <w:jc w:val="left"/>
            </w:pPr>
            <w:hyperlink r:id="rId84">
              <w:r>
                <w:rPr>
                  <w:rStyle w:val="Hyperlink"/>
                </w:rPr>
                <w:t xml:space="preserve">Tech Hub</w:t>
              </w:r>
            </w:hyperlink>
            <w:r>
              <w:t xml:space="preserve"> </w:t>
            </w:r>
            <w:r>
              <w:t xml:space="preserve">— Scarpelli Hall 135 ·</w:t>
            </w:r>
            <w:r>
              <w:t xml:space="preserve"> </w:t>
            </w:r>
            <w:hyperlink r:id="rId85">
              <w:r>
                <w:rPr>
                  <w:rStyle w:val="Hyperlink"/>
                </w:rPr>
                <w:t xml:space="preserve">techhub@clark.edu</w:t>
              </w:r>
            </w:hyperlink>
            <w:r>
              <w:t xml:space="preserve"> </w:t>
            </w:r>
            <w:r>
              <w:t xml:space="preserve">· 360-992-2010</w:t>
            </w:r>
          </w:p>
        </w:tc>
      </w:tr>
      <w:tr>
        <w:tc>
          <w:tcPr/>
          <w:p>
            <w:pPr>
              <w:pStyle w:val="Compact"/>
              <w:jc w:val="left"/>
            </w:pPr>
            <w:r>
              <w:t xml:space="preserve">To report a Canvas problem</w:t>
            </w:r>
          </w:p>
        </w:tc>
        <w:tc>
          <w:tcPr/>
          <w:p>
            <w:pPr>
              <w:pStyle w:val="Compact"/>
              <w:jc w:val="left"/>
            </w:pPr>
            <w:r>
              <w:t xml:space="preserve">The</w:t>
            </w:r>
            <w:r>
              <w:t xml:space="preserve"> </w:t>
            </w:r>
            <w:r>
              <w:rPr>
                <w:bCs/>
                <w:b/>
              </w:rPr>
              <w:t xml:space="preserve">Help</w:t>
            </w:r>
            <w:r>
              <w:t xml:space="preserve"> </w:t>
            </w:r>
            <w:r>
              <w:t xml:space="preserve">button in Canvas →</w:t>
            </w:r>
            <w:r>
              <w:t xml:space="preserve"> </w:t>
            </w:r>
            <w:r>
              <w:t xml:space="preserve">“</w:t>
            </w:r>
            <w:r>
              <w:t xml:space="preserve">Report a Problem</w:t>
            </w:r>
            <w:r>
              <w:t xml:space="preserve">”</w:t>
            </w:r>
            <w:r>
              <w:t xml:space="preserve"> </w:t>
            </w:r>
            <w:r>
              <w:t xml:space="preserve">(replies come to your Clark Gmail).</w:t>
            </w:r>
            <w:r>
              <w:t xml:space="preserve"> </w:t>
            </w:r>
            <w:hyperlink r:id="rId86">
              <w:r>
                <w:rPr>
                  <w:rStyle w:val="Hyperlink"/>
                </w:rPr>
                <w:t xml:space="preserve">Canvas Student Guide</w:t>
              </w:r>
            </w:hyperlink>
          </w:p>
        </w:tc>
      </w:tr>
      <w:tr>
        <w:tc>
          <w:tcPr/>
          <w:p>
            <w:pPr>
              <w:pStyle w:val="Compact"/>
              <w:jc w:val="left"/>
            </w:pPr>
            <w:r>
              <w:t xml:space="preserve">A computer to work on</w:t>
            </w:r>
          </w:p>
        </w:tc>
        <w:tc>
          <w:tcPr/>
          <w:p>
            <w:pPr>
              <w:pStyle w:val="Compact"/>
              <w:jc w:val="left"/>
            </w:pPr>
            <w:hyperlink r:id="rId87">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88">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89">
              <w:r>
                <w:rPr>
                  <w:rStyle w:val="Hyperlink"/>
                </w:rPr>
                <w:t xml:space="preserve">All four Clark student accounts</w:t>
              </w:r>
            </w:hyperlink>
            <w:r>
              <w:t xml:space="preserve"> </w:t>
            </w:r>
            <w:r>
              <w:t xml:space="preserve">·</w:t>
            </w:r>
            <w:r>
              <w:t xml:space="preserve"> </w:t>
            </w:r>
            <w:hyperlink r:id="rId90">
              <w:r>
                <w:rPr>
                  <w:rStyle w:val="Hyperlink"/>
                </w:rPr>
                <w:t xml:space="preserve">student email</w:t>
              </w:r>
            </w:hyperlink>
            <w:r>
              <w:t xml:space="preserve"> </w:t>
            </w:r>
            <w:r>
              <w:t xml:space="preserve">·</w:t>
            </w:r>
            <w:r>
              <w:t xml:space="preserve"> </w:t>
            </w:r>
            <w:hyperlink r:id="rId91">
              <w:r>
                <w:rPr>
                  <w:rStyle w:val="Hyperlink"/>
                </w:rPr>
                <w:t xml:space="preserve">ctcLink</w:t>
              </w:r>
            </w:hyperlink>
          </w:p>
        </w:tc>
      </w:tr>
    </w:tbl>
    <w:bookmarkEnd w:id="92"/>
    <w:bookmarkStart w:id="109" w:name="life-help"/>
    <w:p>
      <w:pPr>
        <w:pStyle w:val="Heading2"/>
      </w:pPr>
      <w:r>
        <w:t xml:space="preserve">Life help</w:t>
      </w:r>
    </w:p>
    <w:p>
      <w:pPr>
        <w:pStyle w:val="TableCaption"/>
      </w:pPr>
      <w:r>
        <w:t xml:space="preserve">Clark support services for things outside the classroom.</w:t>
      </w:r>
    </w:p>
    <w:tbl>
      <w:tblPr>
        <w:tblStyle w:val="Table"/>
        <w:tblW w:type="pct" w:w="5000"/>
        <w:tblLook w:firstRow="1" w:lastRow="0" w:firstColumn="0" w:lastColumn="0" w:noHBand="0" w:noVBand="0" w:val="0020"/>
        <w:jc w:val="start"/>
        <w:tblCaption w:val="Clark support services for things outside the classroom."/>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Food, housing, or financial help</w:t>
            </w:r>
          </w:p>
        </w:tc>
        <w:tc>
          <w:tcPr/>
          <w:p>
            <w:pPr>
              <w:pStyle w:val="Compact"/>
              <w:jc w:val="left"/>
            </w:pPr>
            <w:hyperlink r:id="rId93">
              <w:r>
                <w:rPr>
                  <w:rStyle w:val="Hyperlink"/>
                </w:rPr>
                <w:t xml:space="preserve">Basic Needs Hub</w:t>
              </w:r>
            </w:hyperlink>
            <w:r>
              <w:t xml:space="preserve"> </w:t>
            </w:r>
            <w:r>
              <w:t xml:space="preserve">—</w:t>
            </w:r>
            <w:r>
              <w:t xml:space="preserve"> </w:t>
            </w:r>
            <w:hyperlink r:id="rId94">
              <w:r>
                <w:rPr>
                  <w:rStyle w:val="Hyperlink"/>
                </w:rPr>
                <w:t xml:space="preserve">basicneeds@clark.edu</w:t>
              </w:r>
            </w:hyperlink>
            <w:r>
              <w:t xml:space="preserve"> </w:t>
            </w:r>
            <w:r>
              <w:t xml:space="preserve">· 360-992-2766 · Gaiser Hall 216 ·</w:t>
            </w:r>
            <w:r>
              <w:t xml:space="preserve"> </w:t>
            </w:r>
            <w:hyperlink r:id="rId95">
              <w:r>
                <w:rPr>
                  <w:rStyle w:val="Hyperlink"/>
                </w:rPr>
                <w:t xml:space="preserve">intake form</w:t>
              </w:r>
            </w:hyperlink>
          </w:p>
        </w:tc>
      </w:tr>
      <w:tr>
        <w:tc>
          <w:tcPr/>
          <w:p>
            <w:pPr>
              <w:pStyle w:val="Compact"/>
              <w:jc w:val="left"/>
            </w:pPr>
            <w:r>
              <w:t xml:space="preserve">Groceries</w:t>
            </w:r>
          </w:p>
        </w:tc>
        <w:tc>
          <w:tcPr/>
          <w:p>
            <w:pPr>
              <w:pStyle w:val="Compact"/>
              <w:jc w:val="left"/>
            </w:pPr>
            <w:hyperlink r:id="rId96">
              <w:r>
                <w:rPr>
                  <w:rStyle w:val="Hyperlink"/>
                </w:rPr>
                <w:t xml:space="preserve">Penguin Pantry</w:t>
              </w:r>
            </w:hyperlink>
            <w:r>
              <w:t xml:space="preserve"> </w:t>
            </w:r>
            <w:r>
              <w:t xml:space="preserve">— monthly food boxes; contact Cath Busha, Dean of Student Engagement (</w:t>
            </w:r>
            <w:hyperlink r:id="rId97">
              <w:r>
                <w:rPr>
                  <w:rStyle w:val="Hyperlink"/>
                </w:rPr>
                <w:t xml:space="preserve">cbusha@clark.edu</w:t>
              </w:r>
            </w:hyperlink>
            <w:r>
              <w:t xml:space="preserve">)</w:t>
            </w:r>
          </w:p>
        </w:tc>
      </w:tr>
      <w:tr>
        <w:tc>
          <w:tcPr/>
          <w:p>
            <w:pPr>
              <w:pStyle w:val="Compact"/>
              <w:jc w:val="left"/>
            </w:pPr>
            <w:r>
              <w:t xml:space="preserve">Physical or mental health support</w:t>
            </w:r>
          </w:p>
        </w:tc>
        <w:tc>
          <w:tcPr/>
          <w:p>
            <w:pPr>
              <w:pStyle w:val="Compact"/>
              <w:jc w:val="left"/>
            </w:pPr>
            <w:hyperlink r:id="rId70">
              <w:r>
                <w:rPr>
                  <w:rStyle w:val="Hyperlink"/>
                </w:rPr>
                <w:t xml:space="preserve">Counseling and Health Center</w:t>
              </w:r>
            </w:hyperlink>
          </w:p>
        </w:tc>
      </w:tr>
      <w:tr>
        <w:tc>
          <w:tcPr/>
          <w:p>
            <w:pPr>
              <w:pStyle w:val="Compact"/>
              <w:jc w:val="left"/>
            </w:pPr>
            <w:r>
              <w:t xml:space="preserve">Help navigating college itself</w:t>
            </w:r>
          </w:p>
        </w:tc>
        <w:tc>
          <w:tcPr/>
          <w:p>
            <w:pPr>
              <w:pStyle w:val="Compact"/>
              <w:jc w:val="left"/>
            </w:pPr>
            <w:hyperlink r:id="rId98">
              <w:r>
                <w:rPr>
                  <w:rStyle w:val="Hyperlink"/>
                </w:rPr>
                <w:t xml:space="preserve">Student Success Coaches</w:t>
              </w:r>
            </w:hyperlink>
            <w:r>
              <w:t xml:space="preserve"> </w:t>
            </w:r>
            <w:r>
              <w:t xml:space="preserve">— PUB 002 or Zoom</w:t>
            </w:r>
          </w:p>
        </w:tc>
      </w:tr>
      <w:tr>
        <w:tc>
          <w:tcPr/>
          <w:p>
            <w:pPr>
              <w:pStyle w:val="Compact"/>
              <w:jc w:val="left"/>
            </w:pPr>
            <w:r>
              <w:t xml:space="preserve">Academic planning</w:t>
            </w:r>
          </w:p>
        </w:tc>
        <w:tc>
          <w:tcPr/>
          <w:p>
            <w:pPr>
              <w:pStyle w:val="Compact"/>
              <w:jc w:val="left"/>
            </w:pPr>
            <w:hyperlink r:id="rId99">
              <w:r>
                <w:rPr>
                  <w:rStyle w:val="Hyperlink"/>
                </w:rPr>
                <w:t xml:space="preserve">Advising Services</w:t>
              </w:r>
            </w:hyperlink>
            <w:r>
              <w:t xml:space="preserve"> </w:t>
            </w:r>
            <w:r>
              <w:t xml:space="preserve">—</w:t>
            </w:r>
            <w:r>
              <w:t xml:space="preserve"> </w:t>
            </w:r>
            <w:hyperlink r:id="rId100">
              <w:r>
                <w:rPr>
                  <w:rStyle w:val="Hyperlink"/>
                </w:rPr>
                <w:t xml:space="preserve">schedule an appointment</w:t>
              </w:r>
            </w:hyperlink>
          </w:p>
        </w:tc>
      </w:tr>
      <w:tr>
        <w:tc>
          <w:tcPr/>
          <w:p>
            <w:pPr>
              <w:pStyle w:val="Compact"/>
              <w:jc w:val="left"/>
            </w:pPr>
            <w:r>
              <w:t xml:space="preserve">Career and job help</w:t>
            </w:r>
          </w:p>
        </w:tc>
        <w:tc>
          <w:tcPr/>
          <w:p>
            <w:pPr>
              <w:pStyle w:val="Compact"/>
              <w:jc w:val="left"/>
            </w:pPr>
            <w:hyperlink r:id="rId101">
              <w:r>
                <w:rPr>
                  <w:rStyle w:val="Hyperlink"/>
                </w:rPr>
                <w:t xml:space="preserve">Career Services</w:t>
              </w:r>
            </w:hyperlink>
            <w:r>
              <w:t xml:space="preserve"> </w:t>
            </w:r>
            <w:r>
              <w:t xml:space="preserve">— 360-992-2902 ·</w:t>
            </w:r>
            <w:r>
              <w:t xml:space="preserve"> </w:t>
            </w:r>
            <w:hyperlink r:id="rId102">
              <w:r>
                <w:rPr>
                  <w:rStyle w:val="Hyperlink"/>
                </w:rPr>
                <w:t xml:space="preserve">careerservices@clark.edu</w:t>
              </w:r>
            </w:hyperlink>
          </w:p>
        </w:tc>
      </w:tr>
      <w:tr>
        <w:tc>
          <w:tcPr/>
          <w:p>
            <w:pPr>
              <w:pStyle w:val="Compact"/>
              <w:jc w:val="left"/>
            </w:pPr>
            <w:r>
              <w:t xml:space="preserve">Veteran support</w:t>
            </w:r>
          </w:p>
        </w:tc>
        <w:tc>
          <w:tcPr/>
          <w:p>
            <w:pPr>
              <w:pStyle w:val="Compact"/>
              <w:jc w:val="left"/>
            </w:pPr>
            <w:hyperlink r:id="rId103">
              <w:r>
                <w:rPr>
                  <w:rStyle w:val="Hyperlink"/>
                </w:rPr>
                <w:t xml:space="preserve">Veterans Center of Excellence</w:t>
              </w:r>
            </w:hyperlink>
            <w:r>
              <w:t xml:space="preserve"> </w:t>
            </w:r>
            <w:r>
              <w:t xml:space="preserve">— PUB 015 · 360-992-2073</w:t>
            </w:r>
          </w:p>
        </w:tc>
      </w:tr>
      <w:tr>
        <w:tc>
          <w:tcPr/>
          <w:p>
            <w:pPr>
              <w:pStyle w:val="Compact"/>
              <w:jc w:val="left"/>
            </w:pPr>
            <w:r>
              <w:t xml:space="preserve">Community and belonging</w:t>
            </w:r>
          </w:p>
        </w:tc>
        <w:tc>
          <w:tcPr/>
          <w:p>
            <w:pPr>
              <w:pStyle w:val="Compact"/>
              <w:jc w:val="left"/>
            </w:pPr>
            <w:hyperlink r:id="rId104">
              <w:r>
                <w:rPr>
                  <w:rStyle w:val="Hyperlink"/>
                </w:rPr>
                <w:t xml:space="preserve">Office of People and Culture</w:t>
              </w:r>
            </w:hyperlink>
            <w:r>
              <w:t xml:space="preserve"> </w:t>
            </w:r>
            <w:r>
              <w:t xml:space="preserve">and</w:t>
            </w:r>
            <w:r>
              <w:t xml:space="preserve"> </w:t>
            </w:r>
            <w:hyperlink r:id="rId105">
              <w:r>
                <w:rPr>
                  <w:rStyle w:val="Hyperlink"/>
                </w:rPr>
                <w:t xml:space="preserve">The Diversity Center</w:t>
              </w:r>
            </w:hyperlink>
            <w:r>
              <w:t xml:space="preserve"> </w:t>
            </w:r>
            <w:r>
              <w:t xml:space="preserve">— everyone welcome</w:t>
            </w:r>
          </w:p>
        </w:tc>
      </w:tr>
    </w:tbl>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pPr>
        <w:pStyle w:val="BodyText"/>
      </w:pPr>
      <w:r>
        <w:t xml:space="preserve">More at</w:t>
      </w:r>
      <w:r>
        <w:t xml:space="preserve"> </w:t>
      </w:r>
      <w:hyperlink r:id="rId106">
        <w:r>
          <w:rPr>
            <w:rStyle w:val="Hyperlink"/>
          </w:rPr>
          <w:t xml:space="preserve">Clark Students</w:t>
        </w:r>
      </w:hyperlink>
      <w:r>
        <w:t xml:space="preserve">, including</w:t>
      </w:r>
      <w:r>
        <w:t xml:space="preserve"> </w:t>
      </w:r>
      <w:hyperlink r:id="rId107">
        <w:r>
          <w:rPr>
            <w:rStyle w:val="Hyperlink"/>
          </w:rPr>
          <w:t xml:space="preserve">C-Tran transit</w:t>
        </w:r>
      </w:hyperlink>
      <w:r>
        <w:t xml:space="preserve"> </w:t>
      </w:r>
      <w:r>
        <w:t xml:space="preserve">and</w:t>
      </w:r>
      <w:r>
        <w:t xml:space="preserve"> </w:t>
      </w:r>
      <w:hyperlink r:id="rId108">
        <w:r>
          <w:rPr>
            <w:rStyle w:val="Hyperlink"/>
          </w:rPr>
          <w:t xml:space="preserve">campus maps</w:t>
        </w:r>
      </w:hyperlink>
      <w:r>
        <w:t xml:space="preserve">.</w:t>
      </w:r>
    </w:p>
    <w:p>
      <w:r>
        <w:pict>
          <v:rect style="width:0;height:1.5pt" o:hralign="center" o:hrstd="t" o:hr="t"/>
        </w:pict>
      </w:r>
    </w:p>
    <w:bookmarkEnd w:id="109"/>
    <w:bookmarkEnd w:id="110"/>
    <w:bookmarkStart w:id="111"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111"/>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75" Target="http://www.clark.edu" TargetMode="External" /><Relationship Type="http://schemas.openxmlformats.org/officeDocument/2006/relationships/hyperlink" Id="rId35" Target="http://www.clark.edu/academics/eLearning/" TargetMode="External" /><Relationship Type="http://schemas.openxmlformats.org/officeDocument/2006/relationships/hyperlink" Id="rId59" Target="http://www.clark.edu/dac" TargetMode="External" /><Relationship Type="http://schemas.openxmlformats.org/officeDocument/2006/relationships/hyperlink" Id="rId91" Target="http://www.clark.edu/its/documentation-and-resources/students/ctclink-account.php" TargetMode="External" /><Relationship Type="http://schemas.openxmlformats.org/officeDocument/2006/relationships/hyperlink" Id="rId90" Target="http://www.clark.edu/its/documentation-and-resources/students/emailsetup.php" TargetMode="External" /><Relationship Type="http://schemas.openxmlformats.org/officeDocument/2006/relationships/hyperlink" Id="rId87" Target="http://www.clark.edu/its/documentation-and-resources/students/hours.php" TargetMode="External" /><Relationship Type="http://schemas.openxmlformats.org/officeDocument/2006/relationships/hyperlink" Id="rId89" Target="http://www.clark.edu/its/documentation-and-resources/students/student-accounts.php" TargetMode="External" /><Relationship Type="http://schemas.openxmlformats.org/officeDocument/2006/relationships/hyperlink" Id="rId88" Target="http://www.clark.edu/its/documentation-and-resources/students/tech-request.php" TargetMode="External" /><Relationship Type="http://schemas.openxmlformats.org/officeDocument/2006/relationships/hyperlink" Id="rId76"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49"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86" Target="https://community.instructure.com/en/kb/canvas-lms-student-guide"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80" Target="https://etutoringonline.org/" TargetMode="External" /><Relationship Type="http://schemas.openxmlformats.org/officeDocument/2006/relationships/hyperlink" Id="rId95" Target="https://forms.office.com/r/QYMvHDdhxF" TargetMode="External" /><Relationship Type="http://schemas.openxmlformats.org/officeDocument/2006/relationships/hyperlink" Id="rId81" Target="https://library.clark.edu/" TargetMode="External" /><Relationship Type="http://schemas.openxmlformats.org/officeDocument/2006/relationships/hyperlink" Id="rId82" Target="https://library.clark.edu/content/ask-librarian" TargetMode="External" /><Relationship Type="http://schemas.openxmlformats.org/officeDocument/2006/relationships/hyperlink" Id="rId107" Target="https://www.c-tran.com/" TargetMode="External" /><Relationship Type="http://schemas.openxmlformats.org/officeDocument/2006/relationships/hyperlink" Id="rId55" Target="https://www.clark.edu/about/calendars/important-dates-deadlines/" TargetMode="External" /><Relationship Type="http://schemas.openxmlformats.org/officeDocument/2006/relationships/hyperlink" Id="rId68" Target="https://www.clark.edu/about/governance/policies-procedures/title-IX/" TargetMode="External" /><Relationship Type="http://schemas.openxmlformats.org/officeDocument/2006/relationships/hyperlink" Id="rId67" Target="https://www.clark.edu/about/governance/policies-procedures/title-IX/reporting.php" TargetMode="External" /><Relationship Type="http://schemas.openxmlformats.org/officeDocument/2006/relationships/hyperlink" Id="rId66" Target="https://www.clark.edu/about/governance/policies-procedures/title-IX/resources.php" TargetMode="External" /><Relationship Type="http://schemas.openxmlformats.org/officeDocument/2006/relationships/hyperlink" Id="rId69" Target="https://www.clark.edu/about/governance/policies-procedures/title-IX/safety-and-help.php" TargetMode="External" /><Relationship Type="http://schemas.openxmlformats.org/officeDocument/2006/relationships/hyperlink" Id="rId72" Target="https://www.clark.edu/about/governance/public-disclosure-and-records/adminProcedures/700/710/index.php" TargetMode="External" /><Relationship Type="http://schemas.openxmlformats.org/officeDocument/2006/relationships/hyperlink" Id="rId108" Target="https://www.clark.edu/about/visitors-guide/getting-to-clark/index.php" TargetMode="External" /><Relationship Type="http://schemas.openxmlformats.org/officeDocument/2006/relationships/hyperlink" Id="rId36" Target="https://www.clark.edu/academics/eLearning/policies-standards/accessibility-statements.php" TargetMode="External" /><Relationship Type="http://schemas.openxmlformats.org/officeDocument/2006/relationships/hyperlink" Id="rId93" Target="https://www.clark.edu/campus-life/student-support/basic-needs/" TargetMode="External" /><Relationship Type="http://schemas.openxmlformats.org/officeDocument/2006/relationships/hyperlink" Id="rId70" Target="https://www.clark.edu/campus-life/student-support/counseling/index.php" TargetMode="External" /><Relationship Type="http://schemas.openxmlformats.org/officeDocument/2006/relationships/hyperlink" Id="rId32" Target="https://www.clark.edu/campus-life/student-support/disability_support/access_procedure.php" TargetMode="External" /><Relationship Type="http://schemas.openxmlformats.org/officeDocument/2006/relationships/hyperlink" Id="rId105" Target="https://www.clark.edu/campus-life/student-support/diversity-and-equity/diversity_center.php" TargetMode="External" /><Relationship Type="http://schemas.openxmlformats.org/officeDocument/2006/relationships/hyperlink" Id="rId104" Target="https://www.clark.edu/campus-life/student-support/diversity-and-equity/index.php" TargetMode="External" /><Relationship Type="http://schemas.openxmlformats.org/officeDocument/2006/relationships/hyperlink" Id="rId96" Target="https://www.clark.edu/campus-life/student-support/penguinpantry/index.php" TargetMode="External" /><Relationship Type="http://schemas.openxmlformats.org/officeDocument/2006/relationships/hyperlink" Id="rId98" Target="https://www.clark.edu/campus-life/student-support/success-coaches/" TargetMode="External" /><Relationship Type="http://schemas.openxmlformats.org/officeDocument/2006/relationships/hyperlink" Id="rId79" Target="https://www.clark.edu/campus-life/student-support/tutoring/index.php" TargetMode="External" /><Relationship Type="http://schemas.openxmlformats.org/officeDocument/2006/relationships/hyperlink" Id="rId103" Target="https://www.clark.edu/campus-life/student-support/vrc/index.php" TargetMode="External" /><Relationship Type="http://schemas.openxmlformats.org/officeDocument/2006/relationships/hyperlink" Id="rId106" Target="https://www.clark.edu/current/index.php" TargetMode="External" /><Relationship Type="http://schemas.openxmlformats.org/officeDocument/2006/relationships/hyperlink" Id="rId62" Target="https://www.clark.edu/dac/myaccess.php" TargetMode="External" /><Relationship Type="http://schemas.openxmlformats.org/officeDocument/2006/relationships/hyperlink" Id="rId99" Target="https://www.clark.edu/enroll/advising-services/" TargetMode="External" /><Relationship Type="http://schemas.openxmlformats.org/officeDocument/2006/relationships/hyperlink" Id="rId100" Target="https://www.clark.edu/enroll/advising-services/schedule.php" TargetMode="External" /><Relationship Type="http://schemas.openxmlformats.org/officeDocument/2006/relationships/hyperlink" Id="rId101" Target="https://www.clark.edu/enroll/careers/index.php" TargetMode="External" /><Relationship Type="http://schemas.openxmlformats.org/officeDocument/2006/relationships/hyperlink" Id="rId37" Target="https://www.clark.edu/its/documentation-and-resources/students/microsoftdownloads.php" TargetMode="External" /><Relationship Type="http://schemas.openxmlformats.org/officeDocument/2006/relationships/hyperlink" Id="rId84" Target="https://www.clark.edu/its/documentation-and-resources/students/techhub/index.php" TargetMode="External" /><Relationship Type="http://schemas.openxmlformats.org/officeDocument/2006/relationships/hyperlink" Id="rId61" Target="mailto:DACtesting@clark.edu" TargetMode="External" /><Relationship Type="http://schemas.openxmlformats.org/officeDocument/2006/relationships/hyperlink" Id="rId94" Target="mailto:basicneeds@clark.edu" TargetMode="External" /><Relationship Type="http://schemas.openxmlformats.org/officeDocument/2006/relationships/hyperlink" Id="rId20" Target="mailto:belgort@clark.edu" TargetMode="External" /><Relationship Type="http://schemas.openxmlformats.org/officeDocument/2006/relationships/hyperlink" Id="rId102" Target="mailto:careerservices@clark.edu" TargetMode="External" /><Relationship Type="http://schemas.openxmlformats.org/officeDocument/2006/relationships/hyperlink" Id="rId97" Target="mailto:cbusha@clark.edu" TargetMode="External" /><Relationship Type="http://schemas.openxmlformats.org/officeDocument/2006/relationships/hyperlink" Id="rId60" Target="mailto:dac@clark.edu" TargetMode="External" /><Relationship Type="http://schemas.openxmlformats.org/officeDocument/2006/relationships/hyperlink" Id="rId64" Target="mailto:hr@clark.edu" TargetMode="External" /><Relationship Type="http://schemas.openxmlformats.org/officeDocument/2006/relationships/hyperlink" Id="rId85"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2026-09-11T21:36:45Z</dcterms:created>
  <dcterms:modified xsi:type="dcterms:W3CDTF">2026-09-11T21:36:45Z</dcterms:modified>
</cp:coreProperties>
</file>

<file path=docProps/custom.xml><?xml version="1.0" encoding="utf-8"?>
<Properties xmlns="http://schemas.openxmlformats.org/officeDocument/2006/custom-properties" xmlns:vt="http://schemas.openxmlformats.org/officeDocument/2006/docPropsVTypes"/>
</file>