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Believe in Oakland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Intake Doctrine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Working Document, v1.1, July 2026</w:t>
      </w:r>
    </w:p>
    <w:bookmarkStart w:colFirst="0" w:colLast="0" w:name="h0nsxnua1aoi" w:id="0"/>
    <w:bookmarkEnd w:id="0"/>
    <w:p w:rsidR="00000000" w:rsidDel="00000000" w:rsidP="00000000" w:rsidRDefault="00000000" w:rsidRPr="00000000" w14:paraId="00000004">
      <w:pPr>
        <w:pStyle w:val="Heading1"/>
        <w:rPr/>
      </w:pPr>
      <w:r w:rsidDel="00000000" w:rsidR="00000000" w:rsidRPr="00000000">
        <w:rPr>
          <w:rtl w:val="0"/>
        </w:rPr>
        <w:t xml:space="preserve">0. Status and ratification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Ratified July 18, 2026 on the operator’s word, from draft 0.7 at bio-bundle rev 0.1.40, per decision-q1-intake-doctrine-home.md: a standalone governing document, versioned independently on its own editorial cadence, joining the document set beside the State Rules specification, the Bundle Skill Composite Design, and the Technical Architecture Decisions. Authority ordering: the State Rules specification governs bundle shape; this doctrine governs admission to the store; the Design document governs write protocol. The M2’ acquisition skills and the authoring-check family name this document as their governing standard, and it is written to be readable by a collaborating journalist without the component taxonomies. Sections accrete as the work forces each decision; a section absent here is a decision not yet forced. The tree conforming to v1.0 is recorded in VERSIONS.json’s governing-document block from bio-bundle rev 0.1.41. v1.1 was minted July 20, 2026 at bio-bundle rev 0.1.48 in the documentation-first pass ordered by the operator, folding the practices and rulings of the July 19 production sessions; its revision note follows the v1.0 record below.</w:t>
      </w:r>
    </w:p>
    <w:bookmarkStart w:colFirst="0" w:colLast="0" w:name="qxcytt2to83e" w:id="1"/>
    <w:bookmarkEnd w:id="1"/>
    <w:p w:rsidR="00000000" w:rsidDel="00000000" w:rsidP="00000000" w:rsidRDefault="00000000" w:rsidRPr="00000000" w14:paraId="00000006">
      <w:pPr>
        <w:pStyle w:val="Heading1"/>
        <w:rPr/>
      </w:pPr>
      <w:r w:rsidDel="00000000" w:rsidR="00000000" w:rsidRPr="00000000">
        <w:rPr>
          <w:rtl w:val="0"/>
        </w:rPr>
        <w:t xml:space="preserve">Revision history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note (v1.1), July 20, 2026, bio-bundle rev 0.1.48.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Five additions from production practice and operator rulings, no existing section’s meaning changed. (a) New Section 6 states the escalation ladder as principle in the operator’s formulation and defines blanket direction, reconciling the practiced ladder with Section 4’s discovery-ratification clause (the D18 reconciliation). (b) New Section 7 records the ratification pattern as practiced through nine production releases under I-18. (c) New Section 8 records the disposition pattern from the July 19 cleanup: honest holds, ring-once duplicate folding, monitoring disabled on dispositioned bundles. (d) New Section 9 states creation authority boundaries across the three actor classes, made concrete by the admission of creation-by-packaging. (e) New Section 10 carries the staging-versus-expunge question explicitly with its decision criteria, to be decided at first sweep ratification. Companion note: I-18 and I-20 enter the ratified State Rules v1.5 with their checks; I-19 expunge remains drafted there pending its operation and check family.</w:t>
      </w:r>
    </w:p>
    <w:bookmarkStart w:colFirst="0" w:colLast="0" w:name="3vrclb1tg6p4" w:id="2"/>
    <w:bookmarkEnd w:id="2"/>
    <w:p w:rsidR="00000000" w:rsidDel="00000000" w:rsidP="00000000" w:rsidRDefault="00000000" w:rsidRPr="00000000" w14:paraId="00000008">
      <w:pPr>
        <w:pStyle w:val="Heading1"/>
        <w:rPr/>
      </w:pPr>
      <w:r w:rsidDel="00000000" w:rsidR="00000000" w:rsidRPr="00000000">
        <w:rPr>
          <w:rtl w:val="0"/>
        </w:rPr>
        <w:t xml:space="preserve">Revision history (drafts 0.1 through 0.7)</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Draft 0.7, July 18, 2026, rev 0.1.40. Draft 0.7 folds the adversarial review’s immediate amendments (phase2-adversarial-review.md, disposed per adversarial-review-disposition.md): the expunge reconciliation of the may-not-hold rail with the append-only history law and the off-store posture for restricted-held originals (Sections 1a, 4a); the interim release-log review control and the detached-signature target mechanism for authenticated release (4a); the co-attestation verification requirement at ratification (3); origin allowlists, https-only public hosts, fetch caps, the collected-backlog ceiling, and the bounded gathering-request grammar (4); and bag ingestion hygiene with publisher signatures (3c). Draft 0.6 refines the may-not-hold rail with the operator’s discovery framing: the group cannot know what it holds until it examines it, examination is the identification process, good-faith receipt and examination are not the offense and knowing retention after discovery is; the rail is discovery-then-action by an authorized member, never pre-screening perfection, with lawful-but-confidential discoveries routing to redaction. Draft 0.5 folded the operator’s fourth review round: the may-not-hold rail (contraband met with refusal and purge, never fencing, distinct from the deferred chooses-not-to-hold editorial section); release authority (the collected-to-verified transition is a named member’s decision, AI-assisted but member-made, gate-checkable, staged named-now authenticated-later); redaction practices (derived artifact, remove not mask, logged by class and reason, member-executed); and the distribution container (Section 3c, the single-step zip principle: BagIt RFC 8493 in ZIP form, whole-bag verification by one standard tool or stock sha256sum). Draft 0.4 added the independent-verifiability rule (Section 3b, the epistemic twin of R12: the tool never gates verification; every trust primitive must have a standard non-BIO verification path) and the positive form of the fetch rule (policy-governed, never caller-governed; breadth is compatible with accountability when the breadth is the ratified policy). Draft 0.3 folded the operator’s second review round: standing intent in two forms (named request and ratified sweep) with the ratification fence at collected, the corrected rationale for excluding caller-directed fetch (identity, auditability, editorial choice; not store integrity), the pausable daemon with the due-slate manual path, mechanical co-attestation as the Grade B trust-raiser, member-original records on the custody chain, and corroboration as a first-class provenance concept. Draft 0.2 folded two operator rulings from review: the two-axis provenance principle (Section 3 preamble) and admission-requires-provenance-never-relevance (Section 1a). Standalone governing document per decision-q1-intake-doctrine-home.md; leaves this tree at ratification. Authority ordering: the State Rules spec governs bundle shape; this doctrine governs admission to the store; the Design doc governs write protocol. Sections accrete as the M1’-M3’ work forces each decision; a section absent here is a decision not yet forced.</w:t>
      </w:r>
    </w:p>
    <w:bookmarkStart w:colFirst="0" w:colLast="0" w:name="hylw6cmpsqtc" w:id="3"/>
    <w:bookmarkEnd w:id="3"/>
    <w:p w:rsidR="00000000" w:rsidDel="00000000" w:rsidP="00000000" w:rsidRDefault="00000000" w:rsidRPr="00000000" w14:paraId="0000000A">
      <w:pPr>
        <w:pStyle w:val="Heading1"/>
        <w:rPr/>
      </w:pPr>
      <w:r w:rsidDel="00000000" w:rsidR="00000000" w:rsidRPr="00000000">
        <w:rPr>
          <w:rtl w:val="0"/>
        </w:rPr>
        <w:t xml:space="preserve">1. What the store admits (D1, draft position)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unit of admission is the evidentiary series, not the source document. One Information bundle carries one line of evidence (the Sewer Service Fund transfer series), and the documents that attest it (an auditor report, fund statements, a budget) live inside that bundle as captures with per-document provenance. A document attesting two independent lines of evidence is captured in each; storage is cheap and cross-bundle capture references are a coupling the cascade would have to walk. Rationale: consumers of the store reason about evidence, and the reference graph (cites edges) should carry evidentiary dependency, not file management. Revisit if a document class emerges whose whole content is the evidence (a leaked memo, a court order); the draft position is that such a document is itself a series of one.</w:t>
      </w:r>
    </w:p>
    <w:bookmarkStart w:colFirst="0" w:colLast="0" w:name="30w65est3g55" w:id="4"/>
    <w:bookmarkEnd w:id="4"/>
    <w:p w:rsidR="00000000" w:rsidDel="00000000" w:rsidP="00000000" w:rsidRDefault="00000000" w:rsidRPr="00000000" w14:paraId="0000000C">
      <w:pPr>
        <w:pStyle w:val="Heading1"/>
        <w:rPr/>
      </w:pPr>
      <w:r w:rsidDel="00000000" w:rsidR="00000000" w:rsidRPr="00000000">
        <w:rPr>
          <w:rtl w:val="0"/>
        </w:rPr>
        <w:t xml:space="preserve">1a. Admission requires provenance, never relevance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store may hold any information carrying honest provenance. Relevance to a stated need is not an admission criterion: information that satisfies no gathering request and no live investigation is still information with a provenance, admissible through any gated write path, and its cost is attention (managed by criticality marking and the navigation surfaces), not legality. The gathering-request mechanism of Section 4 constrains what the daemon may autonomously fetch; it constrains nothing about what the store may contain, with one exception that is law, not doctrine.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the group may not hold (added draft 0.5; refined draft 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 unlawful to possess is the one class the ratification fence cannot manage as a holding state, because the harm is the knowing holding. The epistemics run in one direction: the group cannot know what it holds until it examines it, examination is the identification process, and good-faith receipt and the act of examining are not the offense; knowing retention after discovery is. So the rail’s shape is discovery-then-action, not pre-screening perfection: intake proceeds in good faith under the fence; examination for release is the sanctioned process by which material identifies itself as appropriate or not; and upon discovery of unlawful material, an authorized member takes prompt recorded action, destruction and any legally required reporting, never silent retention. Discovery of lawful-but-confidential material routes to the redaction process of Section 4a under the same authority. Sweep definitions carry source-class and media-type constraints that make exposure unlikely by construction; the full incident procedure is drafted if ever forced.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Reconciliation with the append-only law (added draft 0.7, per the adversarial review’s F1).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Discovered material reaches live state through promotion, which writes immutable history snapshots under the append-only law, so destruction needs a sanctioned mechanism or the rail is prose. Expunge is that mechanism and the one exception to append-only history: the content is removed from live state and from history and replaced by a tombstone recording the fact, date, deciding authority, and reason class of the removal, never the content, so the audit trail stays honest while the material does not persist. Expunge is a named-member act under the same authority as release and redaction; it enters State Rules v1.5 as its own invariant (drafted there) and lands with its executable check when the operation is built, per the Mechanical Verification Law. Whether sweep intake should additionally stage before first promotion, so most discoveries happen before any history snapshot exists, is weighed at the M2’ build against the fence’s virtue that collected material is visible and durable; staging as the front line and expunge for late discoveries may both be right, and the decision is forced there, not here. Distinct from all of that, and still deferred until forced: what the group CHOOSES not to hold as editorial restraint (personal information about private individuals being the anticipated class), which is an editorial policy the group owns, not a schema rule.</w:t>
      </w:r>
    </w:p>
    <w:bookmarkStart w:colFirst="0" w:colLast="0" w:name="6f5rewfa3z55" w:id="5"/>
    <w:bookmarkEnd w:id="5"/>
    <w:p w:rsidR="00000000" w:rsidDel="00000000" w:rsidP="00000000" w:rsidRDefault="00000000" w:rsidRPr="00000000" w14:paraId="0000000E">
      <w:pPr>
        <w:pStyle w:val="Heading1"/>
        <w:rPr/>
      </w:pPr>
      <w:r w:rsidDel="00000000" w:rsidR="00000000" w:rsidRPr="00000000">
        <w:rPr>
          <w:rtl w:val="0"/>
        </w:rPr>
        <w:t xml:space="preserve">2. The intake contract (D2)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submission, daemon or member, carries:</w:t>
      </w:r>
    </w:p>
    <w:p w:rsidR="00000000" w:rsidDel="00000000" w:rsidP="00000000" w:rsidRDefault="00000000" w:rsidRPr="00000000" w14:paraId="00000010">
      <w:pPr>
        <w:numPr>
          <w:ilvl w:val="0"/>
          <w:numId w:val="1"/>
        </w:numPr>
        <w:ind w:left="720" w:hanging="480"/>
        <w:rPr/>
      </w:pPr>
      <w:r w:rsidDel="00000000" w:rsidR="00000000" w:rsidRPr="00000000">
        <w:rPr>
          <w:b w:val="1"/>
          <w:bCs w:val="1"/>
          <w:rtl w:val="0"/>
        </w:rPr>
        <w:t xml:space="preserve">The capture.</w:t>
      </w:r>
      <w:r w:rsidDel="00000000" w:rsidR="00000000" w:rsidRPr="00000000">
        <w:rPr>
          <w:rtl w:val="0"/>
        </w:rPr>
        <w:t xml:space="preserve"> The document bytes as obtained, named by grade (Section 3).</w:t>
      </w:r>
    </w:p>
    <w:p w:rsidR="00000000" w:rsidDel="00000000" w:rsidP="00000000" w:rsidRDefault="00000000" w:rsidRPr="00000000" w14:paraId="00000011">
      <w:pPr>
        <w:numPr>
          <w:ilvl w:val="0"/>
          <w:numId w:val="1"/>
        </w:numPr>
        <w:ind w:left="720" w:hanging="480"/>
        <w:rPr/>
      </w:pPr>
      <w:r w:rsidDel="00000000" w:rsidR="00000000" w:rsidRPr="00000000">
        <w:rPr>
          <w:b w:val="1"/>
          <w:bCs w:val="1"/>
          <w:rtl w:val="0"/>
        </w:rPr>
        <w:t xml:space="preserve">Provenance, per document:</w:t>
      </w:r>
      <w:r w:rsidDel="00000000" w:rsidR="00000000" w:rsidRPr="00000000">
        <w:rPr>
          <w:rtl w:val="0"/>
        </w:rPr>
        <w:t xml:space="preserve"> locator (the authoritative source address, or “in hand” with chain-of-custody notes for member submissions of unpublished material); authority (who issued the document, free text in draft 0.1, controlled vocabulary revisited when the corpus justifies one); retrieved (ISO-8601 UTC instant of capture); capture method (which actor, which surface, which grade); and the capturing actor’s class (daemon, session, member).</w:t>
      </w:r>
    </w:p>
    <w:p w:rsidR="00000000" w:rsidDel="00000000" w:rsidP="00000000" w:rsidRDefault="00000000" w:rsidRPr="00000000" w14:paraId="00000012">
      <w:pPr>
        <w:numPr>
          <w:ilvl w:val="0"/>
          <w:numId w:val="1"/>
        </w:numPr>
        <w:ind w:left="720" w:hanging="480"/>
        <w:rPr/>
      </w:pPr>
      <w:r w:rsidDel="00000000" w:rsidR="00000000" w:rsidRPr="00000000">
        <w:rPr>
          <w:b w:val="1"/>
          <w:bCs w:val="1"/>
          <w:rtl w:val="0"/>
        </w:rPr>
        <w:t xml:space="preserve">Classification and criticality</w:t>
      </w:r>
      <w:r w:rsidDel="00000000" w:rsidR="00000000" w:rsidRPr="00000000">
        <w:rPr>
          <w:rtl w:val="0"/>
        </w:rPr>
        <w:t xml:space="preserve"> per the State Rules Information schema: fact, analysis, or judgment; crucial or supporting. A received work product from another group is analysis by rule, never fact, per the no-transitive-trust storage form.</w:t>
      </w:r>
    </w:p>
    <w:p w:rsidR="00000000" w:rsidDel="00000000" w:rsidP="00000000" w:rsidRDefault="00000000" w:rsidRPr="00000000" w14:paraId="00000013">
      <w:pPr>
        <w:numPr>
          <w:ilvl w:val="0"/>
          <w:numId w:val="1"/>
        </w:numPr>
        <w:ind w:left="720" w:hanging="480"/>
        <w:rPr/>
      </w:pPr>
      <w:r w:rsidDel="00000000" w:rsidR="00000000" w:rsidRPr="00000000">
        <w:rPr>
          <w:b w:val="1"/>
          <w:bCs w:val="1"/>
          <w:rtl w:val="0"/>
        </w:rPr>
        <w:t xml:space="preserve">The normalized dataset with its content hash,</w:t>
      </w:r>
      <w:r w:rsidDel="00000000" w:rsidR="00000000" w:rsidRPr="00000000">
        <w:rPr>
          <w:rtl w:val="0"/>
        </w:rPr>
        <w:t xml:space="preserve"> where the document yields structured content. The hash is over the normalized dataset, never the raw capture (State Rules 4.1); a document with no structured content hashes its canonical text extraction.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it lands: as a gated Information bundle through the pending queue, promotion consuming it. No intake path writes live state; the daemon and the member are writers like every writer.</w:t>
      </w:r>
    </w:p>
    <w:bookmarkStart w:colFirst="0" w:colLast="0" w:name="8cm6niqsvj0v" w:id="6"/>
    <w:bookmarkEnd w:id="6"/>
    <w:p w:rsidR="00000000" w:rsidDel="00000000" w:rsidP="00000000" w:rsidRDefault="00000000" w:rsidRPr="00000000" w14:paraId="00000015">
      <w:pPr>
        <w:pStyle w:val="Heading1"/>
        <w:rPr/>
      </w:pPr>
      <w:r w:rsidDel="00000000" w:rsidR="00000000" w:rsidRPr="00000000">
        <w:rPr>
          <w:rtl w:val="0"/>
        </w:rPr>
        <w:t xml:space="preserve">3. Capture grades (D3)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Provenance has two orthogonal axes, both recorded per document, neither a quality score on the information itself. The source axis: who issued the document and with what authority. The capture-chain axis: how faithfully and verifiably the group obtained its copy. The grade lives entirely on the capture-chain axis; it grades the copy’s verifiability, never the source’s credibility and never the information’s worth. A Grade B capture of an auditor’s report is strong source on a moderate chain; a Grade A capture of a blog post is weak source on an airtight chain; neither axis substitutes for the other. Grades are named honestly because a claim about evidence is only as strong as its weakest named layer:</w:t>
      </w:r>
    </w:p>
    <w:p w:rsidR="00000000" w:rsidDel="00000000" w:rsidP="00000000" w:rsidRDefault="00000000" w:rsidRPr="00000000" w14:paraId="00000017">
      <w:pPr>
        <w:numPr>
          <w:ilvl w:val="0"/>
          <w:numId w:val="2"/>
        </w:numPr>
        <w:ind w:left="720" w:hanging="480"/>
        <w:rPr/>
      </w:pPr>
      <w:r w:rsidDel="00000000" w:rsidR="00000000" w:rsidRPr="00000000">
        <w:rPr>
          <w:b w:val="1"/>
          <w:bCs w:val="1"/>
          <w:rtl w:val="0"/>
        </w:rPr>
        <w:t xml:space="preserve">Grade A, evidentiary raw capture.</w:t>
      </w:r>
      <w:r w:rsidDel="00000000" w:rsidR="00000000" w:rsidRPr="00000000">
        <w:rPr>
          <w:rtl w:val="0"/>
        </w:rPr>
        <w:t xml:space="preserve"> WACZ web-archive or equivalent chain-of-custody capture of the source as served. Required before external distribution of any work product resting on the document (Tech Arch 7.2); produced by a network-capable agentic session or the M2’ fetch layer where the source permits.</w:t>
      </w:r>
    </w:p>
    <w:p w:rsidR="00000000" w:rsidDel="00000000" w:rsidP="00000000" w:rsidRDefault="00000000" w:rsidRPr="00000000" w14:paraId="00000018">
      <w:pPr>
        <w:numPr>
          <w:ilvl w:val="0"/>
          <w:numId w:val="2"/>
        </w:numPr>
        <w:ind w:left="720" w:hanging="480"/>
        <w:rPr/>
      </w:pPr>
      <w:r w:rsidDel="00000000" w:rsidR="00000000" w:rsidRPr="00000000">
        <w:rPr>
          <w:b w:val="1"/>
          <w:bCs w:val="1"/>
          <w:rtl w:val="0"/>
        </w:rPr>
        <w:t xml:space="preserve">Grade B, fetched content.</w:t>
      </w:r>
      <w:r w:rsidDel="00000000" w:rsidR="00000000" w:rsidRPr="00000000">
        <w:rPr>
          <w:rtl w:val="0"/>
        </w:rPr>
        <w:t xml:space="preserve"> The document bytes as fetched by a capable surface, hashed at receipt, with locator and instant. What the chat surface and the Apps Script fetch layer produce. Sufficient for internal work and for verified state; the gap to Grade A is recorded in Provenance Notes, never papered over.</w:t>
      </w:r>
    </w:p>
    <w:p w:rsidR="00000000" w:rsidDel="00000000" w:rsidP="00000000" w:rsidRDefault="00000000" w:rsidRPr="00000000" w14:paraId="00000019">
      <w:pPr>
        <w:numPr>
          <w:ilvl w:val="0"/>
          <w:numId w:val="2"/>
        </w:numPr>
        <w:ind w:left="720" w:hanging="480"/>
        <w:rPr/>
      </w:pPr>
      <w:r w:rsidDel="00000000" w:rsidR="00000000" w:rsidRPr="00000000">
        <w:rPr>
          <w:b w:val="1"/>
          <w:bCs w:val="1"/>
          <w:rtl w:val="0"/>
        </w:rPr>
        <w:t xml:space="preserve">Grade C, reference only.</w:t>
      </w:r>
      <w:r w:rsidDel="00000000" w:rsidR="00000000" w:rsidRPr="00000000">
        <w:rPr>
          <w:rtl w:val="0"/>
        </w:rPr>
        <w:t xml:space="preserve"> A locator and citation without archived bytes. Admissible only for sources that cannot be captured (a physical record, a paywalled corpus the group may cite but not archive), with the reason recorded. A Grade C source cannot back a load-bearing claim in an externally distributed work product.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Information bundle’s verified state requires Grade B or better on every attesting document. Grade upgrades (B to A) are accretive adds: the new capture lands beside the old, never replacing it.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Raising a grade mechanically (added draft 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self-recorded hash proves integrity since capture, not origin: it is the group’s attestation of what the source served. Two cheap, automatable co-attestations raise a Grade B capture toward evidentiary weight and are REQUIRED of the M2’ fetch layer wherever the source permits: (1) a co-archive request (Internet Archive or equivalent) of the same locator at capture time, creating an independent third-party timestamped record the group does not control, with the archive locator recorded in provenance; (2) a trusted timestamp over the capture hash, proving the capture existed at the claimed instant. The full replayable transaction capture (Grade A) remains the ceiling for adversarially distributed work products; co-attested Grade B is the working floor for verified state on contested claims.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Verification at ratification (added draft 0.7, per F4).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Co-attestation earns its weight only if someone checks it. An attacker holding a write token can fabricate plausible provenance fields, but cannot backdate a third-party archive snapshot or forge a timestamp token against its issuing authority; the countermeasure the design already contains works only when enforced at review. Ratifying crucial-criticality or contested material therefore requires the reviewing member to verify the recorded co-attestations (visit the co-archive locator, verify the timestamp token against its authority) before releasing, and the review surface presents the source material itself, never only an AI summary, so ratification is never a rubber stamp on a possibly steered account. A genuine capture failure is recorded honestly as attempted and unavailable, and material carrying it inherits a lower ceiling for external distribution rather than a papered gap. The checker surfaces crucial material lacking verifiable co-attestation as an advisory finding when the M2’ machinery lands.</w:t>
      </w:r>
    </w:p>
    <w:bookmarkStart w:colFirst="0" w:colLast="0" w:name="53ndl72bzj3j" w:id="7"/>
    <w:bookmarkEnd w:id="7"/>
    <w:p w:rsidR="00000000" w:rsidDel="00000000" w:rsidP="00000000" w:rsidRDefault="00000000" w:rsidRPr="00000000" w14:paraId="0000001D">
      <w:pPr>
        <w:pStyle w:val="Heading1"/>
        <w:rPr/>
      </w:pPr>
      <w:r w:rsidDel="00000000" w:rsidR="00000000" w:rsidRPr="00000000">
        <w:rPr>
          <w:rtl w:val="0"/>
        </w:rPr>
        <w:t xml:space="preserve">3a. Member-original records (added draft 0.3)</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Records a member creates or obtains in person (an audio recording of a public meeting, notes taken in the room, a printed agenda in hand) are original evidence, not captures of published documents; their capture-chain axis is chain of custody: who made or obtained the record, when, with what device or in what setting, hashed at intake with the member’s attestation recorded. On the two axes:</w:t>
      </w:r>
    </w:p>
    <w:p w:rsidR="00000000" w:rsidDel="00000000" w:rsidP="00000000" w:rsidRDefault="00000000" w:rsidRPr="00000000" w14:paraId="0000001F">
      <w:pPr>
        <w:numPr>
          <w:ilvl w:val="0"/>
          <w:numId w:val="3"/>
        </w:numPr>
        <w:ind w:left="720" w:hanging="480"/>
        <w:rPr/>
      </w:pPr>
      <w:r w:rsidDel="00000000" w:rsidR="00000000" w:rsidRPr="00000000">
        <w:rPr>
          <w:b w:val="1"/>
          <w:bCs w:val="1"/>
          <w:rtl w:val="0"/>
        </w:rPr>
        <w:t xml:space="preserve">A recording of the event</w:t>
      </w:r>
      <w:r w:rsidDel="00000000" w:rsidR="00000000" w:rsidRPr="00000000">
        <w:rPr>
          <w:rtl w:val="0"/>
        </w:rPr>
        <w:t xml:space="preserve"> is primary evidence: the source is the event itself. Weight rises with corroboration (the official recording or minutes, a second attendee’s record, device metadata). Open public meetings are recordable by right (Cal. Gov. Code 54953.5); material from private contexts waits on the deferred what-we-choose-not-to-hold section.</w:t>
      </w:r>
    </w:p>
    <w:p w:rsidR="00000000" w:rsidDel="00000000" w:rsidP="00000000" w:rsidRDefault="00000000" w:rsidRPr="00000000" w14:paraId="00000020">
      <w:pPr>
        <w:numPr>
          <w:ilvl w:val="0"/>
          <w:numId w:val="3"/>
        </w:numPr>
        <w:ind w:left="720" w:hanging="480"/>
        <w:rPr/>
      </w:pPr>
      <w:r w:rsidDel="00000000" w:rsidR="00000000" w:rsidRPr="00000000">
        <w:rPr>
          <w:b w:val="1"/>
          <w:bCs w:val="1"/>
          <w:rtl w:val="0"/>
        </w:rPr>
        <w:t xml:space="preserve">A document obtained in hand</w:t>
      </w:r>
      <w:r w:rsidDel="00000000" w:rsidR="00000000" w:rsidRPr="00000000">
        <w:rPr>
          <w:rtl w:val="0"/>
        </w:rPr>
        <w:t xml:space="preserve"> (the agenda) carries the issuing body’s authority with locator “in hand”; it cross-checks against any posted copy, which is co-attestation.</w:t>
      </w:r>
    </w:p>
    <w:p w:rsidR="00000000" w:rsidDel="00000000" w:rsidP="00000000" w:rsidRDefault="00000000" w:rsidRPr="00000000" w14:paraId="00000021">
      <w:pPr>
        <w:numPr>
          <w:ilvl w:val="0"/>
          <w:numId w:val="3"/>
        </w:numPr>
        <w:ind w:left="720" w:hanging="480"/>
        <w:rPr/>
      </w:pPr>
      <w:r w:rsidDel="00000000" w:rsidR="00000000" w:rsidRPr="00000000">
        <w:rPr>
          <w:b w:val="1"/>
          <w:bCs w:val="1"/>
          <w:rtl w:val="0"/>
        </w:rPr>
        <w:t xml:space="preserve">Notes</w:t>
      </w:r>
      <w:r w:rsidDel="00000000" w:rsidR="00000000" w:rsidRPr="00000000">
        <w:rPr>
          <w:rtl w:val="0"/>
        </w:rPr>
        <w:t xml:space="preserve"> are a witness account: the member’s perception, honestly classified as such, admissible with full provenance, carrying testimonial weight; alone they back a claim cautiously, and corroborated they harden.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three are evidence at different weights, and weight is the same everywhere in this doctrine: source authority, times chain integrity, times corroboration.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Corroboration as provenance (added draft 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Corroboration is a first-class provenance concept: an edge between independent records attesting the same fact (two captures from unrelated origins, a recording and the official minutes, a co-archive and the group’s own fetch). The reference graph carries these edges so evidentiary weight is readable from the store, not asserted in prose.</w:t>
      </w:r>
    </w:p>
    <w:bookmarkStart w:colFirst="0" w:colLast="0" w:name="pn2ug9lysadh" w:id="8"/>
    <w:bookmarkEnd w:id="8"/>
    <w:p w:rsidR="00000000" w:rsidDel="00000000" w:rsidP="00000000" w:rsidRDefault="00000000" w:rsidRPr="00000000" w14:paraId="00000024">
      <w:pPr>
        <w:pStyle w:val="Heading1"/>
        <w:rPr/>
      </w:pPr>
      <w:r w:rsidDel="00000000" w:rsidR="00000000" w:rsidRPr="00000000">
        <w:rPr>
          <w:rtl w:val="0"/>
        </w:rPr>
        <w:t xml:space="preserve">3b. Independent verifiability (added draft 0.4)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epistemic twin of R12: as the tool never gates the work, the tool never gates the verification. Every provenance claim in a distributed work product must be verifiable with standard, independently available tools; BIO tooling may make verification convenient, never necessary. The standards stack, binding on every trust primitive this doctrine or the M2’ machinery adopts:</w:t>
      </w:r>
    </w:p>
    <w:p w:rsidR="00000000" w:rsidDel="00000000" w:rsidP="00000000" w:rsidRDefault="00000000" w:rsidRPr="00000000" w14:paraId="00000026">
      <w:pPr>
        <w:numPr>
          <w:ilvl w:val="0"/>
          <w:numId w:val="4"/>
        </w:numPr>
        <w:ind w:left="720" w:hanging="480"/>
        <w:rPr/>
      </w:pPr>
      <w:r w:rsidDel="00000000" w:rsidR="00000000" w:rsidRPr="00000000">
        <w:rPr>
          <w:rtl w:val="0"/>
        </w:rPr>
        <w:t xml:space="preserve">Content hashes are SHA-256, verifiable with stock tooling (sha256sum, openssl) on any machine.</w:t>
      </w:r>
    </w:p>
    <w:p w:rsidR="00000000" w:rsidDel="00000000" w:rsidP="00000000" w:rsidRDefault="00000000" w:rsidRPr="00000000" w14:paraId="00000027">
      <w:pPr>
        <w:numPr>
          <w:ilvl w:val="0"/>
          <w:numId w:val="4"/>
        </w:numPr>
        <w:ind w:left="720" w:hanging="480"/>
        <w:rPr/>
      </w:pPr>
      <w:r w:rsidDel="00000000" w:rsidR="00000000" w:rsidRPr="00000000">
        <w:rPr>
          <w:rtl w:val="0"/>
        </w:rPr>
        <w:t xml:space="preserve">Trusted timestamps are RFC 3161 tokens, verifiable with openssl ts against the issuing authority.</w:t>
      </w:r>
    </w:p>
    <w:p w:rsidR="00000000" w:rsidDel="00000000" w:rsidP="00000000" w:rsidRDefault="00000000" w:rsidRPr="00000000" w14:paraId="00000028">
      <w:pPr>
        <w:numPr>
          <w:ilvl w:val="0"/>
          <w:numId w:val="4"/>
        </w:numPr>
        <w:ind w:left="720" w:hanging="480"/>
        <w:rPr/>
      </w:pPr>
      <w:r w:rsidDel="00000000" w:rsidR="00000000" w:rsidRPr="00000000">
        <w:rPr>
          <w:rtl w:val="0"/>
        </w:rPr>
        <w:t xml:space="preserve">Web captures at Grade A are WARC (ISO 28500) / WACZ, replayable in independent open-source players the group does not control.</w:t>
      </w:r>
    </w:p>
    <w:p w:rsidR="00000000" w:rsidDel="00000000" w:rsidP="00000000" w:rsidRDefault="00000000" w:rsidRPr="00000000" w14:paraId="00000029">
      <w:pPr>
        <w:numPr>
          <w:ilvl w:val="0"/>
          <w:numId w:val="4"/>
        </w:numPr>
        <w:ind w:left="720" w:hanging="480"/>
        <w:rPr/>
      </w:pPr>
      <w:r w:rsidDel="00000000" w:rsidR="00000000" w:rsidRPr="00000000">
        <w:rPr>
          <w:rtl w:val="0"/>
        </w:rPr>
        <w:t xml:space="preserve">Co-archives are third-party public archives (Internet Archive or equivalent) anyone can visit at the recorded locator.</w:t>
      </w:r>
    </w:p>
    <w:p w:rsidR="00000000" w:rsidDel="00000000" w:rsidP="00000000" w:rsidRDefault="00000000" w:rsidRPr="00000000" w14:paraId="0000002A">
      <w:pPr>
        <w:numPr>
          <w:ilvl w:val="0"/>
          <w:numId w:val="4"/>
        </w:numPr>
        <w:ind w:left="720" w:hanging="480"/>
        <w:rPr/>
      </w:pPr>
      <w:r w:rsidDel="00000000" w:rsidR="00000000" w:rsidRPr="00000000">
        <w:rPr>
          <w:rtl w:val="0"/>
        </w:rPr>
        <w:t xml:space="preserve">Manifests and provenance blocks are documented plain JSON, readable without software.</w:t>
      </w:r>
    </w:p>
    <w:p w:rsidR="00000000" w:rsidDel="00000000" w:rsidP="00000000" w:rsidRDefault="00000000" w:rsidRPr="00000000" w14:paraId="0000002B">
      <w:pPr>
        <w:numPr>
          <w:ilvl w:val="0"/>
          <w:numId w:val="4"/>
        </w:numPr>
        <w:ind w:left="720" w:hanging="480"/>
        <w:rPr/>
      </w:pPr>
      <w:r w:rsidDel="00000000" w:rsidR="00000000" w:rsidRPr="00000000">
        <w:rPr>
          <w:rtl w:val="0"/>
        </w:rPr>
        <w:t xml:space="preserve">Member-original media adopts C2PA signed-capture provenance as device and tool support permits.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trust primitive with no non-BIO verification path is not adopted, whatever its other merits. The outsider’s verification story must read, at every step, “check it yourself with tools you already trust.”</w:t>
      </w:r>
    </w:p>
    <w:bookmarkStart w:colFirst="0" w:colLast="0" w:name="gedopm2nbjyu" w:id="9"/>
    <w:bookmarkEnd w:id="9"/>
    <w:p w:rsidR="00000000" w:rsidDel="00000000" w:rsidP="00000000" w:rsidRDefault="00000000" w:rsidRPr="00000000" w14:paraId="0000002D">
      <w:pPr>
        <w:pStyle w:val="Heading1"/>
        <w:rPr/>
      </w:pPr>
      <w:r w:rsidDel="00000000" w:rsidR="00000000" w:rsidRPr="00000000">
        <w:rPr>
          <w:rtl w:val="0"/>
        </w:rPr>
        <w:t xml:space="preserve">3c. The distribution container (added draft 0.5)</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single-step rule, the operator’s zip principle: the assembled trust wrapper, not merely each primitive inside it, must be openable and verifiable in one step by one standard, trusted, independently available tool. The adopted container is BagIt (RFC 8493) in ordinary ZIP form: the work product’s payload subtree plus a manifest-sha256.txt (hash, space, path) plus bag metadata. Any BagIt tool verifies the whole bag in a single step, and the manifest format is simple enough that stock sha256sum verifies it with no BagIt software at all. Inside the bag, every layer keeps its own standard form per Section 3b: captures as WACZ, timestamps as RFC 3161 token files, provenance as documented JSON. The honest limit, stated so it is never papered over: single-step verification covers structure and integrity completely (every byte accounted for and unaltered); verifying an inner layer’s semantics (a timestamp’s signature, a capture’s replay) uses that layer’s own standard tool, because no off-the-shelf utility spans all semantics and a BIO tool that did would violate 3b. Depth of verification is the outsider’s choice, and every depth has a non-BIO path.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Ingesting bags (added draft 0.7, per F7).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bag verifies integrity, not authorship. Consuming another group’s bag applies standard extraction hygiene (every path validated against traversal before any write), and publisher authenticity comes from a detached standard signature over the bag manifest, the same mechanism as 4a’s target control, verified with off-the-shelf tooling. Recorded now; built when the first bag is produced or consumed.</w:t>
      </w:r>
    </w:p>
    <w:bookmarkStart w:colFirst="0" w:colLast="0" w:name="5kv1sld5nsyx" w:id="10"/>
    <w:bookmarkEnd w:id="10"/>
    <w:p w:rsidR="00000000" w:rsidDel="00000000" w:rsidP="00000000" w:rsidRDefault="00000000" w:rsidRPr="00000000" w14:paraId="00000030">
      <w:pPr>
        <w:pStyle w:val="Heading1"/>
        <w:rPr/>
      </w:pPr>
      <w:r w:rsidDel="00000000" w:rsidR="00000000" w:rsidRPr="00000000">
        <w:rPr>
          <w:rtl w:val="0"/>
        </w:rPr>
        <w:t xml:space="preserve">4. Standing intent: named requests and ratified sweeps (D5, first half)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daemon fetches only what store state authorizes; no caller ever directs a fetch by parameter. The rationale is not store integrity (the queue, the gate, and provenance protect that regardless): it is identity, since fetches run as the group’s infrastructure and the group must choose what it retrieves under its own name; auditability, since “why does the group have this?” must always be answerable from store state; and editorial choice, since what the group declines to hold is the group’s decision, not a caller’s. The positive form of the rule (added draft 0.4): fetching is policy-governed, never caller-governed. A crawler indexing the whole web answers challenges by pointing at its own published policy and its compliance with it; breadth is compatible with accountability exactly when the breadth is the group’s ratified policy. The sweep below is that policy’s form here, as wide as the group chooses to ratify it.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Standing intent takes two forms, both store state, both written through the gated path by a human:</w:t>
      </w:r>
    </w:p>
    <w:p w:rsidR="00000000" w:rsidDel="00000000" w:rsidP="00000000" w:rsidRDefault="00000000" w:rsidRPr="00000000" w14:paraId="00000033">
      <w:pPr>
        <w:numPr>
          <w:ilvl w:val="0"/>
          <w:numId w:val="5"/>
        </w:numPr>
        <w:ind w:left="720" w:hanging="480"/>
        <w:rPr/>
      </w:pPr>
      <w:r w:rsidDel="00000000" w:rsidR="00000000" w:rsidRPr="00000000">
        <w:rPr>
          <w:b w:val="1"/>
          <w:bCs w:val="1"/>
          <w:rtl w:val="0"/>
        </w:rPr>
        <w:t xml:space="preserve">The named request.</w:t>
      </w:r>
      <w:r w:rsidDel="00000000" w:rsidR="00000000" w:rsidRPr="00000000">
        <w:rPr>
          <w:rtl w:val="0"/>
        </w:rPr>
        <w:t xml:space="preserve"> Names a specific document or source: target identity or stable locator, the credible-source constraint (the authoritative publisher first; named mirrors only as recorded fallback), criticality, cadence. Carried in the target bundle’s monitoring block plus data/gathering.json.</w:t>
      </w:r>
    </w:p>
    <w:p w:rsidR="00000000" w:rsidDel="00000000" w:rsidP="00000000" w:rsidRDefault="00000000" w:rsidRPr="00000000" w14:paraId="00000034">
      <w:pPr>
        <w:numPr>
          <w:ilvl w:val="0"/>
          <w:numId w:val="5"/>
        </w:numPr>
        <w:ind w:left="720" w:hanging="480"/>
        <w:rPr/>
      </w:pPr>
      <w:r w:rsidDel="00000000" w:rsidR="00000000" w:rsidRPr="00000000">
        <w:rPr>
          <w:b w:val="1"/>
          <w:bCs w:val="1"/>
          <w:rtl w:val="0"/>
        </w:rPr>
        <w:t xml:space="preserve">The ratified sweep.</w:t>
      </w:r>
      <w:r w:rsidDel="00000000" w:rsidR="00000000" w:rsidRPr="00000000">
        <w:rPr>
          <w:rtl w:val="0"/>
        </w:rPr>
        <w:t xml:space="preserve"> Names a query, not a document: scope, source-class constraints, cadence, and a breadth budget. Within a sweep’s scope the daemon or an AI session may fetch what matches and what it deems relevant nearby, recording the deeming actor and the matched sweep in provenance.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ratification fence.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 named request fetches may enter at the state its verification earns. What a sweep brings back always lands at collected, never higher: safely in the store, fully provenanced, and fenced by the state machine itself. Human ratification is the collected-to-verified transition, made per-document after intake. What is ratified up front is the sweep’s scope; what is ratified afterward is each document’s standing. AI and broad discovery range wide; verified stays earned, one human decision at a time. Deferred until forced: the retention posture for collected material never ratified (an attention question, per Section 1a, not a legality question).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Member-submitted documents in hand enter under Section 2 directly; their gathering request is retroactive and optional (a member may plant one so the daemon watches the source for changes thereafter).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manual path.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daemon is pausable, and its due slate (every named request and sweep currently due) is exportable as an interactive prompt a member runs by hand in a chat session, the Alpha Pipeline runner pattern. The tool never becomes the only way the group’s standing intent gets executed.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Constraints as security controls (added draft 0.7, per F5 and F6).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Named-request locators and sweep source-class constraints are explicit origin allowlists, https-only, public hosts only, which forecloses both lookalike origins satisfying a loose pattern and SSRF-shaped locators. The breadth budget is a security control as much as attention hygiene: per-tick fetch caps, a ceiling on the collected backlog awaiting ratification (flooding collected until review becomes rubber-stamping is an attack, not merely clutter), and an anomaly note when a sweep’s yield departs its history are all part of a sweep’s ratified definition. Gathering-request fields carry a bounded grammar the gate checks, so a request record can never smuggle free text that a rendering surface would interpolate as instructions; the due-slate exporter renders store fields as quoted data inside fixed instruction framing; and examining sessions treat collected material strictly as untrusted data, never as instructions, a posture stated in the Data Extraction and Monitoring skill texts that M2’ mints.</w:t>
      </w:r>
    </w:p>
    <w:bookmarkStart w:colFirst="0" w:colLast="0" w:name="r55wrc41ehgl" w:id="11"/>
    <w:bookmarkEnd w:id="11"/>
    <w:p w:rsidR="00000000" w:rsidDel="00000000" w:rsidP="00000000" w:rsidRDefault="00000000" w:rsidRPr="00000000" w14:paraId="00000039">
      <w:pPr>
        <w:pStyle w:val="Heading1"/>
        <w:rPr/>
      </w:pPr>
      <w:r w:rsidDel="00000000" w:rsidR="00000000" w:rsidRPr="00000000">
        <w:rPr>
          <w:rtl w:val="0"/>
        </w:rPr>
        <w:t xml:space="preserve">4a. Release from hold, and redaction (added draft 0.5)</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Release authority.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collected-to-verified transition is a member’s decision: AI may assist the review freely, but the decision is made by, and recorded as, a named member. The transition’s state_history entry carries a member identity as author, never a surface or AI identity, and this is mechanically checkable: a release transition authored by a non-member identity fails the gate (an invariant candidate that arrives with its check when the release path is built, per the Mechanical Verification Law). Staged honestly: today the client authenticates the group, not the person, so the rule lands as named-member now, authenticated-member when the engagement layer adds per-member credentials; the doctrine states the full rule and the tree implements it in that order.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interim control (added draft 0.7, per F3).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Until authenticated release, the author field is a string any write-token holder can set; the mechanical check verifies form, not identity. The compensating control is periodic member review of the release log: the members read the store’s verified transitions against their own memory of their acts, and a release nobody made is an incident. Cheap, human, and honest about what the check can and cannot see. The target mechanism, built at M3’, is a detached signature over the transition record using standard tooling (minisign or SSH signatures), verifiable entirely outside BIO tooling, which is exactly what Section 3b requires of a trust primitive.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 lawful to hold may still need redaction before release. The practices: redaction produces a derived artifact, never an in-place edit; the unredacted original stays held under restricted handling or is destroyed by recorded decision. Redaction removes data rather than masking it. Every redaction is logged by class and reason, so the released artifact declares what was withheld and why, preserving the verification story rather than quietly breaking it. AI may flag redaction candidates during the held period; execution and approval are member acts under the same named-member rule as release. The redacted derivative is an ordinary capture-grade artifact with its own hash and a derivation record in provenance, composing with the accretive model unchanged.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Off-store originals (added draft 0.7, per F1).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store is designed to mirror, fork, and distribute; it has no restricted tier, and a restricted copy in a replicating substrate is a fiction. Until a restricted tier exists, an unredacted original held under restricted handling lives off-store, operator-held, with its hash and a derivation record in the store so the redacted derivative’s provenance still verifies against material the store does not carry.</w:t>
      </w:r>
    </w:p>
    <w:bookmarkStart w:colFirst="0" w:colLast="0" w:name="3z6ub0awsy3n" w:id="12"/>
    <w:bookmarkEnd w:id="12"/>
    <w:p w:rsidR="00000000" w:rsidDel="00000000" w:rsidP="00000000" w:rsidRDefault="00000000" w:rsidRPr="00000000" w14:paraId="0000003E">
      <w:pPr>
        <w:pStyle w:val="Heading1"/>
        <w:rPr/>
      </w:pPr>
      <w:r w:rsidDel="00000000" w:rsidR="00000000" w:rsidRPr="00000000">
        <w:rPr>
          <w:rtl w:val="0"/>
        </w:rPr>
        <w:t xml:space="preserve">5. Naming and criticality (D4, draft position)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Production IDs follow the spec grammar with slugs naming the evidence, not the document (sewer-transfer-series, not auditor-report-2022). Crucial marks evidence a live Problem or Project cites as load-bearing; supporting marks everything else; the checker already enforces nothing here, and the doctrine deliberately keeps criticality as editorial judgment recorded, not computed.</w:t>
      </w:r>
    </w:p>
    <w:bookmarkStart w:colFirst="0" w:colLast="0" w:name="jjwl9wz8daai" w:id="13"/>
    <w:bookmarkEnd w:id="13"/>
    <w:p w:rsidR="00000000" w:rsidDel="00000000" w:rsidP="00000000" w:rsidRDefault="00000000" w:rsidRPr="00000000" w14:paraId="00000040">
      <w:pPr>
        <w:pStyle w:val="Heading1"/>
        <w:rPr/>
      </w:pPr>
      <w:r w:rsidDel="00000000" w:rsidR="00000000" w:rsidRPr="00000000">
        <w:rPr>
          <w:rtl w:val="0"/>
        </w:rPr>
        <w:t xml:space="preserve">6. The escalation ladder and blanket direction (added v1.1)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principle, in the operator’s formulation: the workflow does everything possible and practical so that humans focus on judgment, assessment, communication, and action. The ladder that implements it has three rungs, each engaging the next only for what the rung below cannot do. The daemon executes named standing intent: mechanical capture, mechanical change detection, mechanical bookkeeping, nothing it composes and nothing it decides. A session discovers with its own tools: it reads what the daemon gathered, follows the evidence to sources the standing intent does not yet name, proposes new gathering requests, and prepares everything a decision needs. Humans are engaged only for the impossible or the impractical: acts of authority (ratification, release, elevation, disposition, distribution), acts of judgment the tools cannot make, and acts in the world.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Blanket direction (the D18 reconciliation).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Section 4’s rule stands: discovery of new documents is proposed by sessions and ratified into standing intent by humans. Production practice showed the ratification can be given as a blanket: a member may direct a session, within a named investigation scope, to plant the gathering requests its discovery warrants, and that direction is itself the ratification for every request within the scope, given once instead of per request. The blanket is bounded exactly as a sweep is: it names its scope, it is recorded (in the session’s record and in each planted request’s provenance, which names the directing member), and it never extends to release, which remains per-document under Section 4a whatever the breadth of the gathering direction. A blanket direction is standing intent about intake breadth; it is never standing intent about verification. The July 19 session’s Legistar chain was planted under exactly this form and is the worked example.</w:t>
      </w:r>
    </w:p>
    <w:bookmarkStart w:colFirst="0" w:colLast="0" w:name="k1myixgie2vk" w:id="14"/>
    <w:bookmarkEnd w:id="14"/>
    <w:p w:rsidR="00000000" w:rsidDel="00000000" w:rsidP="00000000" w:rsidRDefault="00000000" w:rsidRPr="00000000" w14:paraId="00000043">
      <w:pPr>
        <w:pStyle w:val="Heading1"/>
        <w:rPr/>
      </w:pPr>
      <w:r w:rsidDel="00000000" w:rsidR="00000000" w:rsidRPr="00000000">
        <w:rPr>
          <w:rtl w:val="0"/>
        </w:rPr>
        <w:t xml:space="preserve">7. The ratification pattern as practiced (added v1.1)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Nine production releases under I-18 settled the working pattern, recorded here so it is doctrine rather than habit. The session prepares: it verifies the capture against archived bytes, extracts the canonical dataset, computes the hashes, runs the gate locally, and assembles the release package with the C-2.7 rebase (the dataset’s canonical hash becomes content_hash, the capture hash stays authoritative in the register, and a change record accompanies the rebase). The member releases: the collected-to-verified transition is the member’s decision under Section 4a, recorded with the member’s name as author. The blurb states exactly what the capture is and never more: an index-page capture is released as a capture of an index page, not as a capture of the documents the page lists, and the July 19 index-page releases are the worked example. Review of crucial or contested material includes the Section 3 co-attestation verification, and the review surface presents the source material itself, never only an AI summary.</w:t>
      </w:r>
    </w:p>
    <w:bookmarkStart w:colFirst="0" w:colLast="0" w:name="t2k7efvhh9yf" w:id="15"/>
    <w:bookmarkEnd w:id="15"/>
    <w:p w:rsidR="00000000" w:rsidDel="00000000" w:rsidP="00000000" w:rsidRDefault="00000000" w:rsidRPr="00000000" w14:paraId="00000045">
      <w:pPr>
        <w:pStyle w:val="Heading1"/>
        <w:rPr/>
      </w:pPr>
      <w:r w:rsidDel="00000000" w:rsidR="00000000" w:rsidRPr="00000000">
        <w:rPr>
          <w:rtl w:val="0"/>
        </w:rPr>
        <w:t xml:space="preserve">8. The disposition pattern (added v1.1)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the July 19 cleanup, the pattern for material that enters the store and should not proceed toward verified. Honest holds: a bundle held for a stated reason stays at collected with the reason in Review Notes, never silently parked and never deleted. Duplicate folding per ring-once: byte-identical content is corroboration on the original entry, never a second review item; the duplicate bundle is dispositioned at collected with a Review Note naming the original, and the corroboration edge lands on the original’s register. Monitoring is disabled on dispositioned bundles, so the daemon stops spending attention on material the group has already judged. Everything stays at collected because the state machine has no collected-to-retired edge; whether one should exist is deliberately left unforced until the volume of dispositioned material makes the answer real.</w:t>
      </w:r>
    </w:p>
    <w:bookmarkStart w:colFirst="0" w:colLast="0" w:name="sy0kauf9goyx" w:id="16"/>
    <w:bookmarkEnd w:id="16"/>
    <w:p w:rsidR="00000000" w:rsidDel="00000000" w:rsidP="00000000" w:rsidRDefault="00000000" w:rsidRPr="00000000" w14:paraId="00000047">
      <w:pPr>
        <w:pStyle w:val="Heading1"/>
        <w:rPr/>
      </w:pPr>
      <w:r w:rsidDel="00000000" w:rsidR="00000000" w:rsidRPr="00000000">
        <w:rPr>
          <w:rtl w:val="0"/>
        </w:rPr>
        <w:t xml:space="preserve">9. Creation authority boundaries (added v1.1)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Made concrete by the admission of creation-by-packaging (accelerator 0.10.2). The daemon creates Information bundles from named standing intent only, always at collected, never anything else and never higher. Sessions create Problem and Project bundles through creation-by-packaging, gated in the producing session, promoted like every write; the first production Problem and Project were created exactly this way. Elevation, release, disposition, and distribution are member acts under Sections 4a and 7, whatever surface records them. No actor class creates Actions mechanically; an Action is an act in the world and begins as a member decision.</w:t>
      </w:r>
    </w:p>
    <w:bookmarkStart w:colFirst="0" w:colLast="0" w:name="gvvryxd5ws8y" w:id="17"/>
    <w:bookmarkEnd w:id="17"/>
    <w:p w:rsidR="00000000" w:rsidDel="00000000" w:rsidP="00000000" w:rsidRDefault="00000000" w:rsidRPr="00000000" w14:paraId="00000049">
      <w:pPr>
        <w:pStyle w:val="Heading1"/>
        <w:rPr/>
      </w:pPr>
      <w:r w:rsidDel="00000000" w:rsidR="00000000" w:rsidRPr="00000000">
        <w:rPr>
          <w:rtl w:val="0"/>
        </w:rPr>
        <w:t xml:space="preserve">10. Staging versus expunge (added v1.1; open, with decision criteria)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open question from the draft 0.7 reconciliation, carried explicitly rather than by allusion. Sweep intake could stage before first promotion, so most may-not-hold discoveries happen before any history snapshot exists and expunge is rarely needed; or the fence’s current form could stand, with collected material visible and durable from first promotion and expunge handling late discoveries. The decision criteria: the fence’s virtue is that collected material is visible, durable, and reviewable by every member from the moment it lands, which staging weakens; staging’s virtue is that discovery-then-action mostly happens before immutable history exists, which shrinks the expunge surface; and the deciding facts are the observed rate of may-not-hold discoveries in real sweep yield and the observed cost of expunge when exercised, neither of which exists yet because no sweep has been ratified. Decided at first sweep ratification, not before. Both-and remains admissible: staging as the front line and expunge for late discoveries.</w:t>
      </w:r>
    </w:p>
    <w:bookmarkStart w:colFirst="0" w:colLast="0" w:name="l0rrlvy96pjm" w:id="18"/>
    <w:bookmarkEnd w:id="18"/>
    <w:p w:rsidR="00000000" w:rsidDel="00000000" w:rsidP="00000000" w:rsidRDefault="00000000" w:rsidRPr="00000000" w14:paraId="0000004B">
      <w:pPr>
        <w:pStyle w:val="Heading1"/>
        <w:rPr/>
      </w:pPr>
      <w:r w:rsidDel="00000000" w:rsidR="00000000" w:rsidRPr="00000000">
        <w:rPr>
          <w:rtl w:val="0"/>
        </w:rPr>
        <w:t xml:space="preserve">Sections not yet forced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Member-intake specifics beyond the contract (M3’); received work products from other groups as an intake class (the Cityside consumer posture makes this concrete; drafted when the first one arrives); extraction and normalization standards per document type (M2’, with the Data Extraction skill); the acquisition doctrine’s second draft shaped by the Cityside collaboration (original M4 exit).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