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7kz6tlnyi9vo" w:id="0"/>
    <w:bookmarkEnd w:id="0"/>
    <w:p w:rsidR="00000000" w:rsidDel="00000000" w:rsidP="00000000" w:rsidRDefault="00000000" w:rsidRPr="00000000" w14:paraId="00000001">
      <w:pPr>
        <w:pStyle w:val="Heading1"/>
        <w:rPr/>
      </w:pPr>
      <w:r w:rsidDel="00000000" w:rsidR="00000000" w:rsidRPr="00000000">
        <w:rPr>
          <w:rtl w:val="0"/>
        </w:rPr>
        <w:t xml:space="preserve">Believe in Oakland</w:t>
      </w:r>
    </w:p>
    <w:bookmarkStart w:colFirst="0" w:colLast="0" w:name="tmejmcxvy7jq" w:id="1"/>
    <w:bookmarkEnd w:id="1"/>
    <w:p w:rsidR="00000000" w:rsidDel="00000000" w:rsidP="00000000" w:rsidRDefault="00000000" w:rsidRPr="00000000" w14:paraId="00000002">
      <w:pPr>
        <w:pStyle w:val="Heading1"/>
        <w:rPr/>
      </w:pPr>
      <w:r w:rsidDel="00000000" w:rsidR="00000000" w:rsidRPr="00000000">
        <w:rPr>
          <w:rtl w:val="0"/>
        </w:rPr>
        <w:t xml:space="preserve">Technical Architecture Decisions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Document — v10, July 2026 (M2’ daemon ratified deployed; interruption, concurrency, and index-integrity models; manifest contract; promotion gate posture)</w:t>
      </w:r>
      <w:r w:rsidDel="00000000" w:rsidR="00000000" w:rsidRPr="00000000">
        <w:rPr>
          <w:rtl w:val="0"/>
        </w:rPr>
      </w:r>
    </w:p>
    <w:bookmarkStart w:colFirst="0" w:colLast="0" w:name="i3ubc9ez6fl7" w:id="2"/>
    <w:bookmarkEnd w:id="2"/>
    <w:p w:rsidR="00000000" w:rsidDel="00000000" w:rsidP="00000000" w:rsidRDefault="00000000" w:rsidRPr="00000000" w14:paraId="00000004">
      <w:pPr>
        <w:pStyle w:val="Heading1"/>
        <w:rPr/>
      </w:pPr>
      <w:r w:rsidDel="00000000" w:rsidR="00000000" w:rsidRPr="00000000">
        <w:rPr>
          <w:rtl w:val="0"/>
        </w:rPr>
        <w:t xml:space="preserve">0. Purpose, status, and how to read this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records the architecture decisions for the Believe in Oakland (BIO) civic operating system. It is a companion to the BIO document set; where it touches design requirements, BIO_Design_Requirements governs, and where it touches the skill inventory it assumes the model in BIO_Complete_Roadmap and BIO_Functional_Architecture. Where it touches data-store matters, BIO_State_Rules_Consistency governs. Where it touches admission to the store, BIO_Intake_Doctrine governs.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framing.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are designing the full distributed platform to be right from the start. The Oakland sewer fund case is an exemplar pilot used to pressure-test the architecture against a real, messy source, not a call to act publicly. Public action waits until the stack is judged sufficiently functional, refined, and resilient.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Companion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data-store state rules and the consistency checker, summarized here, are specified in full in BIO_State_Rules_Consistency (v1.4, July 2026): store layout and canonical naming, bundle anatomy, the universal frontmatter core plus per-type schemas, per-type state machines, the typed reference model with cascade semantics, the pending-package queue, convergent promotion, multi-writer coherence, the invariant set, the violation-to-repair-action mapping, and the Mechanical Verification Law. The bundle skill’s internal structure is specified in BIO_Bundle_Skill_Composite_Design (v1.6, July 2026). Admission to the store, capture grades, co-attestation, release authority, and the distribution container are governed by BIO_Intake_Doctrine (v1.0, ratified July 18, 2026), which joined the document set after v9 of this document.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v9. Ratifies the P2 M2’ daemon completion state at bio-bundle rev 0.1.48 (accelerator 0.10.2, bio-checks 1.9.0, client 0.7.0), folding the M2’ daemon admission slate, the July 19 live-fire findings, and the operator decisions of July 20. (a) Section 10.4’s registry flips monitor-tick, sweep, and deadline-recheck (duescan) from candidate to deployed, each live-fire verified in production on July 19, 2026, and admits member creation-by-packaging as a write-package capability extension per its admission note (endpoint-admission-m2b-member-creation.md), deployed at accelerator 0.10.2. (b) New Sections 10.7 through 10.9 record the operational models the live fire validated: the interruption model (manifest-last durability, cascade-before-change ordering, self-expiring claims, recovery by inflight completion), daemon concurrency (claim-serialized creation-capable operations, sequence uniqueness deliberately not an invariant), and fail-closed index integrity (missing versus failure, degraded-index behavior). (c) New Section 10.10 states the manifest contract: created is real UTC, author names the deciding member on authority-bearing writes, and skill_version is the writer’s component version. (d) New Section 10.11 records the promotion gate posture decided July 20 on the operator’s word: the embedded gate runs at promotion for non-mechanical manifests, implementation queued at accelerator 0.10.3. (e) Section 7 gains 7.6 (the gathering contract: locators as ordered fallbacks, one document per request, unknown cadence defaulting to monthly) and 7.7 (attestation in production: SPN anonymous mode, the RFC 3161 freetsa fallback with digicert failures recorded, the CA caveat, and the coming M3’ asymmetry for unfetchable member-submitted documents). (f) Section 7.1 records the proven mechanical source classes: Socrata full-file exports and Granicus Legistar REST. (g) Section 10.4’s deployment posture gains the OAuth deployment discipline by reference to DEPLOY-P2M2.md Section 2a. Companion references update to include BIO_Intake_Doctrine v1.0.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v8. Ratifies the Phase 1 completion state at bio-bundle rev 0.1.29. (a) Section 10.4’s registry folds in the two Phase 1 admission drafts, the client caller-class slate (list, read, write-package; drafted July 16) and reindex (drafted July 17); all four operations are admitted and deployed, live-fire verified through the July 17-18 deployment trip including the operator’s end-to-end write, and both draft files are superseded by this folding. The status operation’s bundle-selector probe, added during the M4 live-fire postmortem, is recorded. (b) Section 8 gains 8.4, ratifying the Phase 1 client’s settled decisions from the client’s decision record (CLIENT.md): in-repo placement importing bio-checks by relative path, the two-table mirror schema, and Netlify hosting. (c) Section 10 gains 10.6, recording the VERSIONS.json tree-coherence discipline (adopted at rev 0.1.16) as a decision. (d) The v8 browser-reachability finding is upgraded from verified-in-browser to live-verified: the client’s live-fire sync, write, and reindex all ride native /exec CORS within simple-request rules. (e) The registry’s candidate list gains two named candidates with recorded trigger conditions, batched multi-file read and read-class log batching; the routine candidate list otherwise stands empty, with the monitor tick and sweeps pending their Phase 2 consuming components and headless dispatch pending Section 12. Companion references update to State Rules v1.4 and Bundle Skill Composite Design v1.6.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v7. Records two operational findings from the July 11 accelerator deployment and conformance work, both binding on Section 10.4’s deployment posture. (a) URL capture: inside the Apps Script editor, getService().getUrl() returns the head deployment’s /dev URL, which demands Google sign-in and which no AI session can invoke; setup therefore resolves the published /exec URL by strict precedence (an explicit proxy URL, then the WEBAPP_EXEC_URL script property the operator sets from Manage deployments, then the service URL only when it already ends in /exec) and never writes a /dev URL into any caller credential block; code changes republish as a new version on the existing deployment, which keeps the URL stable. (b) Browser reachability: /exec responses carry Access-Control-Allow-Origin: * on both the 302 redirect and the final hop, so simple cross-origin GETs succeed natively from any browser origin, while preflighted requests fail on a 405 OPTIONS response; callers must stay within simple-request rules (plain fetch, every parameter in the query string, no custom headers), which the endpoint contract already enforces. Verified in a live browser on July 11. This closes the Phase 1 reachability question and covers natively the CORS role once assigned to the discarded proxy worker.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v6. Ratifies two decisions carried in prototype as pending. (a) Section 10.4’s endpoint registry is updated to record the operations admitted and exercised during the July 10-11 deployment: the promotion endpoint (drains the queue), the status operation (read-only health: version, configuration, trigger state, queue depth), and the selftest operation (packages and promotes one update in a single designated scratch bundle from standing intent, hash-verifying the result). All three were live-fire verified against the deployed CivicOS accelerator. A development-only companion (a deletable second script file granting path-addressed read/write/delete plus trash and trigger-tick, guarded by a dead-man expiry and reported by the status operation’s devMode flag) is recorded as an explicitly temporary, non-production capability, not a registry member. (b) Section 10.5 is added, ratifying the two-tier secret-management scheme. The permitted-use question (Section 12) remains genuinely open, as it turns on Anthropic’s external subscription terms rather than any BIO decision; the headless-dispatch endpoint candidate stays blocked on 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Supersedes v5. Section 10.4’s deployment posture gains the invocation-token discipline: endpoints deploy with “anyone” access so AI sessions can invoke by plain fetch, layered with per-caller-class bearer tokens that are honestly scoped as a quota-and-attribution mechanism, never a security boundary (integrity rests on store-authoritative semantics and cannot be strengthened by identifying callers). Verification is strict rather than lazy (the check is free, the work costs quota, and rejection is safe because endpoints are non-load-bearing); replay defense is deliberately omitted (idempotence makes replays no-ops); tokens live in Script Properties and caller-side config, never in the mirrorable store; and every invocation is logged to a non-authoritative operational log whose anomalies the checker surfaces as findings, per Operational Principle 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Superseded v4. Added Section 10.4, recognizing constrained endpoints as a capability class available throughout the workflow: server-side Apps Script endpoints under store-authoritative invocation semantics, admitted individually through a closed registry, overcoming connector capability limits without reopening the no-backend boundary. The promotion endpoint (Bundle Skill Composite Design v1.4, Product D) is the registry’s first admitted member. Section 12’s permitted-use question gained the headless-dispatch endpoint dependency. Companion references updated to State Rules v1.1 and the Bundle Skill Composite Design.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Superseded v3. Recorded the July 2026 design-session decisions, made with the Alpha Pipeline bundle skill studied as prior art: (a) flat per-type store layout with reference-based linking and no containment nesting (Section 3); (b) references are canonical bundle IDs, never substrate locators such as Drive file IDs (Section 3); (c) lifecycle state lives in frontmatter only, with no folder moves (Section 3); (d) frontmatter is a universal core plus a per-type extension, mirroring the composite skill’s core-plus-schemas structure (Section 3); (e) Annotations are persisted as accretive records within their target bundle rather than as peer bundles, amending the letter of Section 2 (Sections 2 and 6); (f) the Mechanical Verification Law: every store invariant carries an executable check, and the bundle skill’s pre-write gate and the client-side consistency checker run the same check set (Section 10). The v3 revision history: v3 superseded v2, adding Work Product as the sixth first-class object type (Section 4), the evaluation-and-trust model (Section 5), the corrected source-grounding framing (Sections 4 and 5), the anchored annotation model (Section 6), the Problem relationship graph (Section 7), the UX journeys model (Section 8), and the accretive-bundle, cascading-deletion, and no-transitive-trust rules (Section 10).</w:t>
      </w:r>
    </w:p>
    <w:bookmarkStart w:colFirst="0" w:colLast="0" w:name="nvv7vxuv4t3x" w:id="3"/>
    <w:bookmarkEnd w:id="3"/>
    <w:p w:rsidR="00000000" w:rsidDel="00000000" w:rsidP="00000000" w:rsidRDefault="00000000" w:rsidRPr="00000000" w14:paraId="0000000F">
      <w:pPr>
        <w:pStyle w:val="Heading1"/>
        <w:rPr/>
      </w:pPr>
      <w:r w:rsidDel="00000000" w:rsidR="00000000" w:rsidRPr="00000000">
        <w:rPr>
          <w:rtl w:val="0"/>
        </w:rPr>
        <w:t xml:space="preserve">1. Governing constraints and design philosophy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design requirements bear directly on the technology, and two project facts compound them.</w:t>
      </w:r>
    </w:p>
    <w:p w:rsidR="00000000" w:rsidDel="00000000" w:rsidP="00000000" w:rsidRDefault="00000000" w:rsidRPr="00000000" w14:paraId="00000011">
      <w:pPr>
        <w:numPr>
          <w:ilvl w:val="0"/>
          <w:numId w:val="8"/>
        </w:numPr>
        <w:ind w:left="720" w:hanging="480"/>
        <w:rPr/>
      </w:pPr>
      <w:r w:rsidDel="00000000" w:rsidR="00000000" w:rsidRPr="00000000">
        <w:rPr>
          <w:rtl w:val="0"/>
        </w:rPr>
        <w:t xml:space="preserve">R1 Fully distributed — no hierarchy, no central authority, no headquarters.</w:t>
      </w:r>
    </w:p>
    <w:p w:rsidR="00000000" w:rsidDel="00000000" w:rsidP="00000000" w:rsidRDefault="00000000" w:rsidRPr="00000000" w14:paraId="00000012">
      <w:pPr>
        <w:numPr>
          <w:ilvl w:val="0"/>
          <w:numId w:val="8"/>
        </w:numPr>
        <w:ind w:left="720" w:hanging="480"/>
        <w:rPr/>
      </w:pPr>
      <w:r w:rsidDel="00000000" w:rsidR="00000000" w:rsidRPr="00000000">
        <w:rPr>
          <w:rtl w:val="0"/>
        </w:rPr>
        <w:t xml:space="preserve">R2 Scales 1 to 1,000 groups without modification — identical behavior at every scale.</w:t>
      </w:r>
    </w:p>
    <w:p w:rsidR="00000000" w:rsidDel="00000000" w:rsidP="00000000" w:rsidRDefault="00000000" w:rsidRPr="00000000" w14:paraId="00000013">
      <w:pPr>
        <w:numPr>
          <w:ilvl w:val="0"/>
          <w:numId w:val="8"/>
        </w:numPr>
        <w:ind w:left="720" w:hanging="480"/>
        <w:rPr/>
      </w:pPr>
      <w:r w:rsidDel="00000000" w:rsidR="00000000" w:rsidRPr="00000000">
        <w:rPr>
          <w:rtl w:val="0"/>
        </w:rPr>
        <w:t xml:space="preserve">R9 Multiple platforms, no single platform essential.</w:t>
      </w:r>
    </w:p>
    <w:p w:rsidR="00000000" w:rsidDel="00000000" w:rsidP="00000000" w:rsidRDefault="00000000" w:rsidRPr="00000000" w14:paraId="00000014">
      <w:pPr>
        <w:numPr>
          <w:ilvl w:val="0"/>
          <w:numId w:val="8"/>
        </w:numPr>
        <w:ind w:left="720" w:hanging="480"/>
        <w:rPr/>
      </w:pPr>
      <w:r w:rsidDel="00000000" w:rsidR="00000000" w:rsidRPr="00000000">
        <w:rPr>
          <w:rtl w:val="0"/>
        </w:rPr>
        <w:t xml:space="preserve">R12 AI tools advisory, transparent, optional — no tool gates any work product or action.</w:t>
      </w:r>
    </w:p>
    <w:p w:rsidR="00000000" w:rsidDel="00000000" w:rsidP="00000000" w:rsidRDefault="00000000" w:rsidRPr="00000000" w14:paraId="00000015">
      <w:pPr>
        <w:numPr>
          <w:ilvl w:val="0"/>
          <w:numId w:val="8"/>
        </w:numPr>
        <w:ind w:left="720" w:hanging="480"/>
        <w:rPr/>
      </w:pPr>
      <w:r w:rsidDel="00000000" w:rsidR="00000000" w:rsidRPr="00000000">
        <w:rPr>
          <w:rtl w:val="0"/>
        </w:rPr>
        <w:t xml:space="preserve">R13 Designed for active opposition — assume disruption, co-option, infiltration, legal harassment.</w:t>
      </w:r>
    </w:p>
    <w:p w:rsidR="00000000" w:rsidDel="00000000" w:rsidP="00000000" w:rsidRDefault="00000000" w:rsidRPr="00000000" w14:paraId="00000016">
      <w:pPr>
        <w:numPr>
          <w:ilvl w:val="0"/>
          <w:numId w:val="8"/>
        </w:numPr>
        <w:ind w:left="720" w:hanging="480"/>
        <w:rPr/>
      </w:pPr>
      <w:r w:rsidDel="00000000" w:rsidR="00000000" w:rsidRPr="00000000">
        <w:rPr>
          <w:rtl w:val="0"/>
        </w:rPr>
        <w:t xml:space="preserve">R14 No single point of failure — no person, group, platform, or service essential to operation.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 1: the build is contracted; maintainers may be non-technical.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Bus-factor is the dominant risk, pushing toward boring, widely-supported building blocks and away from any central server someone must operate.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 2: AI capability and pricing are in continuous transition.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Context windows and turn budgets grew materially even during a prior project’s development. Providers are moving away from flat-rate subscriptions toward metered credit pools. BIO is designed for that transition, not today’s convenience.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philosophy.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Prefer client-side and local-first over server-side; prefer exportable, forkable, mirrorable data; treat every external service as replaceable; keep methodology in human-readable, AI-executable skills, and keep code thin where it can be. Caveat: ‘thin’ is relative — skills carry the methodology and are load-bearing, but a real application carries the UX, orchestration, validation, and processing, and by volume may exceed the skills.</w:t>
      </w:r>
    </w:p>
    <w:bookmarkStart w:colFirst="0" w:colLast="0" w:name="j2685ac3l0ew" w:id="4"/>
    <w:bookmarkEnd w:id="4"/>
    <w:p w:rsidR="00000000" w:rsidDel="00000000" w:rsidP="00000000" w:rsidRDefault="00000000" w:rsidRPr="00000000" w14:paraId="0000001A">
      <w:pPr>
        <w:pStyle w:val="Heading1"/>
        <w:rPr/>
      </w:pPr>
      <w:r w:rsidDel="00000000" w:rsidR="00000000" w:rsidRPr="00000000">
        <w:rPr>
          <w:rtl w:val="0"/>
        </w:rPr>
        <w:t xml:space="preserve">2. The object model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BIO’s work is organized around six first-class object types. Four (Information, Problem, Project, Action) are persisted as independent bundles (Section 3), each with its own per-type schema. Two are persisted within the bundles they belong to: the Work Product as a derived view of its Project or Action (Section 4), and the Annotation as an accretive record within its target bundle (Section 6; a July 2026 amendment to this table’s original framing, ratified because an annotation is meaningless apart from its target, must travel with the target when mirrored or handed off, and anchors to sub-elements within it).</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collected item of interest, tagged by criticality (crucial vs. nice-to-have), carrying provenance and change-detection state.</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conflict or discrepancy, found by an analysis agent or by a person while browsing, related to other Problems in a graph. Triage lifecycle: surfaced, then elevated / deferred / dismissed.</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to Action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aggregation of one or more elevated Problems plus other factors. Carries its own analysis and initiates Actions.</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pursued course from the action suite (planning, communications, calendaring, prosecutions, negotiations, settlement, collaboration). Carries the clock.</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Annotation</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anchored, asynchronous human input attached to a specific target that triggers re-evaluation of that target. Lifecycle: pending to addressed. Persisted as an accretive record within the target bundle.</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Product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or Action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focused, publishable derived view of a Project or Action: a legal-brief-style argument grounded in credible primary sources. The unit that is distributed and indexed. Persisted within its Project or Action bundle; frozen into a portable artifact at distribution.</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define information of interest and mark what is crucial. Analysis agents, and people while browsing, surface Problems; each new Problem is related to existing ones in a graph. Users elevate, defer, or dismiss Problems; elevated ones (often as a related cluster) seed Projects. A Project matures its analysis and produces a Work Product, which may be distributed internally or externally and may, in turn, initiate Actions. Annotations inject human judgment anywhere, anchored to a target, and an agent later re-evaluates the annotated thing.</w:t>
      </w:r>
    </w:p>
    <w:bookmarkStart w:colFirst="0" w:colLast="0" w:name="1qcf3f6ygz4h" w:id="5"/>
    <w:bookmarkEnd w:id="5"/>
    <w:p w:rsidR="00000000" w:rsidDel="00000000" w:rsidP="00000000" w:rsidRDefault="00000000" w:rsidRPr="00000000" w14:paraId="00000032">
      <w:pPr>
        <w:pStyle w:val="Heading1"/>
        <w:rPr/>
      </w:pPr>
      <w:r w:rsidDel="00000000" w:rsidR="00000000" w:rsidRPr="00000000">
        <w:rPr>
          <w:rtl w:val="0"/>
        </w:rPr>
        <w:t xml:space="preserve">3. The bundle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of persisted work is a bundle: a folder containing files of different types plus subfolders. The pattern is adapted from a prior production project; BIO’s schemas differ, but the structural machinery transfers.</w:t>
      </w:r>
    </w:p>
    <w:p w:rsidR="00000000" w:rsidDel="00000000" w:rsidP="00000000" w:rsidRDefault="00000000" w:rsidRPr="00000000" w14:paraId="00000034">
      <w:pPr>
        <w:numPr>
          <w:ilvl w:val="0"/>
          <w:numId w:val="9"/>
        </w:numPr>
        <w:ind w:left="720" w:hanging="480"/>
        <w:rPr/>
      </w:pPr>
      <w:r w:rsidDel="00000000" w:rsidR="00000000" w:rsidRPr="00000000">
        <w:rPr>
          <w:rtl w:val="0"/>
        </w:rPr>
        <w:t xml:space="preserve">A bundle is a folder (Google Drive by default; see Section 9). It holds JSON where structure matters and other formats where human-readability or rendering matters: .md for narrative, .svg for diagrams, and others.</w:t>
      </w:r>
    </w:p>
    <w:p w:rsidR="00000000" w:rsidDel="00000000" w:rsidP="00000000" w:rsidRDefault="00000000" w:rsidRPr="00000000" w14:paraId="00000035">
      <w:pPr>
        <w:numPr>
          <w:ilvl w:val="0"/>
          <w:numId w:val="9"/>
        </w:numPr>
        <w:ind w:left="720" w:hanging="480"/>
        <w:rPr/>
      </w:pPr>
      <w:r w:rsidDel="00000000" w:rsidR="00000000" w:rsidRPr="00000000">
        <w:rPr>
          <w:rtl w:val="0"/>
        </w:rPr>
        <w:t xml:space="preserve">A state/record split: a compact operational state-and-decision surface (frontmatter + fixed prose sections) the UX renders as a summary, plus the full work-product record. The lean surface keeps resume prompts cheap.</w:t>
      </w:r>
    </w:p>
    <w:p w:rsidR="00000000" w:rsidDel="00000000" w:rsidP="00000000" w:rsidRDefault="00000000" w:rsidRPr="00000000" w14:paraId="00000036">
      <w:pPr>
        <w:numPr>
          <w:ilvl w:val="0"/>
          <w:numId w:val="9"/>
        </w:numPr>
        <w:ind w:left="720" w:hanging="480"/>
        <w:rPr/>
      </w:pPr>
      <w:r w:rsidDel="00000000" w:rsidR="00000000" w:rsidRPr="00000000">
        <w:rPr>
          <w:rtl w:val="0"/>
        </w:rPr>
        <w:t xml:space="preserve">A history/ subfolder preserves prior versions with a manifest. In BIO this doubles as evidence preservation.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Store layout (decided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store is flat: one root folder per independently persisted type (information/, problems/, projects/, actions/), each holding that type’s bundles. Cross-object relationships are typed references in frontmatter, never containment nesting. Nesting was rejected on four independent grounds: the relationships are many-to-many while containment requires exclusive single-parent ownership; lifecycles are independent of any would-be parent (a surfaced Problem may never be elevated into any Project); atomic promotion and the single write authority are per-bundle operations that nesting makes ambiguous; and the cascade requires a full reference graph in the derived index regardless, so containment adds no capability. Containment survives only for exclusively owned material with no independent lifecycle: history/, derived views, in-bundle Work Products, annotations, and distribution snapshots.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Canonical identity and substrate independence (decided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bundle carries an immutable, self-assigned, human-legible canonical ID that is also its folder name. All references between objects use canonical IDs. No Drive file ID, URL, or path ever appears as a link between objects; substrate locators would die on the first mirror to git or OSF (R9, R14). The per-group derived index maps canonical IDs to current substrate locators and is regenerable by scan, never authoritative. The ID grammar and naming rules are specified in the State Rules spec.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Lifecycle in frontmatter only (decided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bundle’s lifecycle state lives in its frontmatter; there are no active/concluded/archived folder moves. The prior project’s lifecycle folders were an ops-console affordance; in BIO, folder moves on state change would churn the substrate and destabilize nothing-but-gain canonical paths, while the client filters by frontmatter for free.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Frontmatter structure (decided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Frontmatter is a universal core (identity, type, schema version stamp, lifecycle state, timestamps, producing mode and capability tier, typed references, append-only state history) plus a per-type extension. This mirrors the composite skill exactly: the always-on core protocol validates core fields; the on-demand type schema validates the extension. The full field contract, including the drift defense (canonical names with a forbidden-alias table, the column-0 rule, literal heading constants, clean markdown), is specified in the State Rules spec.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Bundles are accretive.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is added far more often than removed. Deletion is exceptional, gated behind a legitimate reason (a foundation found incorrect, for example), preserved in history rather than destroyed, and cascading: removing material that a Work Product’s argument rests on must flag that Work Product, its distributed copies, and any dependents for re-evaluation. The consistency checker guards this; deletion of cited material is never silent.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Description-as-truth, artifact-as-rendering.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rendered artifacts (e.g., SVG diagrams), the authoritative content is a machine-readable description in the bundle; the rendered file is a regeneratable view, with stale-detection at write time.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Dual-audience encoding.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Structured items carry both a concise insider label and a verbose newcomer description, serving BIO’s non-technical audience and the trust-signal tooltips in the UX.</w:t>
      </w:r>
    </w:p>
    <w:bookmarkStart w:colFirst="0" w:colLast="0" w:name="hrqplxj3plz7" w:id="6"/>
    <w:bookmarkEnd w:id="6"/>
    <w:p w:rsidR="00000000" w:rsidDel="00000000" w:rsidP="00000000" w:rsidRDefault="00000000" w:rsidRPr="00000000" w14:paraId="0000003E">
      <w:pPr>
        <w:pStyle w:val="Heading2"/>
        <w:rPr/>
      </w:pPr>
      <w:r w:rsidDel="00000000" w:rsidR="00000000" w:rsidRPr="00000000">
        <w:rPr>
          <w:rtl w:val="0"/>
        </w:rPr>
        <w:t xml:space="preserve">The composite bundle skill is the single write authority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bundle writes go through one bundle skill. It is the only writer; other skills read bundles but delegate writes. This chokepoint keeps the store trustworthy regardless of which analytical skill or execution mode did the thinking, and, with no server, it is where atomic promotion lives (writing the new version and archiving the prior to history/ in one operation).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skill’ means one write authority, not one monolithic always-loaded file. The skill is composite and incrementally loaded: an always-on core carries the universal write protocol (bootstrap, continuous checkpoint, write-back with history and promotion, and the canonical-naming, drift-defense, and validation discipline), while per-type schemas (Information, Problem, Project, Action) load on demand for the one type being written. Annotation and Work Product writes are operations on their containing bundle, handled by the core protocol plus the containing type’s schema. The skill’s composite structure, products, and delivery paths are specified in BIO_Bundle_Skill_Composite_Design.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unit of work is a bundle (folder; JSON plus .md/.svg and others; history/). The store is flat per-type roots with canonical-ID references; substrate locators never link objects; lifecycle state is frontmatter-only; frontmatter is a universal core plus per-type extension. Bundles are accretive; deletion is exceptional, reason-gated, preserved, and cascades to dependents. All writes go through one composite bundle skill that is the sole write authority and performs convergent promotion; its always-on core carries the universal protocol and per-type schemas load on demand.</w:t>
      </w:r>
    </w:p>
    <w:bookmarkStart w:colFirst="0" w:colLast="0" w:name="kv0g2cuf4v7j" w:id="7"/>
    <w:bookmarkEnd w:id="7"/>
    <w:p w:rsidR="00000000" w:rsidDel="00000000" w:rsidP="00000000" w:rsidRDefault="00000000" w:rsidRPr="00000000" w14:paraId="00000042">
      <w:pPr>
        <w:pStyle w:val="Heading1"/>
        <w:rPr/>
      </w:pPr>
      <w:r w:rsidDel="00000000" w:rsidR="00000000" w:rsidRPr="00000000">
        <w:rPr>
          <w:rtl w:val="0"/>
        </w:rPr>
        <w:t xml:space="preserve">4. Work products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 Product is the publishable member of the family: the thing a group hands to someone else to make a case, analyze an issue, or present a thesis. It is a derived view within a bundle, not a separate self-standing object during development. The Project (or Action) bundle holds everything, including raw notes, dead ends, and suppositions that did not pan out; the Work Product document is the focused derivation that refers only to solid, conclusion-supporting material.</w:t>
      </w:r>
    </w:p>
    <w:bookmarkStart w:colFirst="0" w:colLast="0" w:name="gtjv86s1006s" w:id="8"/>
    <w:bookmarkEnd w:id="8"/>
    <w:p w:rsidR="00000000" w:rsidDel="00000000" w:rsidP="00000000" w:rsidRDefault="00000000" w:rsidRPr="00000000" w14:paraId="00000044">
      <w:pPr>
        <w:pStyle w:val="Heading2"/>
        <w:rPr/>
      </w:pPr>
      <w:r w:rsidDel="00000000" w:rsidR="00000000" w:rsidRPr="00000000">
        <w:rPr>
          <w:rtl w:val="0"/>
        </w:rPr>
        <w:t xml:space="preserve">Properties</w:t>
      </w:r>
    </w:p>
    <w:p w:rsidR="00000000" w:rsidDel="00000000" w:rsidP="00000000" w:rsidRDefault="00000000" w:rsidRPr="00000000" w14:paraId="00000045">
      <w:pPr>
        <w:numPr>
          <w:ilvl w:val="0"/>
          <w:numId w:val="10"/>
        </w:numPr>
        <w:ind w:left="720" w:hanging="480"/>
        <w:rPr/>
      </w:pPr>
      <w:r w:rsidDel="00000000" w:rsidR="00000000" w:rsidRPr="00000000">
        <w:rPr>
          <w:rtl w:val="0"/>
        </w:rPr>
        <w:t xml:space="preserve">Focused, like a legal brief: only what is central to the argument is presented up front, with supporting material demoted to citations, mouseovers, and supporting documents (progressive disclosure).</w:t>
      </w:r>
    </w:p>
    <w:p w:rsidR="00000000" w:rsidDel="00000000" w:rsidP="00000000" w:rsidRDefault="00000000" w:rsidRPr="00000000" w14:paraId="00000046">
      <w:pPr>
        <w:numPr>
          <w:ilvl w:val="0"/>
          <w:numId w:val="10"/>
        </w:numPr>
        <w:ind w:left="720" w:hanging="480"/>
        <w:rPr/>
      </w:pPr>
      <w:r w:rsidDel="00000000" w:rsidR="00000000" w:rsidRPr="00000000">
        <w:rPr>
          <w:rtl w:val="0"/>
        </w:rPr>
        <w:t xml:space="preserve">Fact/commentary firewall: supporting evidence is factual data and fact-based analysis from credible sources; anything not 100% factual is explicitly labeled as commentary or narrative, separated from facts and suppositions.</w:t>
      </w:r>
    </w:p>
    <w:p w:rsidR="00000000" w:rsidDel="00000000" w:rsidP="00000000" w:rsidRDefault="00000000" w:rsidRPr="00000000" w14:paraId="00000047">
      <w:pPr>
        <w:numPr>
          <w:ilvl w:val="0"/>
          <w:numId w:val="10"/>
        </w:numPr>
        <w:ind w:left="720" w:hanging="480"/>
        <w:rPr/>
      </w:pPr>
      <w:r w:rsidDel="00000000" w:rsidR="00000000" w:rsidRPr="00000000">
        <w:rPr>
          <w:rtl w:val="0"/>
        </w:rPr>
        <w:t xml:space="preserve">Reproducible: the conclusions and their supporting data are complete enough that a recipient can rebuild the conclusion with fidelity (show your work).</w:t>
      </w:r>
    </w:p>
    <w:p w:rsidR="00000000" w:rsidDel="00000000" w:rsidP="00000000" w:rsidRDefault="00000000" w:rsidRPr="00000000" w14:paraId="00000048">
      <w:pPr>
        <w:numPr>
          <w:ilvl w:val="0"/>
          <w:numId w:val="10"/>
        </w:numPr>
        <w:ind w:left="720" w:hanging="480"/>
        <w:rPr/>
      </w:pPr>
      <w:r w:rsidDel="00000000" w:rsidR="00000000" w:rsidRPr="00000000">
        <w:rPr>
          <w:rtl w:val="0"/>
        </w:rPr>
        <w:t xml:space="preserve">Dual-mode metadata: highly structured, processable both algorithmically and by a properly skilled AI.</w:t>
      </w:r>
    </w:p>
    <w:bookmarkStart w:colFirst="0" w:colLast="0" w:name="ozckldloohf" w:id="9"/>
    <w:bookmarkEnd w:id="9"/>
    <w:p w:rsidR="00000000" w:rsidDel="00000000" w:rsidP="00000000" w:rsidRDefault="00000000" w:rsidRPr="00000000" w14:paraId="00000049">
      <w:pPr>
        <w:pStyle w:val="Heading2"/>
        <w:rPr/>
      </w:pPr>
      <w:r w:rsidDel="00000000" w:rsidR="00000000" w:rsidRPr="00000000">
        <w:rPr>
          <w:rtl w:val="0"/>
        </w:rPr>
        <w:t xml:space="preserve">Focusing vs. distribution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distinct operations. Focusing produces the derived view inside the bundle: an agent typically drafts the focused brief from the matured Project, a human refines it, and an evaluation skill checks it. Distribution snapshots that view into a package that can leave the group. During development the Work Product is a live view that evolves with the bundle; at distribution it is frozen into a portable, mirrorable artifact that survives the dissolution of the producing group.</w:t>
      </w:r>
    </w:p>
    <w:bookmarkStart w:colFirst="0" w:colLast="0" w:name="rja5ci80wbdh" w:id="10"/>
    <w:bookmarkEnd w:id="10"/>
    <w:p w:rsidR="00000000" w:rsidDel="00000000" w:rsidP="00000000" w:rsidRDefault="00000000" w:rsidRPr="00000000" w14:paraId="0000004B">
      <w:pPr>
        <w:pStyle w:val="Heading2"/>
        <w:rPr/>
      </w:pPr>
      <w:r w:rsidDel="00000000" w:rsidR="00000000" w:rsidRPr="00000000">
        <w:rPr>
          <w:rtl w:val="0"/>
        </w:rPr>
        <w:t xml:space="preserve">Source-grounding (not self-containment)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 Product cannot contain every bit of evidence down to first principles; as in science, a conclusion is only as convincing as its underlying data and the synthesis that connects it. The argument is a tree whose leaves are credible primary sources (an ACFR, a court record, a statute, an OpenGov dataset). You do not re-derive a primary source; you cite it and rely on its credibility. So verification is finite and local: do the cited primary sources say what is claimed, and does the synthesis validly carry that data to the conclusion.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BIO’s sources mutate and disappear (the city may revise or delete the very data an argument rests on), a distributed Work Product carries timestamped, hashed snapshots of the primary sources it cites, archived via the Data Archive skill, so a recipient can verify against the same evidence the producer used even after the original is altered or removed. The correct formulation is grounded to credible primary sources, with those sources archived, replacing v2’s ‘self-contained.’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machine-checked form of source-grounding is the citation register specified in the State Rules spec: every load-bearing claim carries keys resolving to an Information object, its archived snapshot, and its hash. The keys, not inline citations, satisfy the contract; a claim that cannot name its keystone sources is not a supported claim and moves to commentary or to open questions.</w:t>
      </w:r>
    </w:p>
    <w:bookmarkStart w:colFirst="0" w:colLast="0" w:name="d6rkyilr58ci" w:id="11"/>
    <w:bookmarkEnd w:id="11"/>
    <w:p w:rsidR="00000000" w:rsidDel="00000000" w:rsidP="00000000" w:rsidRDefault="00000000" w:rsidRPr="00000000" w14:paraId="0000004F">
      <w:pPr>
        <w:pStyle w:val="Heading2"/>
        <w:rPr/>
      </w:pPr>
      <w:r w:rsidDel="00000000" w:rsidR="00000000" w:rsidRPr="00000000">
        <w:rPr>
          <w:rtl w:val="0"/>
        </w:rPr>
        <w:t xml:space="preserve">Internal vs. external readiness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 scope sets the bar. An internal distribution need not be externally ready: the internal check requires that everything present is accurate and mutually consistent (nothing false, nothing self-contradictory) but tolerates extraneous material and incompleteness. The external bar adds the rest: focused, complete, and reproducible by anyone. The internal check is a relaxation of the same evaluation, not a different evaluator, so Work Products have a natural readiness ladder: working draft, internally checked, externally compliant, distributed. Focusing (stripping to essentials) is mandatory only at the external boundary. The ladder is enforced by recorded evaluations (the State Rules spec’s evaluation gates): each rung advances only on the passing evaluation runs it requires.</w:t>
      </w:r>
    </w:p>
    <w:bookmarkStart w:colFirst="0" w:colLast="0" w:name="eii0taanc26p" w:id="12"/>
    <w:bookmarkEnd w:id="12"/>
    <w:p w:rsidR="00000000" w:rsidDel="00000000" w:rsidP="00000000" w:rsidRDefault="00000000" w:rsidRPr="00000000" w14:paraId="00000051">
      <w:pPr>
        <w:pStyle w:val="Heading2"/>
        <w:rPr/>
      </w:pPr>
      <w:r w:rsidDel="00000000" w:rsidR="00000000" w:rsidRPr="00000000">
        <w:rPr>
          <w:rtl w:val="0"/>
        </w:rPr>
        <w:t xml:space="preserve">Flow directions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Products move in three directions, which the Overview surfaces: incoming (received from other groups via the directory), internal (developed and shared within the group), and outgoing (distributed externally). Incoming Work Products are vetted before acceptance (Section 5) and are stored as Information objects with analysis classification, which gives no-transitive-trust a concrete storage form.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Work Product is a focused, source-grounded, derived view within a Project or Action bundle, with a fact/commentary firewall and reproducible conclusions. Focusing produces the in-bundle view; distribution snapshots it, with archived primary-source evidence, into a portable artifact. Internal distribution requires accuracy and consistency only; external distribution adds focus, completeness, and reproducibility, with the ladder enforced by recorded evaluations. Work Products flow incoming, internal, and outgoing.</w:t>
      </w:r>
    </w:p>
    <w:bookmarkStart w:colFirst="0" w:colLast="0" w:name="guunb4hfiyu4" w:id="13"/>
    <w:bookmarkEnd w:id="13"/>
    <w:p w:rsidR="00000000" w:rsidDel="00000000" w:rsidP="00000000" w:rsidRDefault="00000000" w:rsidRPr="00000000" w14:paraId="00000054">
      <w:pPr>
        <w:pStyle w:val="Heading1"/>
        <w:rPr/>
      </w:pPr>
      <w:r w:rsidDel="00000000" w:rsidR="00000000" w:rsidRPr="00000000">
        <w:rPr>
          <w:rtl w:val="0"/>
        </w:rPr>
        <w:t xml:space="preserve">5. Evaluation and trust</w:t>
      </w:r>
    </w:p>
    <w:bookmarkStart w:colFirst="0" w:colLast="0" w:name="jrwx1g21aaeh" w:id="14"/>
    <w:bookmarkEnd w:id="14"/>
    <w:p w:rsidR="00000000" w:rsidDel="00000000" w:rsidP="00000000" w:rsidRDefault="00000000" w:rsidRPr="00000000" w14:paraId="00000055">
      <w:pPr>
        <w:pStyle w:val="Heading2"/>
        <w:rPr/>
      </w:pPr>
      <w:r w:rsidDel="00000000" w:rsidR="00000000" w:rsidRPr="00000000">
        <w:rPr>
          <w:rtl w:val="0"/>
        </w:rPr>
        <w:t xml:space="preserve">Two evaluation functions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distinct evaluations apply to Work Products.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Evaluation (conformance).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Checks that a Work Product meets the publishing standard: metadata complete, structure correct, the fact/commentary firewall present, reproducibility documented. It checks that the document is well-formed.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Argument Evaluation (internal validity).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Checks whether the conclusions actually follow from the supporting material and arguments in the document: do the cited primary sources say what is claimed, and does the synthesis validly carry that data to the conclusion. It checks that the document is sound. This makes a Work Product machine-checkable for soundness, not merely well-formed, and it is the operational form of ‘show your work.’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run in the internal-strictness or external-strictness mode described in Section 4. Argument Evaluation is also the engine behind the trust hierarchy’s ‘independently verified’ level: an AI or another group re-derives the conclusion from the cited, archived primary sources.</w:t>
      </w:r>
    </w:p>
    <w:bookmarkStart w:colFirst="0" w:colLast="0" w:name="hsc5uxoudlke" w:id="15"/>
    <w:bookmarkEnd w:id="15"/>
    <w:p w:rsidR="00000000" w:rsidDel="00000000" w:rsidP="00000000" w:rsidRDefault="00000000" w:rsidRPr="00000000" w14:paraId="0000005A">
      <w:pPr>
        <w:pStyle w:val="Heading2"/>
        <w:rPr/>
      </w:pPr>
      <w:r w:rsidDel="00000000" w:rsidR="00000000" w:rsidRPr="00000000">
        <w:rPr>
          <w:rtl w:val="0"/>
        </w:rPr>
        <w:t xml:space="preserve">No transitive trust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is never inherited; it is re-established locally at every hop. When a group accepts an incoming Work Product, it runs its own Argument Evaluation over it regardless of how much it trusts the source, so the foundational chain on which all Work Products rest cannot be corrupted by one compromised or co-opted group injecting a bad product (the R13 infiltration threat). Credibility is demonstrated by the work, never by the producer’s reputation, and the local evaluation result attaches as a trust signal.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tractable precisely because of source-grounding. A distributed Work Product carries its own archived primary-source evidence, so the receiving group re-derives locally, in one hop, from the included material; it never has to trust or chase the upstream chain. When a Work Product cites another Work Product, every link is still anchored in archived primary sources at its own leaves and carries its own evaluation, so the chain is verifiable hop by hop, and an upstream retraction propagates downstream as a re-evaluation (the deletion cascade of Section 3). No transitive trust, and no infinite regress.</w:t>
      </w:r>
    </w:p>
    <w:bookmarkStart w:colFirst="0" w:colLast="0" w:name="m2rf82uidvi6" w:id="16"/>
    <w:bookmarkEnd w:id="16"/>
    <w:p w:rsidR="00000000" w:rsidDel="00000000" w:rsidP="00000000" w:rsidRDefault="00000000" w:rsidRPr="00000000" w14:paraId="0000005D">
      <w:pPr>
        <w:pStyle w:val="Heading2"/>
        <w:rPr/>
      </w:pPr>
      <w:r w:rsidDel="00000000" w:rsidR="00000000" w:rsidRPr="00000000">
        <w:rPr>
          <w:rtl w:val="0"/>
        </w:rPr>
        <w:t xml:space="preserve">Distribution risk tiering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distribution invokes the three-tier risk classification from the evidence-package design (file freely / file with caution / requires counsel). So the Work Product is where the publishing standard, the trust hierarchy, and the risk tiering converge.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evaluation functions apply to Work Products: Compliance Evaluation (conformance) and Argument Evaluation (internal validity / soundness), each in internal or external strictness mode. Trust is never inherited: a group always runs its own Argument Evaluation on incoming Work Products, made tractable by source-grounding, with the result attached as a trust signal. External distribution invokes the three-tier risk classification.</w:t>
      </w:r>
    </w:p>
    <w:bookmarkStart w:colFirst="0" w:colLast="0" w:name="k94y3b8ufqte" w:id="17"/>
    <w:bookmarkEnd w:id="17"/>
    <w:p w:rsidR="00000000" w:rsidDel="00000000" w:rsidP="00000000" w:rsidRDefault="00000000" w:rsidRPr="00000000" w14:paraId="00000060">
      <w:pPr>
        <w:pStyle w:val="Heading1"/>
        <w:rPr/>
      </w:pPr>
      <w:r w:rsidDel="00000000" w:rsidR="00000000" w:rsidRPr="00000000">
        <w:rPr>
          <w:rtl w:val="0"/>
        </w:rPr>
        <w:t xml:space="preserve">6. Sessions and AI integration</w:t>
      </w:r>
    </w:p>
    <w:bookmarkStart w:colFirst="0" w:colLast="0" w:name="bqo8tlvd2uxy" w:id="18"/>
    <w:bookmarkEnd w:id="18"/>
    <w:p w:rsidR="00000000" w:rsidDel="00000000" w:rsidP="00000000" w:rsidRDefault="00000000" w:rsidRPr="00000000" w14:paraId="00000061">
      <w:pPr>
        <w:pStyle w:val="Heading2"/>
        <w:rPr/>
      </w:pPr>
      <w:r w:rsidDel="00000000" w:rsidR="00000000" w:rsidRPr="00000000">
        <w:rPr>
          <w:rtl w:val="0"/>
        </w:rPr>
        <w:t xml:space="preserve">The Session abstraction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runtime abstraction is a Session: (trigger, execution mode, skill, context) producing bundle output that conforms to the schema. The trigger is a goal/policy activation. Every Session follows the same three obligations regardless of mode: read-at-start (bootstrap from the bundle), continuous checkpoint, and save-and-close (write-back through the bundle skill). The standardized bundle is the integration seam: the UX and the next layer consume bundles and never need to know whether a human, an interactive-agentic surface, or a headless agent produced them.</w:t>
      </w:r>
    </w:p>
    <w:bookmarkStart w:colFirst="0" w:colLast="0" w:name="n7eozrbohkbt" w:id="19"/>
    <w:bookmarkEnd w:id="19"/>
    <w:p w:rsidR="00000000" w:rsidDel="00000000" w:rsidP="00000000" w:rsidRDefault="00000000" w:rsidRPr="00000000" w14:paraId="00000063">
      <w:pPr>
        <w:pStyle w:val="Heading2"/>
        <w:rPr/>
      </w:pPr>
      <w:r w:rsidDel="00000000" w:rsidR="00000000" w:rsidRPr="00000000">
        <w:rPr>
          <w:rtl w:val="0"/>
        </w:rPr>
        <w:t xml:space="preserve">Three execution modes and their cost physics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of the June 15, 2026 Anthropic billing change, the modes sit at three points on a cost spectrum:</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Cost behavior</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chat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drives claude.ai; output captured into the bundle.</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 subscription bucket. Bounded by rate limits, no dollar overage.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agentic</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Code / Cowork; agentic, human-initiated, writes bundle files directly.</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Also the flat subscription bucket. The cost-bounded sweet spot.</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Headless agent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SDK / claude -p; scheduled, autonomous, programmatic.</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 monthly Agent SDK credit at API rates; bounded by a credit ceiling, then pay-as-you-go.</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work is bounded by a clock (rate limits); agent work is bounded by a budget (a credit ceiling). An agent run carries a budget; an interactive run carries a clock.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Capability cap as a moving parameter.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 mode can reliably complete’ is a configurable, time-varying policy value, not a constant. The bundle records which mode and capability tier produced it; policy decides what that mode is permitted to finish; as windows, budgets, and models improve, the ceiling rises and work migrates interactive to agent with no rearchitecting.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Mode-quality boundary.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Interactive sessions can produce fundamentally higher-quality results than agents on judgment-heavy work, the analysis layer most of all. Mode selection is driven by goal/policy with layer defaults: agents for repetitive, scheduled, low-judgment work; interactive for judgment-heavy work. The boundary itself moves as capability rises.</w:t>
      </w:r>
    </w:p>
    <w:bookmarkStart w:colFirst="0" w:colLast="0" w:name="h04rbrd6q4m0" w:id="20"/>
    <w:bookmarkEnd w:id="20"/>
    <w:p w:rsidR="00000000" w:rsidDel="00000000" w:rsidP="00000000" w:rsidRDefault="00000000" w:rsidRPr="00000000" w14:paraId="00000074">
      <w:pPr>
        <w:pStyle w:val="Heading2"/>
        <w:rPr/>
      </w:pPr>
      <w:r w:rsidDel="00000000" w:rsidR="00000000" w:rsidRPr="00000000">
        <w:rPr>
          <w:rtl w:val="0"/>
        </w:rPr>
        <w:t xml:space="preserve">Anchored, actionable annotations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classes of human input exist. Immutable review notes are sacrosanct and acted on by a human. Annotations are anchored, asynchronous inputs: generated anywhere, always attached to a specific target (potentially a sub-element such as a single claim or conclusion), and the attachment is a re-evaluation trigger. An agent takes a pending annotation, re-evaluates the anchored target in its light, and records how it responded, so the human can verify their judgment was honored. Annotations compose with Argument Evaluation: a human annotates a conclusion with a doubt, and an agent re-runs Argument Evaluation on just that conclusion and records whether it holds. This decouples expert judgment from skillful interactive sessions, which is decisive for a distributed, non-technical network and, with the moving cap, defines a glide path from interactive-heavy today toward agent-heavy-with-asynchronous-human-judgment over time.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Persistence (decided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annotation is persisted as an accretive record within its target bundle (an annotations/ subfolder, one record per annotation), written through the bundle skill without promoting the target’s state surface. It travels with the bundle when mirrored or distributed, and its anchor resolves within the bundle it lives in. Annotations are never edited or deleted after creation; a mistaken annotation is addressed with a response saying so. The record shape, collision-resistant identity, and lifecycle are specified in the State Rules spec.</w:t>
      </w:r>
    </w:p>
    <w:bookmarkStart w:colFirst="0" w:colLast="0" w:name="towyp1q3fkdu" w:id="21"/>
    <w:bookmarkEnd w:id="21"/>
    <w:p w:rsidR="00000000" w:rsidDel="00000000" w:rsidP="00000000" w:rsidRDefault="00000000" w:rsidRPr="00000000" w14:paraId="00000077">
      <w:pPr>
        <w:pStyle w:val="Heading2"/>
        <w:rPr/>
      </w:pPr>
      <w:r w:rsidDel="00000000" w:rsidR="00000000" w:rsidRPr="00000000">
        <w:rPr>
          <w:rtl w:val="0"/>
        </w:rPr>
        <w:t xml:space="preserve">Provider abstraction and onboarding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for Claude as the AI provider; build the schema contract and a thin Session-executor interface now and let that be the future-provider seam. Skills are portable SKILL.md files that run unchanged across the interactive surfaces and the Agent SDK, so moving work between modes requires no rewrite. The cost-bounded, amateur-friendly onboarding path is to log into a Claude subscription; guided agentic setup comes first, with interactive mastery as a growth path. Raw API keys are advanced-only; a stray ANTHROPIC_API_KEY silently bills pay-as-you-go instead of the subscription.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runtime unit is a Session (interactive chat, interactive agentic, or headless agent), unified by the three obligations and the bundle seam. Cost is a clock (interactive) or a budget (agent). The capability cap and mode-quality boundary are moving policy parameters. Annotations are anchored, asynchronous inputs persisted as accretive in-bundle records that trigger agent re-evaluation of their target. Claude-first, with the schema + executor interface as the provider seam.</w:t>
      </w:r>
    </w:p>
    <w:bookmarkStart w:colFirst="0" w:colLast="0" w:name="cruql4osehi0" w:id="22"/>
    <w:bookmarkEnd w:id="22"/>
    <w:p w:rsidR="00000000" w:rsidDel="00000000" w:rsidP="00000000" w:rsidRDefault="00000000" w:rsidRPr="00000000" w14:paraId="0000007A">
      <w:pPr>
        <w:pStyle w:val="Heading1"/>
        <w:rPr/>
      </w:pPr>
      <w:r w:rsidDel="00000000" w:rsidR="00000000" w:rsidRPr="00000000">
        <w:rPr>
          <w:rtl w:val="0"/>
        </w:rPr>
        <w:t xml:space="preserve">7. Information- and analysis-layer decisions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schemas are in the State Rules spec; the decisions stand.</w:t>
      </w:r>
    </w:p>
    <w:bookmarkStart w:colFirst="0" w:colLast="0" w:name="qtemoe9j6dr" w:id="23"/>
    <w:bookmarkEnd w:id="23"/>
    <w:p w:rsidR="00000000" w:rsidDel="00000000" w:rsidP="00000000" w:rsidRDefault="00000000" w:rsidRPr="00000000" w14:paraId="0000007C">
      <w:pPr>
        <w:pStyle w:val="Heading2"/>
        <w:rPr/>
      </w:pPr>
      <w:r w:rsidDel="00000000" w:rsidR="00000000" w:rsidRPr="00000000">
        <w:rPr>
          <w:rtl w:val="0"/>
        </w:rPr>
        <w:t xml:space="preserve">7.1 Extraction output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 Extraction skill produces Information bundles. The structured core is JSON (tidy/long for line items, carrying provenance, source locator, content hash, criticality, and fact/analysis/judgment classification); .md and .svg companions are derived views. Tooling (June 2026): Tabula and Camelot for native PDFs, cloud ML extractors for scanned or irregular documents; prefer a source’s published spreadsheet over re-parsing its PDF.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Proven mechanical source classes (added v10).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source classes are proven mechanically capturable by the deployed daemon, both exercised in production July 19, 2026: Socrata full-file exports (the OpenGov transfer series), and Granicus Legistar REST (webapi.legistar.com/v1/{client}, unauthenticated, OData v3, percent-encoded literals; the Oakland legislative chain INFO-2026-0109 through 0119). A source in a proven class needs only a planted gathering request; a source outside them needs a session with its own tools until its class is proven.</w:t>
      </w:r>
    </w:p>
    <w:bookmarkStart w:colFirst="0" w:colLast="0" w:name="khp8ydoshwq" w:id="24"/>
    <w:bookmarkEnd w:id="24"/>
    <w:p w:rsidR="00000000" w:rsidDel="00000000" w:rsidP="00000000" w:rsidRDefault="00000000" w:rsidRPr="00000000" w14:paraId="0000007F">
      <w:pPr>
        <w:pStyle w:val="Heading2"/>
        <w:rPr/>
      </w:pPr>
      <w:r w:rsidDel="00000000" w:rsidR="00000000" w:rsidRPr="00000000">
        <w:rPr>
          <w:rtl w:val="0"/>
        </w:rPr>
        <w:t xml:space="preserve">7.2 Snapshots of dynamic sources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snapshot is a three-layer logical capture keyed to a stable query definition: a raw capture (evidentiary, e.g. a WACZ web-archive), a canonicalized normalized dataset (hashed and diffed), and a rendered view (human evidence). Hash the normalized dataset, not raw HTML. These archived snapshots are also the primary-source evidence that travels with distributed Work Products (Section 4).</w:t>
      </w:r>
    </w:p>
    <w:bookmarkStart w:colFirst="0" w:colLast="0" w:name="wt2q39ozjdew" w:id="25"/>
    <w:bookmarkEnd w:id="25"/>
    <w:p w:rsidR="00000000" w:rsidDel="00000000" w:rsidP="00000000" w:rsidRDefault="00000000" w:rsidRPr="00000000" w14:paraId="00000081">
      <w:pPr>
        <w:pStyle w:val="Heading2"/>
        <w:rPr/>
      </w:pPr>
      <w:r w:rsidDel="00000000" w:rsidR="00000000" w:rsidRPr="00000000">
        <w:rPr>
          <w:rtl w:val="0"/>
        </w:rPr>
        <w:t xml:space="preserve">7.3 Search orchestration and de-duplication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is a thin orchestrator over independent, optional per-source adapters, each emitting the common record shape with provenance, source identity, recency, and trust. De-duplicate on canonical identity (normalized URL + content hash + (source, native-id)), always preserving every provenance trail. Rank transparently by trust, authority, and recency.</w:t>
      </w:r>
    </w:p>
    <w:bookmarkStart w:colFirst="0" w:colLast="0" w:name="mmj2myzcrwla" w:id="26"/>
    <w:bookmarkEnd w:id="26"/>
    <w:p w:rsidR="00000000" w:rsidDel="00000000" w:rsidP="00000000" w:rsidRDefault="00000000" w:rsidRPr="00000000" w14:paraId="00000083">
      <w:pPr>
        <w:pStyle w:val="Heading2"/>
        <w:rPr/>
      </w:pPr>
      <w:r w:rsidDel="00000000" w:rsidR="00000000" w:rsidRPr="00000000">
        <w:rPr>
          <w:rtl w:val="0"/>
        </w:rPr>
        <w:t xml:space="preserve">7.4 Change detection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source type: SHA-256 plus extracted-text/table diff for static documents; keyed field-level diff with numeric tolerances for structured data; content-extracted text diff for web pages; presence comparison with redirect-matching and a confirmation window for removals. Canonicalize before comparing; preserve both versions as evidence on every change. A detected change or removal sets the Information object’s source status and propagates a re-evaluation flag to every citing object (the cascade of Section 3, specified in the State Rules spec).</w:t>
      </w:r>
    </w:p>
    <w:bookmarkStart w:colFirst="0" w:colLast="0" w:name="i2mjztgz763b" w:id="27"/>
    <w:bookmarkEnd w:id="27"/>
    <w:p w:rsidR="00000000" w:rsidDel="00000000" w:rsidP="00000000" w:rsidRDefault="00000000" w:rsidRPr="00000000" w14:paraId="00000085">
      <w:pPr>
        <w:pStyle w:val="Heading2"/>
        <w:rPr/>
      </w:pPr>
      <w:r w:rsidDel="00000000" w:rsidR="00000000" w:rsidRPr="00000000">
        <w:rPr>
          <w:rtl w:val="0"/>
        </w:rPr>
        <w:t xml:space="preserve">7.5 Problems as a graph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 (contradictions and discrepancies) are dual-sourced: found by the analysis agent’s scan and by people during browsing. Each new Problem carries its provenance and is cross-compared against all known Problems to find connections and relationships, forming a graph that the UX must convey. Related clusters are analytically meaningful and are the natural unit that gets elevated into a Project. The relationship/clustering is agent-proposed and human-decided: the agent surfaces candidate connections; a human confirms, severs, or adds them.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Triage dispositions are elevate, defer, or dismiss. Dismissal (often ‘outside our wheelhouse’) greys or hides a Problem but does not delete it; it remains reversible and preserved. All Problems, dismissed or not, receive recheck triggers, making the whole graph self-correcting over time.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Problems are dual-sourced (agent + human), related into a graph the UX conveys, with clustering agent-proposed and human-decided. Dispositions are elevate/defer/dismiss; dismissal is reversible greying, not deletion; all Problems carry recheck triggers. Clusters are the usual unit elevated into Projects.</w:t>
      </w:r>
    </w:p>
    <w:bookmarkStart w:colFirst="0" w:colLast="0" w:name="b7rokq6y2wvj" w:id="28"/>
    <w:bookmarkEnd w:id="28"/>
    <w:p w:rsidR="00000000" w:rsidDel="00000000" w:rsidP="00000000" w:rsidRDefault="00000000" w:rsidRPr="00000000" w14:paraId="00000089">
      <w:pPr>
        <w:pStyle w:val="Heading2"/>
        <w:rPr/>
      </w:pPr>
      <w:r w:rsidDel="00000000" w:rsidR="00000000" w:rsidRPr="00000000">
        <w:rPr>
          <w:rtl w:val="0"/>
        </w:rPr>
        <w:t xml:space="preserve">7.6 The gathering contract (added v10)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gathering request is the unit of named standing intent (Intake Doctrine Section 4 governs its authority; State Rules v1.5 and check C-18.5 govern its grammar). Three semantics were settled by production practice and are binding on every planter and every consumer:</w:t>
      </w:r>
    </w:p>
    <w:p w:rsidR="00000000" w:rsidDel="00000000" w:rsidP="00000000" w:rsidRDefault="00000000" w:rsidRPr="00000000" w14:paraId="0000008B">
      <w:pPr>
        <w:numPr>
          <w:ilvl w:val="0"/>
          <w:numId w:val="11"/>
        </w:numPr>
        <w:ind w:left="720" w:hanging="480"/>
        <w:rPr/>
      </w:pPr>
      <w:r w:rsidDel="00000000" w:rsidR="00000000" w:rsidRPr="00000000">
        <w:rPr>
          <w:b w:val="1"/>
          <w:bCs w:val="1"/>
          <w:rtl w:val="0"/>
        </w:rPr>
        <w:t xml:space="preserve">Locators are ordered fallbacks for one document, never a fan-out list.</w:t>
      </w:r>
      <w:r w:rsidDel="00000000" w:rsidR="00000000" w:rsidRPr="00000000">
        <w:rPr>
          <w:rtl w:val="0"/>
        </w:rPr>
        <w:t xml:space="preserve"> A request names exactly one target document; its locators array is the ordered set of addresses at which that one document may be found, tried in order until one yields. The lesson is recorded in the store: a four-locator request delivered exactly one of its four intended attachment listings, because the daemon correctly stopped at the first success.</w:t>
      </w:r>
    </w:p>
    <w:p w:rsidR="00000000" w:rsidDel="00000000" w:rsidP="00000000" w:rsidRDefault="00000000" w:rsidRPr="00000000" w14:paraId="0000008C">
      <w:pPr>
        <w:numPr>
          <w:ilvl w:val="0"/>
          <w:numId w:val="11"/>
        </w:numPr>
        <w:ind w:left="720" w:hanging="480"/>
        <w:rPr/>
      </w:pPr>
      <w:r w:rsidDel="00000000" w:rsidR="00000000" w:rsidRPr="00000000">
        <w:rPr>
          <w:b w:val="1"/>
          <w:bCs w:val="1"/>
          <w:rtl w:val="0"/>
        </w:rPr>
        <w:t xml:space="preserve">Fan-out is one request per document.</w:t>
      </w:r>
      <w:r w:rsidDel="00000000" w:rsidR="00000000" w:rsidRPr="00000000">
        <w:rPr>
          <w:rtl w:val="0"/>
        </w:rPr>
        <w:t xml:space="preserve"> Capturing N documents means planting N requests, each with its own id, target, and locator chain. This is what makes request status meaningful (captured means the document is in the store), keeps the register’s origin edges one-to-one, and lets the due slate name what is actually outstanding.</w:t>
      </w:r>
    </w:p>
    <w:p w:rsidR="00000000" w:rsidDel="00000000" w:rsidP="00000000" w:rsidRDefault="00000000" w:rsidRPr="00000000" w14:paraId="0000008D">
      <w:pPr>
        <w:numPr>
          <w:ilvl w:val="0"/>
          <w:numId w:val="11"/>
        </w:numPr>
        <w:ind w:left="720" w:hanging="480"/>
        <w:rPr/>
      </w:pPr>
      <w:r w:rsidDel="00000000" w:rsidR="00000000" w:rsidRPr="00000000">
        <w:rPr>
          <w:b w:val="1"/>
          <w:bCs w:val="1"/>
          <w:rtl w:val="0"/>
        </w:rPr>
        <w:t xml:space="preserve">Unknown cadence values default to monthly.</w:t>
      </w:r>
      <w:r w:rsidDel="00000000" w:rsidR="00000000" w:rsidRPr="00000000">
        <w:rPr>
          <w:rtl w:val="0"/>
        </w:rPr>
        <w:t xml:space="preserve"> The cadence vocabulary is closed (C-18.5); a value outside it is a grammar finding, but a daemon encountering one in a degraded or transitional store treats it as monthly, the most conservative recheck posture, rather than refusing the request or polling aggressively.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document per gathering request; locators are ordered fallbacks; fan-out is one request per document; unknown cadence defaults to monthly.</w:t>
      </w:r>
    </w:p>
    <w:bookmarkStart w:colFirst="0" w:colLast="0" w:name="n73czq8t4my5" w:id="29"/>
    <w:bookmarkEnd w:id="29"/>
    <w:p w:rsidR="00000000" w:rsidDel="00000000" w:rsidP="00000000" w:rsidRDefault="00000000" w:rsidRPr="00000000" w14:paraId="0000008F">
      <w:pPr>
        <w:pStyle w:val="Heading2"/>
        <w:rPr/>
      </w:pPr>
      <w:r w:rsidDel="00000000" w:rsidR="00000000" w:rsidRPr="00000000">
        <w:rPr>
          <w:rtl w:val="0"/>
        </w:rPr>
        <w:t xml:space="preserve">7.7 Attestation in production (added v10)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Intake Doctrine (Section 3) defines capture grades and requires the mechanical co-attestations of the fetch layer; this section records how they run in the deployed system, from the July 19 live fire and every capture since.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Co-archive requests run against Internet Archive Save Page Now in anonymous mode (the SPN2 S3 key pair is a standing Tier B operator item; anonymous mode is working and recorded per capture, with the http 302 confirmation and the archive locator entering the register). Trusted timestamps are RFC 3161: timestamp.digicert.com is the configured primary and has failed silently from the Apps Script runtime on every attempt; the freetsa.org fallback engages and carries every token issued to date, with the failure recorded per capture in attestation_attempts. This concentration in a single fallback authority is a recorded exposure to watch, and the CA caveat stands: freetsa’s certificate chain is community-operated, so a token from it proves existence-at-instant to anyone who accepts that chain, and the register records which authority issued each token rather than implying uniformity. Tokens are stored base64-wrapped (.tsr.b64) because the write path is a UTF-8 byte pipe.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coming M3’ asymmetry.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Member-submitted documents that no locator can fetch (documents in hand, interactive-state exports, email-delivered records) can carry a trusted timestamp over their capture hash but no co-archive, because there is nothing public for an archive to fetch. The register records this honestly as the asymmetry it is: chain-of-custody attestation per Doctrine Section 3a substitutes for the co-archive on the capture-chain axis, and the M3’ member-submission machinery must record attestation_attempts with the same honesty the daemon practices.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Co-attestation in production is SPN anonymous plus RFC 3161 with the freetsa fallback carrying all tokens and digicert failures recorded per capture; the single-authority concentration is a watch item; member-submitted unfetchable documents carry timestamps and custody attestation without co-archives, recorded as such.</w:t>
      </w:r>
    </w:p>
    <w:bookmarkStart w:colFirst="0" w:colLast="0" w:name="610qlciespd4" w:id="30"/>
    <w:bookmarkEnd w:id="30"/>
    <w:p w:rsidR="00000000" w:rsidDel="00000000" w:rsidP="00000000" w:rsidRDefault="00000000" w:rsidRPr="00000000" w14:paraId="00000094">
      <w:pPr>
        <w:pStyle w:val="Heading1"/>
        <w:rPr/>
      </w:pPr>
      <w:r w:rsidDel="00000000" w:rsidR="00000000" w:rsidRPr="00000000">
        <w:rPr>
          <w:rtl w:val="0"/>
        </w:rPr>
        <w:t xml:space="preserve">8. UX architecture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static, local-first Progressive Web App. No central server to operate; mirrorable from static files; no headquarters and no central datastore to breach or subpoena.</w:t>
      </w:r>
    </w:p>
    <w:bookmarkStart w:colFirst="0" w:colLast="0" w:name="4s0n8a993qdu" w:id="31"/>
    <w:bookmarkEnd w:id="31"/>
    <w:p w:rsidR="00000000" w:rsidDel="00000000" w:rsidP="00000000" w:rsidRDefault="00000000" w:rsidRPr="00000000" w14:paraId="00000096">
      <w:pPr>
        <w:pStyle w:val="Heading2"/>
        <w:rPr/>
      </w:pPr>
      <w:r w:rsidDel="00000000" w:rsidR="00000000" w:rsidRPr="00000000">
        <w:rPr>
          <w:rtl w:val="0"/>
        </w:rPr>
        <w:t xml:space="preserve">8.1 Surfaces and journeys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levels. The seven categories from the Roadmap (Context, Search, New Developments, Monitoring, Communications, Projects, Settings) are navigation surfaces. Journeys are task flows that thread through those surfaces and move objects along the pipeline. The journeys identified so far:</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Journey</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Produces</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Lives in</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&amp; user setup</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Kernel/config</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configured instance + policies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Settings</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gathering request mgmt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bundles + standing policies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 Monitoring</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browsing</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(consumes; spawns annotations &amp; requests)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Conflict &amp; discrepancy filtering</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 (+ issue-type config)</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Developments + triage board</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browsing &amp; routing</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triaged Problems routed to Projects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Triage board + Projects</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setup &amp; processing</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matured Project + Work Product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Projects</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setup</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Projects to Action</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management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plans, comms, calendaring, … + Work Products</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Projects/Action + Communications</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product distribution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Analysis/Action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 Work Products (in/internal/out)</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 surface + directory</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Workflow overview</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Cross-layer</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(consumes; the derived index)</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Overview (home)</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Cross-cutting experiences.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run through all journeys rather than beside them. Annotation/review is anchored async human judgment on any object. Consistency-and-repair is the checker surfacing inconsistencies and a constrained set of legal repairs; it is a sidebar, available across surfaces, not a destination.</w:t>
      </w:r>
    </w:p>
    <w:bookmarkStart w:colFirst="0" w:colLast="0" w:name="i6qz0o5jgufm" w:id="32"/>
    <w:bookmarkEnd w:id="32"/>
    <w:p w:rsidR="00000000" w:rsidDel="00000000" w:rsidP="00000000" w:rsidRDefault="00000000" w:rsidRPr="00000000" w14:paraId="000000C5">
      <w:pPr>
        <w:pStyle w:val="Heading2"/>
        <w:rPr/>
      </w:pPr>
      <w:r w:rsidDel="00000000" w:rsidR="00000000" w:rsidRPr="00000000">
        <w:rPr>
          <w:rtl w:val="0"/>
        </w:rPr>
        <w:t xml:space="preserve">8.2 Key surface notes</w:t>
      </w:r>
    </w:p>
    <w:p w:rsidR="00000000" w:rsidDel="00000000" w:rsidP="00000000" w:rsidRDefault="00000000" w:rsidRPr="00000000" w14:paraId="000000C6">
      <w:pPr>
        <w:numPr>
          <w:ilvl w:val="0"/>
          <w:numId w:val="12"/>
        </w:numPr>
        <w:ind w:left="720" w:hanging="480"/>
        <w:rPr/>
      </w:pPr>
      <w:r w:rsidDel="00000000" w:rsidR="00000000" w:rsidRPr="00000000">
        <w:rPr>
          <w:rtl w:val="0"/>
        </w:rPr>
        <w:t xml:space="preserve">Overview is home: a curated inventory of everything — information, problems, projects, actions, and work products (incoming, internal, outgoing) — and the user-facing view of the per-group derived index.</w:t>
      </w:r>
    </w:p>
    <w:p w:rsidR="00000000" w:rsidDel="00000000" w:rsidP="00000000" w:rsidRDefault="00000000" w:rsidRPr="00000000" w14:paraId="000000C7">
      <w:pPr>
        <w:numPr>
          <w:ilvl w:val="0"/>
          <w:numId w:val="12"/>
        </w:numPr>
        <w:ind w:left="720" w:hanging="480"/>
        <w:rPr/>
      </w:pPr>
      <w:r w:rsidDel="00000000" w:rsidR="00000000" w:rsidRPr="00000000">
        <w:rPr>
          <w:rtl w:val="0"/>
        </w:rPr>
        <w:t xml:space="preserve">Information browsing is not inert: it is the natural launch point for dropping an annotation and for spawning new gathering requests or monitors.</w:t>
      </w:r>
    </w:p>
    <w:p w:rsidR="00000000" w:rsidDel="00000000" w:rsidP="00000000" w:rsidRDefault="00000000" w:rsidRPr="00000000" w14:paraId="000000C8">
      <w:pPr>
        <w:numPr>
          <w:ilvl w:val="0"/>
          <w:numId w:val="12"/>
        </w:numPr>
        <w:ind w:left="720" w:hanging="480"/>
        <w:rPr/>
      </w:pPr>
      <w:r w:rsidDel="00000000" w:rsidR="00000000" w:rsidRPr="00000000">
        <w:rPr>
          <w:rtl w:val="0"/>
        </w:rPr>
        <w:t xml:space="preserve">Conflict filtering is scope-greying, not a scan: the surface shows the full Problem list with out-of-scope or dismissed items greyed or hidden, and conveys the relationship graph among them.</w:t>
      </w:r>
    </w:p>
    <w:p w:rsidR="00000000" w:rsidDel="00000000" w:rsidP="00000000" w:rsidRDefault="00000000" w:rsidRPr="00000000" w14:paraId="000000C9">
      <w:pPr>
        <w:numPr>
          <w:ilvl w:val="0"/>
          <w:numId w:val="12"/>
        </w:numPr>
        <w:ind w:left="720" w:hanging="480"/>
        <w:rPr/>
      </w:pPr>
      <w:r w:rsidDel="00000000" w:rsidR="00000000" w:rsidRPr="00000000">
        <w:rPr>
          <w:rtl w:val="0"/>
        </w:rPr>
        <w:t xml:space="preserve">Project processing includes focusing as a first-class act: turning a matured Project into a Work Product (agent drafts, human refines, evaluation validates) is an explicit step, not a side effect.</w:t>
      </w:r>
    </w:p>
    <w:p w:rsidR="00000000" w:rsidDel="00000000" w:rsidP="00000000" w:rsidRDefault="00000000" w:rsidRPr="00000000" w14:paraId="000000CA">
      <w:pPr>
        <w:numPr>
          <w:ilvl w:val="0"/>
          <w:numId w:val="12"/>
        </w:numPr>
        <w:ind w:left="720" w:hanging="480"/>
        <w:rPr/>
      </w:pPr>
      <w:r w:rsidDel="00000000" w:rsidR="00000000" w:rsidRPr="00000000">
        <w:rPr>
          <w:rtl w:val="0"/>
        </w:rPr>
        <w:t xml:space="preserve">Distribution is its own surface: choosing internal vs. external audience, applying the strictness bar and (externally) the risk tier, rendering the layered brief, and submitting to the directory.</w:t>
      </w:r>
    </w:p>
    <w:p w:rsidR="00000000" w:rsidDel="00000000" w:rsidP="00000000" w:rsidRDefault="00000000" w:rsidRPr="00000000" w14:paraId="000000CB">
      <w:pPr>
        <w:numPr>
          <w:ilvl w:val="0"/>
          <w:numId w:val="12"/>
        </w:numPr>
        <w:ind w:left="720" w:hanging="480"/>
        <w:rPr/>
      </w:pPr>
      <w:r w:rsidDel="00000000" w:rsidR="00000000" w:rsidRPr="00000000">
        <w:rPr>
          <w:rtl w:val="0"/>
        </w:rPr>
        <w:t xml:space="preserve">Clocks belong to Actions: an Action’s timeline scales from a single statutory date (a CPRA request’s deadline) to a multi-stage schedule with dependencies (a civil suit). Every date-bearing clock entry carries the statute, order, or commitment it derives from. The Monitoring skill watches them; New Developments and the Overview surface what is approaching or overdue.</w:t>
      </w:r>
    </w:p>
    <w:bookmarkStart w:colFirst="0" w:colLast="0" w:name="e524lnpbiz8c" w:id="33"/>
    <w:bookmarkEnd w:id="33"/>
    <w:p w:rsidR="00000000" w:rsidDel="00000000" w:rsidP="00000000" w:rsidRDefault="00000000" w:rsidRPr="00000000" w14:paraId="000000CC">
      <w:pPr>
        <w:pStyle w:val="Heading2"/>
        <w:rPr/>
      </w:pPr>
      <w:r w:rsidDel="00000000" w:rsidR="00000000" w:rsidRPr="00000000">
        <w:rPr>
          <w:rtl w:val="0"/>
        </w:rPr>
        <w:t xml:space="preserve">8.3 Configurable extension surfaces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Extensibility is a stable kernel plus composable extension surfaces. The kernel is invariant (values, principles, publishing standard, bundle schema, escalation protocol, the seven-category shell). An extension is a triple: a skill (produces or consumes an artifact type via the bundle skill), a client surface component, and a bundle artifact type. Surfaces come in three kinds: outbound/rendering (slide decks, spreadsheets, exports), inbound/response-generating (surveys, forms, email campaigns — heavier, with a backend and an attack surface), and internal task-specific (a Problem-triage board, a Project workspace, a negotiation tracker). Per-layer extensibility: the Information layer is fully configurable in what it collects and monitors; the Analysis layer is intent-driven (a group expresses interests, objectives, and requirements and the system shapes its process and products); the Action layer is the broadest suite. Two tensions resolve cleanly: keep the kernel uniform and make the surface where groups differ (R2 vs. R15); keep the core client static and serverless and treat every external-surface integration as optional, per-group, and replaceable (R9/R14). External response-generating surfaces are seam-now, build-later.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UX is a static local-first PWA with seven navigation surfaces and a set of journeys that thread through them. Overview is home and the per-group index view; clocks live on Actions; consistency-and-repair is a sidebar; distribution is its own surface; focusing is a first-class act. Extensibility is an invariant kernel plus {skill, surface, artifact type} extensions in three kinds, with external integrations always optional, per-group, and replaceable.</w:t>
      </w:r>
    </w:p>
    <w:bookmarkStart w:colFirst="0" w:colLast="0" w:name="4g0puitoxngb" w:id="34"/>
    <w:bookmarkEnd w:id="34"/>
    <w:p w:rsidR="00000000" w:rsidDel="00000000" w:rsidP="00000000" w:rsidRDefault="00000000" w:rsidRPr="00000000" w14:paraId="000000CF">
      <w:pPr>
        <w:pStyle w:val="Heading2"/>
        <w:rPr/>
      </w:pPr>
      <w:r w:rsidDel="00000000" w:rsidR="00000000" w:rsidRPr="00000000">
        <w:rPr>
          <w:rtl w:val="0"/>
        </w:rPr>
        <w:t xml:space="preserve">8.4 The Phase 1 client, as built (added v9)</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Phase 1 PWA shipped all six ladder rungs (client 0.6.2; the decision record is bio-bundle/client/CLIENT.md, which this section ratifies). Three architectural decisions:</w:t>
      </w:r>
    </w:p>
    <w:p w:rsidR="00000000" w:rsidDel="00000000" w:rsidP="00000000" w:rsidRDefault="00000000" w:rsidRPr="00000000" w14:paraId="000000D1">
      <w:pPr>
        <w:numPr>
          <w:ilvl w:val="0"/>
          <w:numId w:val="13"/>
        </w:numPr>
        <w:ind w:left="720" w:hanging="480"/>
        <w:rPr/>
      </w:pPr>
      <w:r w:rsidDel="00000000" w:rsidR="00000000" w:rsidRPr="00000000">
        <w:rPr>
          <w:b w:val="1"/>
          <w:bCs w:val="1"/>
          <w:rtl w:val="0"/>
        </w:rPr>
        <w:t xml:space="preserve">Repo shape.</w:t>
      </w:r>
      <w:r w:rsidDel="00000000" w:rsidR="00000000" w:rsidRPr="00000000">
        <w:rPr>
          <w:rtl w:val="0"/>
        </w:rPr>
        <w:t xml:space="preserve"> The client lives at bio-bundle/client/, a sibling of checks/ and accelerator/, importing bio-checks source directly by relative path. No copied checks artifact exists anywhere: a copy is a second codebase the moment the original moves, and the client scan must byte-match the gate, so the one-check-codebase law decided this. VERSIONS.json carries a client entry asserted by check-versions.</w:t>
      </w:r>
    </w:p>
    <w:p w:rsidR="00000000" w:rsidDel="00000000" w:rsidP="00000000" w:rsidRDefault="00000000" w:rsidRPr="00000000" w14:paraId="000000D2">
      <w:pPr>
        <w:numPr>
          <w:ilvl w:val="0"/>
          <w:numId w:val="13"/>
        </w:numPr>
        <w:ind w:left="720" w:hanging="480"/>
        <w:rPr/>
      </w:pPr>
      <w:r w:rsidDel="00000000" w:rsidR="00000000" w:rsidRPr="00000000">
        <w:rPr>
          <w:b w:val="1"/>
          <w:bCs w:val="1"/>
          <w:rtl w:val="0"/>
        </w:rPr>
        <w:t xml:space="preserve">Local schema.</w:t>
      </w:r>
      <w:r w:rsidDel="00000000" w:rsidR="00000000" w:rsidRPr="00000000">
        <w:rPr>
          <w:rtl w:val="0"/>
        </w:rPr>
        <w:t xml:space="preserve"> Two Dexie tables, decided against actual consumers rather than speculation: bundles (primary key id, indexed by root) holds the parsed render model; files (compound key bundleId plus path) holds the byte-faithful string mirror, whose one indexed read reconstructs exactly the file map the gate’s collector feeds checkBundle, so the browser scan and the node gate consume identical input. The store stays authoritative; both tables rebuild from ingest at any time and the app tolerates their absence.</w:t>
      </w:r>
    </w:p>
    <w:p w:rsidR="00000000" w:rsidDel="00000000" w:rsidP="00000000" w:rsidRDefault="00000000" w:rsidRPr="00000000" w14:paraId="000000D3">
      <w:pPr>
        <w:numPr>
          <w:ilvl w:val="0"/>
          <w:numId w:val="13"/>
        </w:numPr>
        <w:ind w:left="720" w:hanging="480"/>
        <w:rPr/>
      </w:pPr>
      <w:r w:rsidDel="00000000" w:rsidR="00000000" w:rsidRPr="00000000">
        <w:rPr>
          <w:b w:val="1"/>
          <w:bCs w:val="1"/>
          <w:rtl w:val="0"/>
        </w:rPr>
        <w:t xml:space="preserve">Hosting.</w:t>
      </w:r>
      <w:r w:rsidDel="00000000" w:rsidR="00000000" w:rsidRPr="00000000">
        <w:rPr>
          <w:rtl w:val="0"/>
        </w:rPr>
        <w:t xml:space="preserve"> Netlify, from the three acceptable static hosts of Section 9, chosen for lowest operator friction; the build uses a relative base so the bundle is statically hostable and mirrorable from any path. Freely reversible; nothing downstream depends on it.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built, the client carries: folder and zip ingestion; the docket and bundle detail; the consistency sidebar running checkBundle itself through three adapters (WebCrypto hashing, a Set-based reference resolver, character-identical report formatting); the live mirror over the Section 10.4 endpoint slate with client-side hash verification that aborts loudly on mismatch; the gated Editor, whose Submit enables only on a local gate PASS and whose Edit is offered only on a docket freshly synced from the live endpoint (demo, local, and mirror-restored stores are read-only by construction); the client promoter, byte-identical to the reference implementation and carrying the I-17 divergence ladder; and local index regeneration with substrate locators honestly null, since the browser never touches Drive.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Phase 1 client’s three architectural choices, in-repo placement importing bio-checks by relative path, the two-table mirror schema reconstructing the gate’s exact input, and Netlify hosting, are ratified as recorded in CLIENT.md. The client is a caller class of the Section 10.4 registry and a packaging-mode writer under the Design document’s write protocol; it holds no Drive credential and nothing in it is load-bearing to kernel correctness.</w:t>
      </w:r>
    </w:p>
    <w:bookmarkStart w:colFirst="0" w:colLast="0" w:name="ut4r1ddtsht3" w:id="35"/>
    <w:bookmarkEnd w:id="35"/>
    <w:p w:rsidR="00000000" w:rsidDel="00000000" w:rsidP="00000000" w:rsidRDefault="00000000" w:rsidRPr="00000000" w14:paraId="000000D6">
      <w:pPr>
        <w:pStyle w:val="Heading1"/>
        <w:rPr/>
      </w:pPr>
      <w:r w:rsidDel="00000000" w:rsidR="00000000" w:rsidRPr="00000000">
        <w:rPr>
          <w:rtl w:val="0"/>
        </w:rPr>
        <w:t xml:space="preserve">9. Technology stack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SKILL.md runs unchanged across the interactive surfaces (Chat, Cowork, Claude Code) and the headless Agent SDK, loaded on demand from the filesystem, so the methodology is portable and mode-agnostic and the code surface is thin. The calls, optimized for bus-factor:</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Methodology</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Markdown skills (+ Python/bash helper scripts), versioned in git, composed by a build step into per-mode consolidations, authored with the Skill Creator. The bulk of the system’s logic.</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Client / UX</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Vite, as a static PWA. Largest talent pool and longevity (lowest bus-factor) and the deepest component ecosystem for the broad action-layer suite. Vite, not a meta-framework, to stay purely client-side and serverless. Local data in IndexedDB (via Dexie) to start.</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orchestration</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Claude Agent SDK in TypeScript — one primary language across client and agent glue. It loads the same skills the interactive surfaces use.</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 extraction</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scoped to the information layer’s document/data extraction, run as in-sandbox tool-scripts a skill invokes. The agent shells out to Python; it is not written in Python.</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Integrity checks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 JavaScript (ES modules, JSDoc-typed, zero dependencies, no build step): one check codebase run identically at the write gate (node) and in the client scan (browser import). Decided in Bundle Skill Composite Design Section 9.</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Bundle substrate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Drive folders (multi-format), with git or OSF as mirror/resilience alternates. Not Google Sheets, and not Sheets as any central surface. Substrate locators never link objects (Section 3).</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Hosting / ops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static host (Cloudflare Pages, Netlify, or GitHub Pages), git for versioning and the mirrorable directory, and a skill-assembler.</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Constrained endpoints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Google Apps Script, per group, under Section 10.4’s admission criteria only. Off-kernel, never load-bearing.</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Constrained endpoints are not a backend (Section 10.4); the no-backend boundary stands until the deferred external surfaces arrive, and then optional, per-group, and replaceable.</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TypeScript for what the app does (React + Vite client, TypeScript Agent SDK), Python for what touches data, Markdown for what the AI does, dependency-free JavaScript for what must run identically everywhere for years. Drive folders as the bundle substrate; static hosting; git; constrained Apps Script endpoints under the Section 10.4 discipline; no backend.</w:t>
      </w:r>
    </w:p>
    <w:bookmarkStart w:colFirst="0" w:colLast="0" w:name="y2bwvvqvzvkg" w:id="36"/>
    <w:bookmarkEnd w:id="36"/>
    <w:p w:rsidR="00000000" w:rsidDel="00000000" w:rsidP="00000000" w:rsidRDefault="00000000" w:rsidRPr="00000000" w14:paraId="000000ED">
      <w:pPr>
        <w:pStyle w:val="Heading1"/>
        <w:rPr/>
      </w:pPr>
      <w:r w:rsidDel="00000000" w:rsidR="00000000" w:rsidRPr="00000000">
        <w:rPr>
          <w:rtl w:val="0"/>
        </w:rPr>
        <w:t xml:space="preserve">10. Decentralized continuity, integrity, and resource discipline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Summarized here; specified in full in BIO_State_Rules_Consistency.</w:t>
      </w:r>
    </w:p>
    <w:bookmarkStart w:colFirst="0" w:colLast="0" w:name="w7f91gov18pi" w:id="37"/>
    <w:bookmarkEnd w:id="37"/>
    <w:p w:rsidR="00000000" w:rsidDel="00000000" w:rsidP="00000000" w:rsidRDefault="00000000" w:rsidRPr="00000000" w14:paraId="000000EF">
      <w:pPr>
        <w:pStyle w:val="Heading2"/>
        <w:rPr/>
      </w:pPr>
      <w:r w:rsidDel="00000000" w:rsidR="00000000" w:rsidRPr="00000000">
        <w:rPr>
          <w:rtl w:val="0"/>
        </w:rPr>
        <w:t xml:space="preserve">10.1 Continuity without a server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Enforcement lives in exactly two places: the bundle skill at write time (the sole writer; it validates and performs convergent promotion), and a client-side consistency checker at scan time (the per-group React/IndexedDB client). The bundle frontmatter is the authoritative state; any ‘ledger’ is a per-group, regenerable index derived from that group’s own bundles, never central and never a source of truth. The server-side watcher/validator/promotion of the prior project splits cleanly: promotion folds into the skill’s write-back and the pending-package queue drained by any capable actor, and the client takes the scanning role.</w:t>
      </w:r>
    </w:p>
    <w:bookmarkStart w:colFirst="0" w:colLast="0" w:name="4rxop47a61hu" w:id="38"/>
    <w:bookmarkEnd w:id="38"/>
    <w:p w:rsidR="00000000" w:rsidDel="00000000" w:rsidP="00000000" w:rsidRDefault="00000000" w:rsidRPr="00000000" w14:paraId="000000F1">
      <w:pPr>
        <w:pStyle w:val="Heading2"/>
        <w:rPr/>
      </w:pPr>
      <w:r w:rsidDel="00000000" w:rsidR="00000000" w:rsidRPr="00000000">
        <w:rPr>
          <w:rtl w:val="0"/>
        </w:rPr>
        <w:t xml:space="preserve">10.2 Integrity rules</w:t>
      </w:r>
    </w:p>
    <w:p w:rsidR="00000000" w:rsidDel="00000000" w:rsidP="00000000" w:rsidRDefault="00000000" w:rsidRPr="00000000" w14:paraId="000000F2">
      <w:pPr>
        <w:numPr>
          <w:ilvl w:val="0"/>
          <w:numId w:val="14"/>
        </w:numPr>
        <w:ind w:left="720" w:hanging="480"/>
        <w:rPr/>
      </w:pPr>
      <w:r w:rsidDel="00000000" w:rsidR="00000000" w:rsidRPr="00000000">
        <w:rPr>
          <w:rtl w:val="0"/>
        </w:rPr>
        <w:t xml:space="preserve">Accretive store: deletion is exceptional, reason-gated, preserved in history, and cascades to dependent Work Products for re-evaluation.</w:t>
      </w:r>
    </w:p>
    <w:p w:rsidR="00000000" w:rsidDel="00000000" w:rsidP="00000000" w:rsidRDefault="00000000" w:rsidRPr="00000000" w14:paraId="000000F3">
      <w:pPr>
        <w:numPr>
          <w:ilvl w:val="0"/>
          <w:numId w:val="14"/>
        </w:numPr>
        <w:ind w:left="720" w:hanging="480"/>
        <w:rPr/>
      </w:pPr>
      <w:r w:rsidDel="00000000" w:rsidR="00000000" w:rsidRPr="00000000">
        <w:rPr>
          <w:rtl w:val="0"/>
        </w:rPr>
        <w:t xml:space="preserve">Source-grounding: a distributed Work Product carries archived, hashed, timestamped primary-source evidence, sufficient for a recipient to verify each claim against that evidence and check the synthesis.</w:t>
      </w:r>
    </w:p>
    <w:p w:rsidR="00000000" w:rsidDel="00000000" w:rsidP="00000000" w:rsidRDefault="00000000" w:rsidRPr="00000000" w14:paraId="000000F4">
      <w:pPr>
        <w:numPr>
          <w:ilvl w:val="0"/>
          <w:numId w:val="14"/>
        </w:numPr>
        <w:ind w:left="720" w:hanging="480"/>
        <w:rPr/>
      </w:pPr>
      <w:r w:rsidDel="00000000" w:rsidR="00000000" w:rsidRPr="00000000">
        <w:rPr>
          <w:rtl w:val="0"/>
        </w:rPr>
        <w:t xml:space="preserve">No transitive trust: a group always runs its own Argument Evaluation on incoming Work Products; trust is re-established locally at every hop and attaches as a trust signal.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Consistency checker and constrained repair.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checker plus a constrained set of legal repair actions is the enforcement mechanism for the state rules. Each invariant violation maps to a small, well-defined set of sanctioned repairs; a non-technical, distributed audience never free-edits the store but picks from valid repairs, which is how illegal states stay unreachable with no server policing them. The invariant set and the violation-to-repair mapping are specified in the State Rules spec.</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Mechanical Verification Law (adopted July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Production experience on the prior project established that a correct prose contract does not reliably produce conforming output; only a mechanical check run against the written artifact does. Therefore every invariant carries an executable check; the bundle skill runs the applicable check set against written files after every write and delivers nothing on failure; the client-side checker runs the same check implementations at scan time. One check codebase, two call sites; divergence between gate and checker is itself a defect. Checks are versioned with the per-type schema stamps, so old bundles keep validating against the version they declare and schema migration is an explicit, history-preserving rewrite.</w:t>
      </w:r>
    </w:p>
    <w:bookmarkStart w:colFirst="0" w:colLast="0" w:name="ku6unkfxyn42" w:id="39"/>
    <w:bookmarkEnd w:id="39"/>
    <w:p w:rsidR="00000000" w:rsidDel="00000000" w:rsidP="00000000" w:rsidRDefault="00000000" w:rsidRPr="00000000" w14:paraId="000000F7">
      <w:pPr>
        <w:pStyle w:val="Heading2"/>
        <w:rPr/>
      </w:pPr>
      <w:r w:rsidDel="00000000" w:rsidR="00000000" w:rsidRPr="00000000">
        <w:rPr>
          <w:rtl w:val="0"/>
        </w:rPr>
        <w:t xml:space="preserve">10.3 Resource and token discipline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session ever loads ‘all of these skills.’ The levers, in priority order (avoid the wall first; checkpointing is the net):</w:t>
      </w:r>
    </w:p>
    <w:p w:rsidR="00000000" w:rsidDel="00000000" w:rsidP="00000000" w:rsidRDefault="00000000" w:rsidRPr="00000000" w14:paraId="000000F9">
      <w:pPr>
        <w:numPr>
          <w:ilvl w:val="0"/>
          <w:numId w:val="15"/>
        </w:numPr>
        <w:ind w:left="720" w:hanging="480"/>
        <w:rPr/>
      </w:pPr>
      <w:r w:rsidDel="00000000" w:rsidR="00000000" w:rsidRPr="00000000">
        <w:rPr>
          <w:rtl w:val="0"/>
        </w:rPr>
        <w:t xml:space="preserve">A thin dispatcher loads the minimal set for the goal: the dispatch spine, the one analytical skill, and the one bundle-type schema.</w:t>
      </w:r>
    </w:p>
    <w:p w:rsidR="00000000" w:rsidDel="00000000" w:rsidP="00000000" w:rsidRDefault="00000000" w:rsidRPr="00000000" w14:paraId="000000FA">
      <w:pPr>
        <w:numPr>
          <w:ilvl w:val="0"/>
          <w:numId w:val="15"/>
        </w:numPr>
        <w:ind w:left="720" w:hanging="480"/>
        <w:rPr/>
      </w:pPr>
      <w:r w:rsidDel="00000000" w:rsidR="00000000" w:rsidRPr="00000000">
        <w:rPr>
          <w:rtl w:val="0"/>
        </w:rPr>
        <w:t xml:space="preserve">Progressive disclosure everywhere: tiny always-on bodies; references loaded only when triggered.</w:t>
      </w:r>
    </w:p>
    <w:p w:rsidR="00000000" w:rsidDel="00000000" w:rsidP="00000000" w:rsidRDefault="00000000" w:rsidRPr="00000000" w14:paraId="000000FB">
      <w:pPr>
        <w:numPr>
          <w:ilvl w:val="0"/>
          <w:numId w:val="15"/>
        </w:numPr>
        <w:ind w:left="720" w:hanging="480"/>
        <w:rPr/>
      </w:pPr>
      <w:r w:rsidDel="00000000" w:rsidR="00000000" w:rsidRPr="00000000">
        <w:rPr>
          <w:rtl w:val="0"/>
        </w:rPr>
        <w:t xml:space="preserve">Per-mode lean derivatives: agents run a stripped, token-budgeted derivative; interactive sessions can afford the fuller skill.</w:t>
      </w:r>
    </w:p>
    <w:p w:rsidR="00000000" w:rsidDel="00000000" w:rsidP="00000000" w:rsidRDefault="00000000" w:rsidRPr="00000000" w14:paraId="000000FC">
      <w:pPr>
        <w:numPr>
          <w:ilvl w:val="0"/>
          <w:numId w:val="15"/>
        </w:numPr>
        <w:ind w:left="720" w:hanging="480"/>
        <w:rPr/>
      </w:pPr>
      <w:r w:rsidDel="00000000" w:rsidR="00000000" w:rsidRPr="00000000">
        <w:rPr>
          <w:rtl w:val="0"/>
        </w:rPr>
        <w:t xml:space="preserve">Preselection/triage: a cheap first pass chooses which detectors or lenses this job needs.</w:t>
      </w:r>
    </w:p>
    <w:p w:rsidR="00000000" w:rsidDel="00000000" w:rsidP="00000000" w:rsidRDefault="00000000" w:rsidRPr="00000000" w14:paraId="000000FD">
      <w:pPr>
        <w:numPr>
          <w:ilvl w:val="0"/>
          <w:numId w:val="15"/>
        </w:numPr>
        <w:ind w:left="720" w:hanging="480"/>
        <w:rPr/>
      </w:pPr>
      <w:r w:rsidDel="00000000" w:rsidR="00000000" w:rsidRPr="00000000">
        <w:rPr>
          <w:rtl w:val="0"/>
        </w:rPr>
        <w:t xml:space="preserve">On-disk working copy plus range reads: keep the bundle on disk and read only the section in play.</w:t>
      </w:r>
    </w:p>
    <w:p w:rsidR="00000000" w:rsidDel="00000000" w:rsidP="00000000" w:rsidRDefault="00000000" w:rsidRPr="00000000" w14:paraId="000000FE">
      <w:pPr>
        <w:numPr>
          <w:ilvl w:val="0"/>
          <w:numId w:val="15"/>
        </w:numPr>
        <w:ind w:left="720" w:hanging="480"/>
        <w:rPr/>
      </w:pPr>
      <w:r w:rsidDel="00000000" w:rsidR="00000000" w:rsidRPr="00000000">
        <w:rPr>
          <w:rtl w:val="0"/>
        </w:rPr>
        <w:t xml:space="preserve">Bounded passes that hand off through the bundle: decompose a long job into passes, each ending cleanly and writing a lean next-pass brief.</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Compaction resilience.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defense against fidelity loss is keeping the authoritative artifact out of the volatile context. Because the bundle is the on-disk source of truth and the skill edits it in place, compaction costs conversational continuity (recoverable on the next read), not analytical fidelity. The whole discipline is parameterized by the moving capability cap.</w:t>
      </w:r>
    </w:p>
    <w:bookmarkStart w:colFirst="0" w:colLast="0" w:name="glwm1lw927bz" w:id="40"/>
    <w:bookmarkEnd w:id="40"/>
    <w:p w:rsidR="00000000" w:rsidDel="00000000" w:rsidP="00000000" w:rsidRDefault="00000000" w:rsidRPr="00000000" w14:paraId="00000100">
      <w:pPr>
        <w:pStyle w:val="Heading2"/>
        <w:rPr/>
      </w:pPr>
      <w:r w:rsidDel="00000000" w:rsidR="00000000" w:rsidRPr="00000000">
        <w:rPr>
          <w:rtl w:val="0"/>
        </w:rPr>
        <w:t xml:space="preserve">10.4 Constrained endpoints (added v5)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the design assumes Google Drive as the default substrate, Google Apps Script is always available alongside it: server-side execution hosted by Google, no machine to operate, with full Drive capability including the update, rename, and move operations the chat-mode Drive connector lacks. This subsection recognizes that capability as an architectural class, available throughout the workflow, and binds it so it can never erode into a backend.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defining property: store-authoritative invocation.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constrained endpoint takes no authoritative input from its caller. Everything it acts on comes from the store (gate-passed packages, monitoring definitions in frontmatter, source locators inside verified Information objects, standing policies) or from external sources the store names. Caller-supplied parameters are limited to selectors (which bundle, which queue), validated against the store and non-authoritative: a wrong or malicious selector produces a no-op or legitimate work on a different target. The invocation is a doorbell, not a delivery: nothing enters through the call that was not already inside, already validated, already sanctioned as standing intent. Corruption by invocation is therefore structurally impossible; an adversary who obtains an endpoint URL can trigger work that was going to happen anyway or waste quota, and nothing else. This is the R13 answer to the fact that a web-app URL is effectively a capability token.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Admission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endpoint is admitted to the registry only if all of the following hold:</w:t>
      </w:r>
    </w:p>
    <w:p w:rsidR="00000000" w:rsidDel="00000000" w:rsidP="00000000" w:rsidRDefault="00000000" w:rsidRPr="00000000" w14:paraId="00000104">
      <w:pPr>
        <w:numPr>
          <w:ilvl w:val="0"/>
          <w:numId w:val="1"/>
        </w:numPr>
        <w:ind w:left="720" w:hanging="480"/>
        <w:rPr/>
      </w:pPr>
      <w:r w:rsidDel="00000000" w:rsidR="00000000" w:rsidRPr="00000000">
        <w:rPr>
          <w:b w:val="1"/>
          <w:bCs w:val="1"/>
          <w:rtl w:val="0"/>
        </w:rPr>
        <w:t xml:space="preserve">Store-authoritative inputs.</w:t>
      </w:r>
      <w:r w:rsidDel="00000000" w:rsidR="00000000" w:rsidRPr="00000000">
        <w:rPr>
          <w:rtl w:val="0"/>
        </w:rPr>
        <w:t xml:space="preserve"> No content, no commands, no caller-supplied value that becomes state. Inputs come from the store or from external sources the store names.</w:t>
      </w:r>
    </w:p>
    <w:p w:rsidR="00000000" w:rsidDel="00000000" w:rsidP="00000000" w:rsidRDefault="00000000" w:rsidRPr="00000000" w14:paraId="00000105">
      <w:pPr>
        <w:numPr>
          <w:ilvl w:val="0"/>
          <w:numId w:val="1"/>
        </w:numPr>
        <w:ind w:left="720" w:hanging="480"/>
        <w:rPr/>
      </w:pPr>
      <w:r w:rsidDel="00000000" w:rsidR="00000000" w:rsidRPr="00000000">
        <w:rPr>
          <w:b w:val="1"/>
          <w:bCs w:val="1"/>
          <w:rtl w:val="0"/>
        </w:rPr>
        <w:t xml:space="preserve">Standing intent only.</w:t>
      </w:r>
      <w:r w:rsidDel="00000000" w:rsidR="00000000" w:rsidRPr="00000000">
        <w:rPr>
          <w:rtl w:val="0"/>
        </w:rPr>
        <w:t xml:space="preserve"> The endpoint executes work already sanctioned by store state (a gate-passed package, a due monitor, a confirmed policy); it never originates intent.</w:t>
      </w:r>
    </w:p>
    <w:p w:rsidR="00000000" w:rsidDel="00000000" w:rsidP="00000000" w:rsidRDefault="00000000" w:rsidRPr="00000000" w14:paraId="00000106">
      <w:pPr>
        <w:numPr>
          <w:ilvl w:val="0"/>
          <w:numId w:val="1"/>
        </w:numPr>
        <w:ind w:left="720" w:hanging="480"/>
        <w:rPr/>
      </w:pPr>
      <w:r w:rsidDel="00000000" w:rsidR="00000000" w:rsidRPr="00000000">
        <w:rPr>
          <w:b w:val="1"/>
          <w:bCs w:val="1"/>
          <w:rtl w:val="0"/>
        </w:rPr>
        <w:t xml:space="preserve">Idempotent and convergent.</w:t>
      </w:r>
      <w:r w:rsidDel="00000000" w:rsidR="00000000" w:rsidRPr="00000000">
        <w:rPr>
          <w:rtl w:val="0"/>
        </w:rPr>
        <w:t xml:space="preserve"> Racing invocations, replays, and spam converge to the same store state; the worst outcome is wasted quota or budget.</w:t>
      </w:r>
    </w:p>
    <w:p w:rsidR="00000000" w:rsidDel="00000000" w:rsidP="00000000" w:rsidRDefault="00000000" w:rsidRPr="00000000" w14:paraId="00000107">
      <w:pPr>
        <w:numPr>
          <w:ilvl w:val="0"/>
          <w:numId w:val="1"/>
        </w:numPr>
        <w:ind w:left="720" w:hanging="480"/>
        <w:rPr/>
      </w:pPr>
      <w:r w:rsidDel="00000000" w:rsidR="00000000" w:rsidRPr="00000000">
        <w:rPr>
          <w:b w:val="1"/>
          <w:bCs w:val="1"/>
          <w:rtl w:val="0"/>
        </w:rPr>
        <w:t xml:space="preserve">Validated output path.</w:t>
      </w:r>
      <w:r w:rsidDel="00000000" w:rsidR="00000000" w:rsidRPr="00000000">
        <w:rPr>
          <w:rtl w:val="0"/>
        </w:rPr>
        <w:t xml:space="preserve"> Everything the endpoint writes passes through the same integrity machinery as any write: deterministic naming, hashes, gate/checker validation, history preservation.</w:t>
      </w:r>
    </w:p>
    <w:p w:rsidR="00000000" w:rsidDel="00000000" w:rsidP="00000000" w:rsidRDefault="00000000" w:rsidRPr="00000000" w14:paraId="00000108">
      <w:pPr>
        <w:numPr>
          <w:ilvl w:val="0"/>
          <w:numId w:val="1"/>
        </w:numPr>
        <w:ind w:left="720" w:hanging="480"/>
        <w:rPr/>
      </w:pPr>
      <w:r w:rsidDel="00000000" w:rsidR="00000000" w:rsidRPr="00000000">
        <w:rPr>
          <w:b w:val="1"/>
          <w:bCs w:val="1"/>
          <w:rtl w:val="0"/>
        </w:rPr>
        <w:t xml:space="preserve">Non-load-bearing.</w:t>
      </w:r>
      <w:r w:rsidDel="00000000" w:rsidR="00000000" w:rsidRPr="00000000">
        <w:rPr>
          <w:rtl w:val="0"/>
        </w:rPr>
        <w:t xml:space="preserve"> Every endpoint operation is also performable by a capable actor (the client or an agentic session); kernel correctness never requires the endpoint; a dead endpoint degrades to the kernel guarantee, and the checker’s findings persist regardless.</w:t>
      </w:r>
    </w:p>
    <w:p w:rsidR="00000000" w:rsidDel="00000000" w:rsidP="00000000" w:rsidRDefault="00000000" w:rsidRPr="00000000" w14:paraId="00000109">
      <w:pPr>
        <w:numPr>
          <w:ilvl w:val="0"/>
          <w:numId w:val="1"/>
        </w:numPr>
        <w:ind w:left="720" w:hanging="480"/>
        <w:rPr/>
      </w:pPr>
      <w:r w:rsidDel="00000000" w:rsidR="00000000" w:rsidRPr="00000000">
        <w:rPr>
          <w:b w:val="1"/>
          <w:bCs w:val="1"/>
          <w:rtl w:val="0"/>
        </w:rPr>
        <w:t xml:space="preserve">Registry membership.</w:t>
      </w:r>
      <w:r w:rsidDel="00000000" w:rsidR="00000000" w:rsidRPr="00000000">
        <w:rPr>
          <w:rtl w:val="0"/>
        </w:rPr>
        <w:t xml:space="preserve"> Endpoints form a closed, versioned registry, each individually specified and admitted against these criteria, the same closed-vocabulary discipline the spec applies to relationship kinds. A general dispatch, eval, or RPC endpoint is permanently prohibited; the moment an endpoint ingests content or executes arbitrary operations it is a backend, and the no-backend boundary applies.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Deployment posture and invocation tokens (revised v6, extended v8).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Endpoints are per-group Apps Script web apps and/or time-driven triggers, deployed from starter-kit source in a guided setup step. Web-app access is deployed as “anyone,” because AI-accessibility is the point: chat and agentic sessions invoke by plain URL fetch and cannot perform Google sign-in. Layered on top is a lightweight bearer-token discipline, honestly scoped: the token is a quota-and-attribution mechanism, never a security boundary, because integrity rests entirely on store-authoritative semantics and cannot be strengthened by identifying callers. Access control is a second lock on a door that only opens inward; the token guards the group’s quota and names the doorbell-ringer, nothing more.</w:t>
      </w:r>
    </w:p>
    <w:p w:rsidR="00000000" w:rsidDel="00000000" w:rsidP="00000000" w:rsidRDefault="00000000" w:rsidRPr="00000000" w14:paraId="0000010B">
      <w:pPr>
        <w:numPr>
          <w:ilvl w:val="0"/>
          <w:numId w:val="2"/>
        </w:numPr>
        <w:ind w:left="720" w:hanging="480"/>
        <w:rPr/>
      </w:pPr>
      <w:r w:rsidDel="00000000" w:rsidR="00000000" w:rsidRPr="00000000">
        <w:rPr>
          <w:b w:val="1"/>
          <w:bCs w:val="1"/>
          <w:rtl w:val="0"/>
        </w:rPr>
        <w:t xml:space="preserve">Token mechanics.</w:t>
      </w:r>
      <w:r w:rsidDel="00000000" w:rsidR="00000000" w:rsidRPr="00000000">
        <w:rPr>
          <w:rtl w:val="0"/>
        </w:rPr>
        <w:t xml:space="preserve"> Each group generates random per-caller-class tokens at setup (client, chat session, agentic session, accelerator-internal). The endpoint verifies with a single string comparison against Script Properties and rejects non-matching calls before performing any work. Per-member tokens are deliberately not used; the group shares its infrastructure, and class-level attribution answers the questions that matter at trivial management cost.</w:t>
      </w:r>
    </w:p>
    <w:p w:rsidR="00000000" w:rsidDel="00000000" w:rsidP="00000000" w:rsidRDefault="00000000" w:rsidRPr="00000000" w14:paraId="0000010C">
      <w:pPr>
        <w:numPr>
          <w:ilvl w:val="0"/>
          <w:numId w:val="2"/>
        </w:numPr>
        <w:ind w:left="720" w:hanging="480"/>
        <w:rPr/>
      </w:pPr>
      <w:r w:rsidDel="00000000" w:rsidR="00000000" w:rsidRPr="00000000">
        <w:rPr>
          <w:b w:val="1"/>
          <w:bCs w:val="1"/>
          <w:rtl w:val="0"/>
        </w:rPr>
        <w:t xml:space="preserve">Strict, not lazy.</w:t>
      </w:r>
      <w:r w:rsidDel="00000000" w:rsidR="00000000" w:rsidRPr="00000000">
        <w:rPr>
          <w:rtl w:val="0"/>
        </w:rPr>
        <w:t xml:space="preserve"> Verification happens before work, not after: the check is free while the work costs quota, so verify-then-work is both the cheaper order and the point. Strict rejection is always safe because endpoints are non-load-bearing: a wrongly rejected legitimate caller loses seconds of latency, never correctness, since the kernel guarantee (the next capable actor, plus staleness findings) stands regardless.</w:t>
      </w:r>
    </w:p>
    <w:p w:rsidR="00000000" w:rsidDel="00000000" w:rsidP="00000000" w:rsidRDefault="00000000" w:rsidRPr="00000000" w14:paraId="0000010D">
      <w:pPr>
        <w:numPr>
          <w:ilvl w:val="0"/>
          <w:numId w:val="2"/>
        </w:numPr>
        <w:ind w:left="720" w:hanging="480"/>
        <w:rPr/>
      </w:pPr>
      <w:r w:rsidDel="00000000" w:rsidR="00000000" w:rsidRPr="00000000">
        <w:rPr>
          <w:b w:val="1"/>
          <w:bCs w:val="1"/>
          <w:rtl w:val="0"/>
        </w:rPr>
        <w:t xml:space="preserve">No replay defense.</w:t>
      </w:r>
      <w:r w:rsidDel="00000000" w:rsidR="00000000" w:rsidRPr="00000000">
        <w:rPr>
          <w:rtl w:val="0"/>
        </w:rPr>
        <w:t xml:space="preserve"> Nonces, timestamps, and request signatures are deliberately omitted: every admitted operation is idempotent and convergent, so a replayed invocation is a no-op by construction. Complexity is not spent defending against an attack that cannot exist.</w:t>
      </w:r>
    </w:p>
    <w:p w:rsidR="00000000" w:rsidDel="00000000" w:rsidP="00000000" w:rsidRDefault="00000000" w:rsidRPr="00000000" w14:paraId="0000010E">
      <w:pPr>
        <w:numPr>
          <w:ilvl w:val="0"/>
          <w:numId w:val="2"/>
        </w:numPr>
        <w:ind w:left="720" w:hanging="480"/>
        <w:rPr/>
      </w:pPr>
      <w:r w:rsidDel="00000000" w:rsidR="00000000" w:rsidRPr="00000000">
        <w:rPr>
          <w:b w:val="1"/>
          <w:bCs w:val="1"/>
          <w:rtl w:val="0"/>
        </w:rPr>
        <w:t xml:space="preserve">Secrecy class and rotation.</w:t>
      </w:r>
      <w:r w:rsidDel="00000000" w:rsidR="00000000" w:rsidRPr="00000000">
        <w:rPr>
          <w:rtl w:val="0"/>
        </w:rPr>
        <w:t xml:space="preserve"> Tokens travel as GET parameters and share the URL’s secrecy class; both can surface in logs and shared prompts. The token’s operational value over the URL alone is rotation: a token rotates by editing Script Properties and redistributing caller config, without redeploying the web app and breaking its URL. Rotate both on suspected leak; stakes stay low because the worst unauthorized outcome remains triggering legitimate work or burning quota.</w:t>
      </w:r>
    </w:p>
    <w:p w:rsidR="00000000" w:rsidDel="00000000" w:rsidP="00000000" w:rsidRDefault="00000000" w:rsidRPr="00000000" w14:paraId="0000010F">
      <w:pPr>
        <w:numPr>
          <w:ilvl w:val="0"/>
          <w:numId w:val="2"/>
        </w:numPr>
        <w:ind w:left="720" w:hanging="480"/>
        <w:rPr/>
      </w:pPr>
      <w:r w:rsidDel="00000000" w:rsidR="00000000" w:rsidRPr="00000000">
        <w:rPr>
          <w:b w:val="1"/>
          <w:bCs w:val="1"/>
          <w:rtl w:val="0"/>
        </w:rPr>
        <w:t xml:space="preserve">Tokens never live in the store.</w:t>
      </w:r>
      <w:r w:rsidDel="00000000" w:rsidR="00000000" w:rsidRPr="00000000">
        <w:rPr>
          <w:rtl w:val="0"/>
        </w:rPr>
        <w:t xml:space="preserve"> The store is designed to be mirrored, forked, and distributed; a secret written into it is a secret published. Tokens live in Script Properties server-side and in each caller’s local configuration (client settings, project knowledge, skill package config) caller-side.</w:t>
      </w:r>
    </w:p>
    <w:p w:rsidR="00000000" w:rsidDel="00000000" w:rsidP="00000000" w:rsidRDefault="00000000" w:rsidRPr="00000000" w14:paraId="00000110">
      <w:pPr>
        <w:numPr>
          <w:ilvl w:val="0"/>
          <w:numId w:val="2"/>
        </w:numPr>
        <w:ind w:left="720" w:hanging="480"/>
        <w:rPr/>
      </w:pPr>
      <w:r w:rsidDel="00000000" w:rsidR="00000000" w:rsidRPr="00000000">
        <w:rPr>
          <w:b w:val="1"/>
          <w:bCs w:val="1"/>
          <w:rtl w:val="0"/>
        </w:rPr>
        <w:t xml:space="preserve">Invocation log.</w:t>
      </w:r>
      <w:r w:rsidDel="00000000" w:rsidR="00000000" w:rsidRPr="00000000">
        <w:rPr>
          <w:rtl w:val="0"/>
        </w:rPr>
        <w:t xml:space="preserve"> The endpoint appends every call (timestamp, caller class or “invalid,” operation, outcome) to an append-only operational log outside the store’s integrity guarantees (non-authoritative, size-rotated, alongside the index). The checker surfaces anomalies, invalid-token bursts and unfamiliar patterns, as findings: under Operational Principle 8, probing pressure is evidence, and the log is where it gets documented, turning the endpoint’s exposure into a sensor.</w:t>
      </w:r>
    </w:p>
    <w:p w:rsidR="00000000" w:rsidDel="00000000" w:rsidP="00000000" w:rsidRDefault="00000000" w:rsidRPr="00000000" w14:paraId="00000111">
      <w:pPr>
        <w:numPr>
          <w:ilvl w:val="0"/>
          <w:numId w:val="2"/>
        </w:numPr>
        <w:ind w:left="720" w:hanging="480"/>
        <w:rPr/>
      </w:pPr>
      <w:r w:rsidDel="00000000" w:rsidR="00000000" w:rsidRPr="00000000">
        <w:rPr>
          <w:b w:val="1"/>
          <w:bCs w:val="1"/>
          <w:rtl w:val="0"/>
        </w:rPr>
        <w:t xml:space="preserve">URL capture (added v8).</w:t>
      </w:r>
      <w:r w:rsidDel="00000000" w:rsidR="00000000" w:rsidRPr="00000000">
        <w:rPr>
          <w:rtl w:val="0"/>
        </w:rPr>
        <w:t xml:space="preserve"> The editor’s getService().getUrl() returns the head /dev URL, sign-in walled and unusable by AI callers. Setup resolves the published /exec URL by strict precedence: an explicit proxy URL, then the WEBAPP_EXEC_URL script property set once from Manage deployments, then the service URL only when it already ends in /exec. A /dev URL is never written into any caller credential block, and republishing is a new version on the existing deployment, which keeps the URL stable.</w:t>
      </w:r>
    </w:p>
    <w:p w:rsidR="00000000" w:rsidDel="00000000" w:rsidP="00000000" w:rsidRDefault="00000000" w:rsidRPr="00000000" w14:paraId="00000112">
      <w:pPr>
        <w:numPr>
          <w:ilvl w:val="0"/>
          <w:numId w:val="2"/>
        </w:numPr>
        <w:ind w:left="720" w:hanging="480"/>
        <w:rPr/>
      </w:pPr>
      <w:r w:rsidDel="00000000" w:rsidR="00000000" w:rsidRPr="00000000">
        <w:rPr>
          <w:b w:val="1"/>
          <w:bCs w:val="1"/>
          <w:rtl w:val="0"/>
        </w:rPr>
        <w:t xml:space="preserve">Browser reachability (added v8).</w:t>
      </w:r>
      <w:r w:rsidDel="00000000" w:rsidR="00000000" w:rsidRPr="00000000">
        <w:rPr>
          <w:rtl w:val="0"/>
        </w:rPr>
        <w:t xml:space="preserve"> /exec responses carry Access-Control-Allow-Origin: * on both the redirect and final hops, so simple cross-origin GETs work natively from any browser origin; preflighted requests fail on a 405 OPTIONS response. Callers stay within simple-request rules: plain fetch, every parameter in the query string, no custom headers. Verified in a live browser on July 11, and live-verified in use during the Phase 1 deployment trip (July 17-18): the client’s sync, package writes, and reindex all ride native /exec CORS within simple-request rules. This constrains the PWA client invocation shape and covers the CORS role once assigned to the discarded proxy worker.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Endpoint code follows the axiomatic-component discipline: versioned with the components that share its algorithms, rebuilt together with them.</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registry (updated v10).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Admitted and deployed, ten operations, each live-fire verified against the deployed CivicOS accelerator: (1) the promotion endpoint, which drains the pending-package queue via the convergent promotion algorithm (Bundle Skill Composite Design, Product D); (2) the status operation, read-only, returning script version, configured state, trigger installation, and pending-queue depth, bounded to information any group member may see, extended during the M4 live-fire postmortem with an optional bundle selector returning a locate-only probe (roots seen, read-side and write-side resolution results, no write verbs); (3) the selftest operation, which packages and promotes one update in the single designated scratch bundle INFO-2026-0098-accelerator-selftest entirely from server-side standing intent and hash-verifies its own result, bounded to that one bundle; (4) list, which enumerates bundle IDs grouped by type root, or one bundle’s file listing as relative path, size, and modified time, cheap metadata only, no content reads and no server-side hashing, read-only by construction with selectors validated against the ID grammar and listing rooted inside the type roots so the credential sibling folder is unreachable; (5) read, which returns one store file’s content as a plain UTF-8 JSON string with its sha256 and an encoding field, a deliberate divergence from the dev companion’s base64 shape because the store is text-only by construction and base64 inflates the compressed wire by roughly half while breaking symmetry with the text/plain write path; read serves live files, _history, and pending files alike, since the client checker needs pending visibility and read exposure of pending content is no wider than of live content; the admission records honestly that a leaked client token grants read access to the store, acceptable only because the store is designed to mirror, fork, and distribute and the two-tier secret rule of Section 10.5 keeps every secret out of it; (6) write-package, the client-to-queue transport: one text/plain POST per file with selectors in the query string, package files first and PENDING_PROMOTION.json strictly last, mirroring the commit-point write order so a partial delivery is an inert set of .pending files surfaced as orphaned-pending findings; the load-bearing constraint is that the endpoint accepts writes to pending paths only (names ending .pending plus the literal manifest name, inside the selected bundle) and rejects every other path naming the constraint, which preserves promotion as the sole writer of live state; the endpoint parses nothing and judges nothing, a byte pipe to a constrained path; amended at accelerator 0.10.2 with member creation-by-packaging (endpoint-admission-m2b-member-creation.md, live-fire verified July 19, 2026 through the first production Problem and Project bundles): writePendingText creates an absent bundle folder under its type root for pending-path writes, with the id grammar holding at the POST boundary, nothing going live without gating and promotion, orphans remaining C-16.4 findings, and a threat delta of nil, since a leaked write token trades queue litter for folder litter, the same cleanup class; (7) reindex, which regenerates index/index.json by scan with zero caller inputs, the store-authoritative criterion in its strongest form, its writer confined by construction to exactly that one path and its output deterministic at fixed time so racing invocations converge byte-identically; (8) monitor-tick, which runs the Section 7.4 change-detection duties on due gathering requests and monitored bundles as a mechanical writer under the Section 10.8 claim discipline: first-capture creation at collected with the intake register, ring-once hash dedup as corroboration, change detection under the declared field set with an accretive register entry and change record, the one-hop set-but-never-clear cascade, the 72-hour removal confirmation window, and the Section 7.7 co-attestations, admitted per the ratified daemon slate (endpoint-admission-m2-daemon-slate.md) and live-fire verified in production July 19, 2026, including the unattended completion of the Legistar chain after session close; (9) sweep, built to its admission and deployed inert at budget zero with no ratified sweeps, its recorded no-op live-fire verified the same day, creation-only at collected behind the ratification fence when a sweep is ever ratified; and (10) deadline-recheck (duescan), whose clock pending-to-overdue flip is the single legal mutation and whose due slate was live-fire verified against the open gathering requests. Operations 4 through 6 were ratified from the client caller-class admission slate and operation 7 from the reindex admission draft, both superseded by the v9 folding; operations 8 through 10 were ratified from the M2’ daemon slate as amended at operator review, superseded by this folding. Live-fire record: promotion, status, and selftest on July 10-11, 2026; list, read, write-package, and reindex through the Phase 1 deployment trip of July 17-18, 2026; monitor-tick, sweep, deadline-recheck, and creation-by-packaging through the July 19, 2026 production live fire at accelerator 0.10.0 through 0.10.2, whose findings are recorded in Sections 10.7 through 10.9. The registry is enforced as a closed whitelist checked before dispatch; an unknown operation is rejected naming the valid set. The development-only companion (promotion-service-dev.gs) remains recorded as explicitly non-production and outside the registry, dead-man expired after 2026-08-31, deleted before production deployment, with devMode false verified in production. Candidates: batched multi-file read and read-class log batching keep their recorded trigger conditions from v9 (admitted only if measured sync latency or per-call log cost at production volume demands them; until a trigger fires, each stands as a recorded decision not to admit). Candidate class requiring extra admissions: headless dispatch (reads a standing goal from the store and initiates a budgeted headless session); it additionally requires a budget guard recorded in store policy and inherits the permitted-use open question of Section 12, and until it resolves, unattended discovery beyond store-named sources stays out of scope.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OAuth deployment discipline (added v10).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paste alone never widens the project’s OAuth grant, and the first revision to call a new Google service will refuse at runtime with a healthy-looking deployment. The discipline, learned in the July 19 live fire and recorded operationally in DEPLOY-P2M2.md Section 2a, which this document incorporates by reference: pin the full scope inventory explicitly in the appsscript.json manifest rather than trusting auto-detection to re-prompt; when no consent dialog appears after a manifest change, the stored grant is stale-broken and must be revoked at the account’s connections page and re-granted, which touches neither code, deployment, URL, nor token; and diagnostic probe functions must not end in an underscore, which the editor’s Run dropdown hides. The slate’s failure posture is part of the architecture: an unauthorized fetch layer refuses per locator, records the refusals honestly, writes nothing, and leaves the due condition standing, so authorization failure is visible and recoverable rather than silent.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Constrained endpoints are a recognized capability class: per-group Apps Script endpoints under store-authoritative invocation semantics, admitted individually through a closed registry against six criteria, always off-kernel and never load-bearing. Deployment is “anyone” access for AI invocability, layered with strict-checked per-caller-class bearer tokens scoped to quota defense and attribution, with no replay machinery (idempotence makes it unnecessary), tokens kept out of the mirrorable store, and a logged invocation trail whose anomalies the checker surfaces as evidence. They overcome connector capability limits wherever the workflow needs server-side file mechanics or scheduled mechanical work, without reopening the server question; a general RPC layer remains prohibited.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(Section 10 overall).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server: enforcement is the bundle skill at write and a client-side consistency checker at scan; frontmatter is authoritative; the ledger is a per-group derived index. Integrity rests on accretive storage with cascading deletion, source-grounding, and no transitive trust. Each invariant violation maps to a constrained set of legal repairs, and every invariant carries an executable check run identically at the write gate and the scan (the Mechanical Verification Law). Constrained endpoints extend capability under Section 10.4’s discipline without becoming a backend. Token discipline is first-class, with the on-disk bundle providing compaction resilience and checkpointing as the net.</w:t>
      </w:r>
    </w:p>
    <w:bookmarkStart w:colFirst="0" w:colLast="0" w:name="9yo96s7tt3wg" w:id="41"/>
    <w:bookmarkEnd w:id="41"/>
    <w:p w:rsidR="00000000" w:rsidDel="00000000" w:rsidP="00000000" w:rsidRDefault="00000000" w:rsidRPr="00000000" w14:paraId="00000118">
      <w:pPr>
        <w:pStyle w:val="Heading2"/>
        <w:rPr/>
      </w:pPr>
      <w:r w:rsidDel="00000000" w:rsidR="00000000" w:rsidRPr="00000000">
        <w:rPr>
          <w:rtl w:val="0"/>
        </w:rPr>
        <w:t xml:space="preserve">10.5 Secret management (added v7)</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Secrets divide into two tiers by the stakes of their exposure, and each tier has a different interface.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A, capability strings.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per-caller-class endpoint tokens (Section 10.4) are capability strings that an AI session must be able to present, so they are deliberately visible where a session runs: the chat token lives in the claude.ai project knowledge, the agentic token in the skill package config. This visibility is acceptable, and only acceptable, because store-authoritative invocation semantics make the tokens quota-and-attribution markers rather than integrity boundaries: the worst outcome of a leaked Tier A token is quota burn or the triggering of promotions that were going to happen regardless. Tier A tokens are generated server-side at setup (no human types them, no AI composes them), stored in Script Properties and in caller-side config that lives outside the mirrorable store, and rotated per class without changing any URL.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B, true secrets.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Anything whose exposure carries real stakes, future third-party API keys, credentials for communication surfaces, any authorization that could act in the world, is a Tier B secret. Tier B secrets are resolved by name, server-side, inside a constrained endpoint at execution time, and never otherwise. They appear in no system code, in no part of the store (which mirrors and forks), and in no AI-visible config. A session composes a call that carries the name of the secret it needs, never the value; the endpoint reads the value from Script Properties, uses it, and returns only the result. This keeps the entire class of true secrets on the far side of the same store-authoritative boundary that makes the endpoints safe: the AI directs work without ever holding the means to do harm with it.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two tiers share one rule: no secret of either tier is ever written into the store. The store is the thing that replicates; a secret placed in it is a published secret. The accelerator’s four promotion tokens are the only secrets the system owns today; the Tier B interface is the standing contract for every credential the deferred surfaces will introduce.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secret tiers. Tier A capability strings are AI-visible by design, generated server-side, kept out of the store, safe because the endpoints they open are non-load-bearing. Tier B true secrets are name-resolved inside constrained endpoints at execution time and are never visible to code, store, or AI. Neither tier is ever stored in the replicating substrate.</w:t>
      </w:r>
    </w:p>
    <w:bookmarkStart w:colFirst="0" w:colLast="0" w:name="7fa1ixtmpxvs" w:id="42"/>
    <w:bookmarkEnd w:id="42"/>
    <w:p w:rsidR="00000000" w:rsidDel="00000000" w:rsidP="00000000" w:rsidRDefault="00000000" w:rsidRPr="00000000" w14:paraId="0000011E">
      <w:pPr>
        <w:pStyle w:val="Heading2"/>
        <w:rPr/>
      </w:pPr>
      <w:r w:rsidDel="00000000" w:rsidR="00000000" w:rsidRPr="00000000">
        <w:rPr>
          <w:rtl w:val="0"/>
        </w:rPr>
        <w:t xml:space="preserve">10.6 Tree version coherence (added v9)</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Adopted July 11, 2026 (bio-bundle rev 0.1.16), after a fresh-session audit found every mechanically asserted version stamp in the tree true and every prose-only stamp drifted. VERSIONS.json at the repo root is the single source of truth for every machine-stamped version: the composite (which is also the repo revision; the two namespaces merged at 0.1.16), bio-checks, the accelerator, and the client. The assembler reads the composite from the file, and a check-versions pass, run standalone and automatically before every build and verification, asserts that every echo of a version number elsewhere in the tree agrees with it. A session that changes any component bumps the composite, rebuilds affected products, and leaves check-versions green.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documents are explicitly not governed by this numbering. The specifications and this document version independently on their own editorial cadence; VERSIONS.json merely records which document versions the tree was built to conform to, so the checker can catch stale prose references. Ratifying a new document version is a documentation act first; the record updates when the tree is actually brought into conformance with it. Prose claims about code contents remain outside mechanical reach; the standing mitigation is citing artifacts rather than characterizing them.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VERSIONS.json is the tree’s single version authority, mechanically asserted on every build; the composite number is the repo revision; design documents version independently and are recorded for conformance reference only. This is the Mechanical Verification Law applied to the tree’s own metadata.</w:t>
      </w:r>
    </w:p>
    <w:bookmarkStart w:colFirst="0" w:colLast="0" w:name="9bbao3636fe" w:id="43"/>
    <w:bookmarkEnd w:id="43"/>
    <w:p w:rsidR="00000000" w:rsidDel="00000000" w:rsidP="00000000" w:rsidRDefault="00000000" w:rsidRPr="00000000" w14:paraId="00000122">
      <w:pPr>
        <w:pStyle w:val="Heading2"/>
        <w:rPr/>
      </w:pPr>
      <w:r w:rsidDel="00000000" w:rsidR="00000000" w:rsidRPr="00000000">
        <w:rPr>
          <w:rtl w:val="0"/>
        </w:rPr>
        <w:t xml:space="preserve">10.7 The interruption model (added v10)</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Apps Script platform can terminate an execution mid-routine at its six-minute wall or otherwise, with no catch and no finally running. Every off-kernel component therefore treats interruption as an ordinary event and relies on write ordering, never on end-of-routine cleanup. Four rules, all validated live and unscripted on July 19, 2026, when the doorbell tick hit the wall after packaging two of four captures and the system recovered without loss or duplication:</w:t>
      </w:r>
    </w:p>
    <w:p w:rsidR="00000000" w:rsidDel="00000000" w:rsidP="00000000" w:rsidRDefault="00000000" w:rsidRPr="00000000" w14:paraId="00000124">
      <w:pPr>
        <w:numPr>
          <w:ilvl w:val="0"/>
          <w:numId w:val="3"/>
        </w:numPr>
        <w:ind w:left="720" w:hanging="480"/>
        <w:rPr/>
      </w:pPr>
      <w:r w:rsidDel="00000000" w:rsidR="00000000" w:rsidRPr="00000000">
        <w:rPr>
          <w:b w:val="1"/>
          <w:bCs w:val="1"/>
          <w:rtl w:val="0"/>
        </w:rPr>
        <w:t xml:space="preserve">Manifest-last is the durable marker.</w:t>
      </w:r>
      <w:r w:rsidDel="00000000" w:rsidR="00000000" w:rsidRPr="00000000">
        <w:rPr>
          <w:rtl w:val="0"/>
        </w:rPr>
        <w:t xml:space="preserve"> Package files are written first and PENDING_PROMOTION.json strictly last, so an incomplete package is an inert set of .pending files with no manifest, invisible to promotion and surfaced by C-16.4 as orphaned pending. A complete package sits durably in the queue across any interruption; the killed doorbell’s two complete packages were promoted by the queue sweep and the concurrent trigger completed the remaining requests without duplicating in-flight work. An interrupted creation is completed at the same id rather than duplicated.</w:t>
      </w:r>
    </w:p>
    <w:p w:rsidR="00000000" w:rsidDel="00000000" w:rsidP="00000000" w:rsidRDefault="00000000" w:rsidRPr="00000000" w14:paraId="00000125">
      <w:pPr>
        <w:numPr>
          <w:ilvl w:val="0"/>
          <w:numId w:val="3"/>
        </w:numPr>
        <w:ind w:left="720" w:hanging="480"/>
        <w:rPr/>
      </w:pPr>
      <w:r w:rsidDel="00000000" w:rsidR="00000000" w:rsidRPr="00000000">
        <w:rPr>
          <w:b w:val="1"/>
          <w:bCs w:val="1"/>
          <w:rtl w:val="0"/>
        </w:rPr>
        <w:t xml:space="preserve">Cascade before change.</w:t>
      </w:r>
      <w:r w:rsidDel="00000000" w:rsidR="00000000" w:rsidRPr="00000000">
        <w:rPr>
          <w:rtl w:val="0"/>
        </w:rPr>
        <w:t xml:space="preserve"> The cascade’s re-evaluation packages are written before the changed bundle’s capture record, so an interruption between them causes the next tick to re-detect the change and re-run the idempotent cascade rather than lose it. Set-but-never-clear cascade flags make the re-run harmless.</w:t>
      </w:r>
    </w:p>
    <w:p w:rsidR="00000000" w:rsidDel="00000000" w:rsidP="00000000" w:rsidRDefault="00000000" w:rsidRPr="00000000" w14:paraId="00000126">
      <w:pPr>
        <w:numPr>
          <w:ilvl w:val="0"/>
          <w:numId w:val="3"/>
        </w:numPr>
        <w:ind w:left="720" w:hanging="480"/>
        <w:rPr/>
      </w:pPr>
      <w:r w:rsidDel="00000000" w:rsidR="00000000" w:rsidRPr="00000000">
        <w:rPr>
          <w:b w:val="1"/>
          <w:bCs w:val="1"/>
          <w:rtl w:val="0"/>
        </w:rPr>
        <w:t xml:space="preserve">Self-expiring claims.</w:t>
      </w:r>
      <w:r w:rsidDel="00000000" w:rsidR="00000000" w:rsidRPr="00000000">
        <w:rPr>
          <w:rtl w:val="0"/>
        </w:rPr>
        <w:t xml:space="preserve"> Advisory claims (the promoter’s and the daemon’s) carry their timestamps and expire at 7 minutes against the 6-minute wall, so a claim held by a killed execution releases itself; stale claims are C-16.5 findings whose repair is deletion. No claim depends on its holder surviving to release it.</w:t>
      </w:r>
    </w:p>
    <w:p w:rsidR="00000000" w:rsidDel="00000000" w:rsidP="00000000" w:rsidRDefault="00000000" w:rsidRPr="00000000" w14:paraId="00000127">
      <w:pPr>
        <w:numPr>
          <w:ilvl w:val="0"/>
          <w:numId w:val="3"/>
        </w:numPr>
        <w:ind w:left="720" w:hanging="480"/>
        <w:rPr/>
      </w:pPr>
      <w:r w:rsidDel="00000000" w:rsidR="00000000" w:rsidRPr="00000000">
        <w:rPr>
          <w:b w:val="1"/>
          <w:bCs w:val="1"/>
          <w:rtl w:val="0"/>
        </w:rPr>
        <w:t xml:space="preserve">Recovery is inflight completion.</w:t>
      </w:r>
      <w:r w:rsidDel="00000000" w:rsidR="00000000" w:rsidRPr="00000000">
        <w:rPr>
          <w:rtl w:val="0"/>
        </w:rPr>
        <w:t xml:space="preserve"> The recovery path after any interruption is the same path as normal operation: the queue sweep promotes complete packages, the next tick re-detects outstanding conditions, and yielded operations (an execution that lost the claim race) record the yield honestly and let the trigger retry. Nothing needs a repair mode; the durable handoff is the pending queue itself.</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Off-kernel components assume platform termination at any instant: manifest-last durability, cascade-before-change ordering, self-expiring claims, and recovery by ordinary inflight completion, with no reliance on catch or finally. Validated in production.</w:t>
      </w:r>
    </w:p>
    <w:bookmarkStart w:colFirst="0" w:colLast="0" w:name="9rouurh72bra" w:id="44"/>
    <w:bookmarkEnd w:id="44"/>
    <w:p w:rsidR="00000000" w:rsidDel="00000000" w:rsidP="00000000" w:rsidRDefault="00000000" w:rsidRPr="00000000" w14:paraId="00000129">
      <w:pPr>
        <w:pStyle w:val="Heading2"/>
        <w:rPr/>
      </w:pPr>
      <w:r w:rsidDel="00000000" w:rsidR="00000000" w:rsidRPr="00000000">
        <w:rPr>
          <w:rtl w:val="0"/>
        </w:rPr>
        <w:t xml:space="preserve">10.8 Daemon concurrency (added v10)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Concurrent executions are normal: the 5-minute trigger, doorbell invocations, and the queue sweep overlap freely. Two decisions govern.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Creation-capable operations are claim-serialized.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overlapping doorbell and trigger double-created bundles for dynamic-content locators in the July 19 live fire; since accelerator 0.10.1, every creation-capable operation first acquires a self-expiring daemon claim inside a brief LockService critical section. The losing execution records a yielded no-op and the trigger retries; the claim expires per Section 10.7 if its holder is killed. Read-only operations are never serialized.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Sequence uniqueness is deliberately not an invariant.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Drive offers no atomic counter, so two executions indexing the store mid-flight can allocate the same sequence number; the full bundle id (type, year, sequence, slug) is the identity, the sequence is a hint, and no invariant claims sequence uniqueness. The production store carries the worked example: two deliberate collision pairs (sequence 0100 from the launch race, sequence 0106 from the pre-0.10.1 concurrency window), different slugs, different folder names, no collision in identity, all four bundles gated and promoted. Claim serialization has since made recurrence unlikely; the tolerance remains the rule because the substrate cannot promise more.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Creation-capable daemon operations serialize on a self-expiring claim acquired under LockService; sequence uniqueness is a non-invariant by design, with the full id as the identity and the two recorded collision pairs standing as the worked example.</w:t>
      </w:r>
    </w:p>
    <w:bookmarkStart w:colFirst="0" w:colLast="0" w:name="7psz0w99noyh" w:id="45"/>
    <w:bookmarkEnd w:id="45"/>
    <w:p w:rsidR="00000000" w:rsidDel="00000000" w:rsidP="00000000" w:rsidRDefault="00000000" w:rsidRPr="00000000" w14:paraId="0000012E">
      <w:pPr>
        <w:pStyle w:val="Heading2"/>
        <w:rPr/>
      </w:pPr>
      <w:r w:rsidDel="00000000" w:rsidR="00000000" w:rsidRPr="00000000">
        <w:rPr>
          <w:rtl w:val="0"/>
        </w:rPr>
        <w:t xml:space="preserve">10.9 Index integrity: fail-closed (added v10)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index is derived, regenerable, and never authoritative (Section 10.4, reindex), but the daemon’s dedup guards read it, and a silently degraded index turns those guards into no-ops: a transient register-read failure in the July 19 live fire let a trigger tick re-create a byte-identical capture. Since accelerator 0.10.1, index construction distinguishes missing from failure: the adapter returns null for genuine absence and throws for transient failure, and a missing-shaped throw is treated as absence. A construction that counts any genuine failure produces a degraded index, and a degraded index fails closed: no creations, sweep deferred, the failure recorded on the tick result, and the due condition left standing for the next healthy tick. Absence is information; failure is not permission.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Index reads distinguish absence from failure; a degraded index halts creation-capable work and records itself rather than degrading the dedup guards silently. Fail-closed, validated by battery (fail-closed and claim-semantics sections, daemon-conformance).</w:t>
      </w:r>
    </w:p>
    <w:bookmarkStart w:colFirst="0" w:colLast="0" w:name="13h07vzaa993" w:id="46"/>
    <w:bookmarkEnd w:id="46"/>
    <w:p w:rsidR="00000000" w:rsidDel="00000000" w:rsidP="00000000" w:rsidRDefault="00000000" w:rsidRPr="00000000" w14:paraId="00000131">
      <w:pPr>
        <w:pStyle w:val="Heading2"/>
        <w:rPr/>
      </w:pPr>
      <w:r w:rsidDel="00000000" w:rsidR="00000000" w:rsidRPr="00000000">
        <w:rPr>
          <w:rtl w:val="0"/>
        </w:rPr>
        <w:t xml:space="preserve">10.10 The manifest contract (added v10)</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manifest semantics were settled by production practice; State Rules v1.5 carries their mechanical anatomy, and this section records them as architecture.</w:t>
      </w:r>
    </w:p>
    <w:p w:rsidR="00000000" w:rsidDel="00000000" w:rsidP="00000000" w:rsidRDefault="00000000" w:rsidRPr="00000000" w14:paraId="00000133">
      <w:pPr>
        <w:numPr>
          <w:ilvl w:val="0"/>
          <w:numId w:val="4"/>
        </w:numPr>
        <w:ind w:left="720" w:hanging="480"/>
        <w:rPr/>
      </w:pPr>
      <w:r w:rsidDel="00000000" w:rsidR="00000000" w:rsidRPr="00000000">
        <w:rPr>
          <w:b w:val="1"/>
          <w:bCs w:val="1"/>
          <w:rtl w:val="0"/>
        </w:rPr>
        <w:t xml:space="preserve">created is real UTC.</w:t>
      </w:r>
      <w:r w:rsidDel="00000000" w:rsidR="00000000" w:rsidRPr="00000000">
        <w:rPr>
          <w:rtl w:val="0"/>
        </w:rPr>
        <w:t xml:space="preserve"> The manifest’s created field carries the actual UTC instant of the write, never a session-declared or backdated stamp. The daemon’s honest timestamps exposed backdated session stamps in the first live-fire day; two early promotion keys carry them, recorded as cosmetic and unrepairable without history rewrite, and the real-UTC rule prevents recurrence.</w:t>
      </w:r>
    </w:p>
    <w:p w:rsidR="00000000" w:rsidDel="00000000" w:rsidP="00000000" w:rsidRDefault="00000000" w:rsidRPr="00000000" w14:paraId="00000134">
      <w:pPr>
        <w:numPr>
          <w:ilvl w:val="0"/>
          <w:numId w:val="4"/>
        </w:numPr>
        <w:ind w:left="720" w:hanging="480"/>
        <w:rPr/>
      </w:pPr>
      <w:r w:rsidDel="00000000" w:rsidR="00000000" w:rsidRPr="00000000">
        <w:rPr>
          <w:b w:val="1"/>
          <w:bCs w:val="1"/>
          <w:rtl w:val="0"/>
        </w:rPr>
        <w:t xml:space="preserve">author names the deciding member on authority-bearing writes.</w:t>
      </w:r>
      <w:r w:rsidDel="00000000" w:rsidR="00000000" w:rsidRPr="00000000">
        <w:rPr>
          <w:rtl w:val="0"/>
        </w:rPr>
        <w:t xml:space="preserve"> Mechanical writes carry the mechanical writer’s identity; any write that exercises member authority (release under I-18, elevation, disposition) carries the deciding member’s name as author, which is what makes C-18.1’s release-authority check enforceable and the state history honest about who decided.</w:t>
      </w:r>
    </w:p>
    <w:p w:rsidR="00000000" w:rsidDel="00000000" w:rsidP="00000000" w:rsidRDefault="00000000" w:rsidRPr="00000000" w14:paraId="00000135">
      <w:pPr>
        <w:numPr>
          <w:ilvl w:val="0"/>
          <w:numId w:val="4"/>
        </w:numPr>
        <w:ind w:left="720" w:hanging="480"/>
        <w:rPr/>
      </w:pPr>
      <w:r w:rsidDel="00000000" w:rsidR="00000000" w:rsidRPr="00000000">
        <w:rPr>
          <w:b w:val="1"/>
          <w:bCs w:val="1"/>
          <w:rtl w:val="0"/>
        </w:rPr>
        <w:t xml:space="preserve">skill_version is the writer’s component version.</w:t>
      </w:r>
      <w:r w:rsidDel="00000000" w:rsidR="00000000" w:rsidRPr="00000000">
        <w:rPr>
          <w:rtl w:val="0"/>
        </w:rPr>
        <w:t xml:space="preserve"> The daemon writes its accelerator version; a session or the client writes the composite. Both practices predate this definition and both conform to it: the field names the version of the component that produced the write, so a consumer reading skill_version knows which writer’s contract to interpret the package under. Existing records conform without amendment.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Manifests carry real UTC creation instants, the deciding member’s name on authority-bearing writes, and the producing component’s version in skill_version.</w:t>
      </w:r>
    </w:p>
    <w:bookmarkStart w:colFirst="0" w:colLast="0" w:name="rzqjafpr9ljn" w:id="47"/>
    <w:bookmarkEnd w:id="47"/>
    <w:p w:rsidR="00000000" w:rsidDel="00000000" w:rsidP="00000000" w:rsidRDefault="00000000" w:rsidRPr="00000000" w14:paraId="00000137">
      <w:pPr>
        <w:pStyle w:val="Heading2"/>
        <w:rPr/>
      </w:pPr>
      <w:r w:rsidDel="00000000" w:rsidR="00000000" w:rsidRPr="00000000">
        <w:rPr>
          <w:rtl w:val="0"/>
        </w:rPr>
        <w:t xml:space="preserve">10.11 Promotion gate posture (added v10)</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accelerator 0.10.2 the embedded gate runs only for daemon-authored packages at packaging; the promoter hash-verifies every package against its manifest but assumes non-mechanical payloads were gated by their producing surface. With creation-by-packaging admitted, an ungated malformed member package can reach live state, and the store’s integrity guarantee is weaker than this document implies. Decided July 20, 2026 on the operator’s word: the embedded gate is wired into promotion for non-mechanical manifests. The gate already lives in the endpoint through the Section 10.4 embed mechanism; the cost is promotion latency, which is tolerable; and the client-side gate remains the first line per the Mechanical Verification Law, with the promotion-time gate as the store’s own enforcement rather than a substitute for producer discipline. Mechanical manifests remain gated at packaging, where the daemon already runs the same embedded gate. Implementation is queued at accelerator 0.10.3 with battery coverage for creation-by-packaging riding the same change; until that paste lands, this section is the recorded decision and the deployment lag is stated here rather than papered over.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promotion gate runs server-side for non-mechanical manifests, implementation at accelerator 0.10.3; daemon packages stay gated at packaging; the client-side gate remains the first line.</w:t>
      </w:r>
    </w:p>
    <w:bookmarkStart w:colFirst="0" w:colLast="0" w:name="uu9g4lthqeo5" w:id="48"/>
    <w:bookmarkEnd w:id="48"/>
    <w:p w:rsidR="00000000" w:rsidDel="00000000" w:rsidP="00000000" w:rsidRDefault="00000000" w:rsidRPr="00000000" w14:paraId="0000013A">
      <w:pPr>
        <w:pStyle w:val="Heading1"/>
        <w:rPr/>
      </w:pPr>
      <w:r w:rsidDel="00000000" w:rsidR="00000000" w:rsidRPr="00000000">
        <w:rPr>
          <w:rtl w:val="0"/>
        </w:rPr>
        <w:t xml:space="preserve">11. Recommended prototype sequence (sewer fund strawman)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against one real, messy source before generalizing, without any public action.</w:t>
      </w:r>
    </w:p>
    <w:p w:rsidR="00000000" w:rsidDel="00000000" w:rsidP="00000000" w:rsidRDefault="00000000" w:rsidRPr="00000000" w14:paraId="0000013C">
      <w:pPr>
        <w:numPr>
          <w:ilvl w:val="0"/>
          <w:numId w:val="5"/>
        </w:numPr>
        <w:ind w:left="720" w:hanging="480"/>
        <w:rPr/>
      </w:pPr>
      <w:r w:rsidDel="00000000" w:rsidR="00000000" w:rsidRPr="00000000">
        <w:rPr>
          <w:rtl w:val="0"/>
        </w:rPr>
        <w:t xml:space="preserve">Build the bundle skill’s core protocol plus the Information-type schema (both specified in BIO_State_Rules_Consistency). Write one Data Extraction adapter against the sewer-fund OpenGov data and one ACFR PDF; confirm the JSON core round-trips to companions and that snapshots archive cleanly.</w:t>
      </w:r>
    </w:p>
    <w:p w:rsidR="00000000" w:rsidDel="00000000" w:rsidP="00000000" w:rsidRDefault="00000000" w:rsidRPr="00000000" w14:paraId="0000013D">
      <w:pPr>
        <w:numPr>
          <w:ilvl w:val="0"/>
          <w:numId w:val="5"/>
        </w:numPr>
        <w:ind w:left="720" w:hanging="480"/>
        <w:rPr/>
      </w:pPr>
      <w:r w:rsidDel="00000000" w:rsidR="00000000" w:rsidRPr="00000000">
        <w:rPr>
          <w:rtl w:val="0"/>
        </w:rPr>
        <w:t xml:space="preserve">Build a minimal React + Vite client shell that ingests Information bundles into Context with criticality, trust, and provenance, and runs analysis to surface a Problem against the Prop 218 / Municipal Code standard; relate it to any others in the graph.</w:t>
      </w:r>
    </w:p>
    <w:p w:rsidR="00000000" w:rsidDel="00000000" w:rsidP="00000000" w:rsidRDefault="00000000" w:rsidRPr="00000000" w14:paraId="0000013E">
      <w:pPr>
        <w:numPr>
          <w:ilvl w:val="0"/>
          <w:numId w:val="5"/>
        </w:numPr>
        <w:ind w:left="720" w:hanging="480"/>
        <w:rPr/>
      </w:pPr>
      <w:r w:rsidDel="00000000" w:rsidR="00000000" w:rsidRPr="00000000">
        <w:rPr>
          <w:rtl w:val="0"/>
        </w:rPr>
        <w:t xml:space="preserve">Exercise triage (elevate/defer/dismiss with recheck triggers) and form one Project from an elevated Problem or cluster.</w:t>
      </w:r>
    </w:p>
    <w:p w:rsidR="00000000" w:rsidDel="00000000" w:rsidP="00000000" w:rsidRDefault="00000000" w:rsidRPr="00000000" w14:paraId="0000013F">
      <w:pPr>
        <w:numPr>
          <w:ilvl w:val="0"/>
          <w:numId w:val="5"/>
        </w:numPr>
        <w:ind w:left="720" w:hanging="480"/>
        <w:rPr/>
      </w:pPr>
      <w:r w:rsidDel="00000000" w:rsidR="00000000" w:rsidRPr="00000000">
        <w:rPr>
          <w:rtl w:val="0"/>
        </w:rPr>
        <w:t xml:space="preserve">Focus the Project into a Work Product; run Compliance and Argument Evaluation in internal then external mode; confirm the fact/commentary firewall and source-grounding (archived primary-source snapshots travel with the export).</w:t>
      </w:r>
    </w:p>
    <w:p w:rsidR="00000000" w:rsidDel="00000000" w:rsidP="00000000" w:rsidRDefault="00000000" w:rsidRPr="00000000" w14:paraId="00000140">
      <w:pPr>
        <w:numPr>
          <w:ilvl w:val="0"/>
          <w:numId w:val="5"/>
        </w:numPr>
        <w:ind w:left="720" w:hanging="480"/>
        <w:rPr/>
      </w:pPr>
      <w:r w:rsidDel="00000000" w:rsidR="00000000" w:rsidRPr="00000000">
        <w:rPr>
          <w:rtl w:val="0"/>
        </w:rPr>
        <w:t xml:space="preserve">Run the same analytical skill once as an interactive session and once as a headless Agent SDK run; confirm both write schema-conformant bundles through the one bundle skill. Stop and assess functionality, refinement, and resilience before any expansion.</w:t>
      </w:r>
    </w:p>
    <w:bookmarkStart w:colFirst="0" w:colLast="0" w:name="els2psvkmg97" w:id="49"/>
    <w:bookmarkEnd w:id="49"/>
    <w:p w:rsidR="00000000" w:rsidDel="00000000" w:rsidP="00000000" w:rsidRDefault="00000000" w:rsidRPr="00000000" w14:paraId="00000141">
      <w:pPr>
        <w:pStyle w:val="Heading1"/>
        <w:rPr/>
      </w:pPr>
      <w:r w:rsidDel="00000000" w:rsidR="00000000" w:rsidRPr="00000000">
        <w:rPr>
          <w:rtl w:val="0"/>
        </w:rPr>
        <w:t xml:space="preserve">12. Open sub-questions for specialists</w:t>
      </w:r>
    </w:p>
    <w:p w:rsidR="00000000" w:rsidDel="00000000" w:rsidP="00000000" w:rsidRDefault="00000000" w:rsidRPr="00000000" w14:paraId="00000142">
      <w:pPr>
        <w:numPr>
          <w:ilvl w:val="0"/>
          <w:numId w:val="6"/>
        </w:numPr>
        <w:ind w:left="720" w:hanging="480"/>
        <w:rPr/>
      </w:pPr>
      <w:r w:rsidDel="00000000" w:rsidR="00000000" w:rsidRPr="00000000">
        <w:rPr>
          <w:rtl w:val="0"/>
        </w:rPr>
        <w:t xml:space="preserve">Permitted use (legal/governance): the June 15 terms for third-party apps driving a group’s subscription-authenticated Agent SDK runs, and whether scheduled/unattended runs are permitted under subscription auth. The Section 10.4 headless-dispatch endpoint candidate depends on this answer before admission.</w:t>
      </w:r>
    </w:p>
    <w:p w:rsidR="00000000" w:rsidDel="00000000" w:rsidP="00000000" w:rsidRDefault="00000000" w:rsidRPr="00000000" w14:paraId="00000143">
      <w:pPr>
        <w:numPr>
          <w:ilvl w:val="0"/>
          <w:numId w:val="6"/>
        </w:numPr>
        <w:ind w:left="720" w:hanging="480"/>
        <w:rPr/>
      </w:pPr>
      <w:r w:rsidDel="00000000" w:rsidR="00000000" w:rsidRPr="00000000">
        <w:rPr>
          <w:rtl w:val="0"/>
        </w:rPr>
        <w:t xml:space="preserve">Work-product staleness (technical/UX): when a cited Information item changes or an annotation invalidates a conclusion, is the Work Product re-focused automatically or flagged stale for a human to re-focus, and how does that propagate to already-distributed copies. (The State Rules spec’s cascade sets the flag and requires a recorded re-evaluation to clear it; whether re-focusing is automatic remains open.)</w:t>
      </w:r>
    </w:p>
    <w:p w:rsidR="00000000" w:rsidDel="00000000" w:rsidP="00000000" w:rsidRDefault="00000000" w:rsidRPr="00000000" w14:paraId="00000144">
      <w:pPr>
        <w:numPr>
          <w:ilvl w:val="0"/>
          <w:numId w:val="6"/>
        </w:numPr>
        <w:ind w:left="720" w:hanging="480"/>
        <w:rPr/>
      </w:pPr>
      <w:r w:rsidDel="00000000" w:rsidR="00000000" w:rsidRPr="00000000">
        <w:rPr>
          <w:rtl w:val="0"/>
        </w:rPr>
        <w:t xml:space="preserve">Dependency-chain depth (architecture): how deep re-evaluation should run when an accepted Work Product cites other Work Products, given source-grounding bounds each hop locally. (The State Rules spec’s cascade walks one hop at a time, with each dependent’s re-evaluation deciding further propagation; the policy defaults remain open.)</w:t>
      </w:r>
    </w:p>
    <w:p w:rsidR="00000000" w:rsidDel="00000000" w:rsidP="00000000" w:rsidRDefault="00000000" w:rsidRPr="00000000" w14:paraId="00000145">
      <w:pPr>
        <w:numPr>
          <w:ilvl w:val="0"/>
          <w:numId w:val="6"/>
        </w:numPr>
        <w:ind w:left="720" w:hanging="480"/>
        <w:rPr/>
      </w:pPr>
      <w:r w:rsidDel="00000000" w:rsidR="00000000" w:rsidRPr="00000000">
        <w:rPr>
          <w:rtl w:val="0"/>
        </w:rPr>
        <w:t xml:space="preserve">Sync-engine boundary (technical): if/when multi-device is needed, replicate rows, document ops, or event logs. Write-back coherence is resolved at the kernel level (State Rules spec Section 5.5: optimistic, base-stamped, with a divergence ladder); real-time co-editing and sub-file automatic merge remain the sync-engine concern.</w:t>
      </w:r>
    </w:p>
    <w:p w:rsidR="00000000" w:rsidDel="00000000" w:rsidP="00000000" w:rsidRDefault="00000000" w:rsidRPr="00000000" w14:paraId="00000146">
      <w:pPr>
        <w:numPr>
          <w:ilvl w:val="0"/>
          <w:numId w:val="6"/>
        </w:numPr>
        <w:ind w:left="720" w:hanging="480"/>
        <w:rPr/>
      </w:pPr>
      <w:r w:rsidDel="00000000" w:rsidR="00000000" w:rsidRPr="00000000">
        <w:rPr>
          <w:rtl w:val="0"/>
        </w:rPr>
        <w:t xml:space="preserve">Evidentiary standards (legal): whether WACZ captures and SHA-256 manifests meet the chain-of-custody an evidence package may need.</w:t>
      </w:r>
    </w:p>
    <w:p w:rsidR="00000000" w:rsidDel="00000000" w:rsidP="00000000" w:rsidRDefault="00000000" w:rsidRPr="00000000" w14:paraId="00000147">
      <w:pPr>
        <w:numPr>
          <w:ilvl w:val="0"/>
          <w:numId w:val="6"/>
        </w:numPr>
        <w:ind w:left="720" w:hanging="480"/>
        <w:rPr/>
      </w:pPr>
      <w:r w:rsidDel="00000000" w:rsidR="00000000" w:rsidRPr="00000000">
        <w:rPr>
          <w:rtl w:val="0"/>
        </w:rPr>
        <w:t xml:space="preserve">Accessibility (UX): validate that a static PWA meets Requirement 11 — usable within one session by someone with no civic-tech experience.</w:t>
      </w:r>
    </w:p>
    <w:bookmarkStart w:colFirst="0" w:colLast="0" w:name="6akhfmj3ozef" w:id="50"/>
    <w:bookmarkEnd w:id="50"/>
    <w:p w:rsidR="00000000" w:rsidDel="00000000" w:rsidP="00000000" w:rsidRDefault="00000000" w:rsidRPr="00000000" w14:paraId="00000148">
      <w:pPr>
        <w:pStyle w:val="Heading1"/>
        <w:rPr/>
      </w:pPr>
      <w:r w:rsidDel="00000000" w:rsidR="00000000" w:rsidRPr="00000000">
        <w:rPr>
          <w:rtl w:val="0"/>
        </w:rPr>
        <w:t xml:space="preserve">References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BIO document set: BIO_Complete_Roadmap v4, BIO_Design_Requirements (rev. June 2026), BIO_Communications_Platforms, BIO_Functional_Architecture (rev. July 2026), BIO_State_Rules_Consistency v1.4, BIO_Bundle_Skill_Composite_Design v1.6, BIO_Intake_Doctrine v1.0, BelieveInOakland_Overview. Prior art: the Sparky’s Coffee Fund (SCF) bundle, operations, and checkpoint skills, and the Alpha Pipeline bundle skill (v2.21, studied July 2026).</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sources consulted (June 2026):</w:t>
      </w:r>
    </w:p>
    <w:p w:rsidR="00000000" w:rsidDel="00000000" w:rsidP="00000000" w:rsidRDefault="00000000" w:rsidRPr="00000000" w14:paraId="0000014B">
      <w:pPr>
        <w:numPr>
          <w:ilvl w:val="0"/>
          <w:numId w:val="7"/>
        </w:numPr>
        <w:ind w:left="720" w:hanging="480"/>
        <w:rPr/>
      </w:pPr>
      <w:r w:rsidDel="00000000" w:rsidR="00000000" w:rsidRPr="00000000">
        <w:rPr>
          <w:rtl w:val="0"/>
        </w:rPr>
        <w:t xml:space="preserve">Anthropic Agent SDK billing change (June 15, 2026): </w:t>
      </w:r>
      <w:hyperlink r:id="rId6">
        <w:r w:rsidDel="00000000" w:rsidR="00000000" w:rsidRPr="00000000">
          <w:rPr>
            <w:color w:val="4f81bd"/>
            <w:rtl w:val="0"/>
          </w:rPr>
          <w:t xml:space="preserve">https://venturebeat.com/technology/anthropic-reinstates-openclaw-and-third-party-agent-usage-on-claude-subscriptions-with-a-catch</w:t>
        </w:r>
      </w:hyperlink>
      <w:r w:rsidDel="00000000" w:rsidR="00000000" w:rsidRPr="00000000">
        <w:rPr>
          <w:rtl w:val="0"/>
        </w:rPr>
      </w:r>
    </w:p>
    <w:p w:rsidR="00000000" w:rsidDel="00000000" w:rsidP="00000000" w:rsidRDefault="00000000" w:rsidRPr="00000000" w14:paraId="0000014C">
      <w:pPr>
        <w:numPr>
          <w:ilvl w:val="0"/>
          <w:numId w:val="7"/>
        </w:numPr>
        <w:ind w:left="720" w:hanging="480"/>
        <w:rPr/>
      </w:pPr>
      <w:r w:rsidDel="00000000" w:rsidR="00000000" w:rsidRPr="00000000">
        <w:rPr>
          <w:rtl w:val="0"/>
        </w:rPr>
        <w:t xml:space="preserve">Use the Claude Agent SDK with your Claude plan: </w:t>
      </w:r>
      <w:hyperlink r:id="rId7">
        <w:r w:rsidDel="00000000" w:rsidR="00000000" w:rsidRPr="00000000">
          <w:rPr>
            <w:color w:val="4f81bd"/>
            <w:rtl w:val="0"/>
          </w:rPr>
          <w:t xml:space="preserve">https://support.claude.com/en/articles/15036540-use-the-claude-agent-sdk-with-your-claude-plan</w:t>
        </w:r>
      </w:hyperlink>
      <w:r w:rsidDel="00000000" w:rsidR="00000000" w:rsidRPr="00000000">
        <w:rPr>
          <w:rtl w:val="0"/>
        </w:rPr>
      </w:r>
    </w:p>
    <w:p w:rsidR="00000000" w:rsidDel="00000000" w:rsidP="00000000" w:rsidRDefault="00000000" w:rsidRPr="00000000" w14:paraId="0000014D">
      <w:pPr>
        <w:numPr>
          <w:ilvl w:val="0"/>
          <w:numId w:val="7"/>
        </w:numPr>
        <w:ind w:left="720" w:hanging="480"/>
        <w:rPr/>
      </w:pPr>
      <w:r w:rsidDel="00000000" w:rsidR="00000000" w:rsidRPr="00000000">
        <w:rPr>
          <w:rtl w:val="0"/>
        </w:rPr>
        <w:t xml:space="preserve">Agent Skills in the SDK: </w:t>
      </w:r>
      <w:hyperlink r:id="rId8">
        <w:r w:rsidDel="00000000" w:rsidR="00000000" w:rsidRPr="00000000">
          <w:rPr>
            <w:color w:val="4f81bd"/>
            <w:rtl w:val="0"/>
          </w:rPr>
          <w:t xml:space="preserve">https://platform.claude.com/docs/en/agent-sdk/skills</w:t>
        </w:r>
      </w:hyperlink>
      <w:r w:rsidDel="00000000" w:rsidR="00000000" w:rsidRPr="00000000">
        <w:rPr>
          <w:rtl w:val="0"/>
        </w:rPr>
      </w:r>
    </w:p>
    <w:p w:rsidR="00000000" w:rsidDel="00000000" w:rsidP="00000000" w:rsidRDefault="00000000" w:rsidRPr="00000000" w14:paraId="0000014E">
      <w:pPr>
        <w:numPr>
          <w:ilvl w:val="0"/>
          <w:numId w:val="7"/>
        </w:numPr>
        <w:ind w:left="720" w:hanging="480"/>
        <w:rPr/>
      </w:pPr>
      <w:r w:rsidDel="00000000" w:rsidR="00000000" w:rsidRPr="00000000">
        <w:rPr>
          <w:rtl w:val="0"/>
        </w:rPr>
        <w:t xml:space="preserve">Use skills in Claude (cross-surface SKILL.md): </w:t>
      </w:r>
      <w:hyperlink r:id="rId9">
        <w:r w:rsidDel="00000000" w:rsidR="00000000" w:rsidRPr="00000000">
          <w:rPr>
            <w:color w:val="4f81bd"/>
            <w:rtl w:val="0"/>
          </w:rPr>
          <w:t xml:space="preserve">https://support.claude.com/en/articles/12512180-use-skills-in-claude</w:t>
        </w:r>
      </w:hyperlink>
      <w:r w:rsidDel="00000000" w:rsidR="00000000" w:rsidRPr="00000000">
        <w:rPr>
          <w:rtl w:val="0"/>
        </w:rPr>
      </w:r>
    </w:p>
    <w:p w:rsidR="00000000" w:rsidDel="00000000" w:rsidP="00000000" w:rsidRDefault="00000000" w:rsidRPr="00000000" w14:paraId="0000014F">
      <w:pPr>
        <w:numPr>
          <w:ilvl w:val="0"/>
          <w:numId w:val="7"/>
        </w:numPr>
        <w:ind w:left="720" w:hanging="480"/>
        <w:rPr/>
      </w:pPr>
      <w:r w:rsidDel="00000000" w:rsidR="00000000" w:rsidRPr="00000000">
        <w:rPr>
          <w:rtl w:val="0"/>
        </w:rPr>
        <w:t xml:space="preserve">Local-first architecture (Automerge/Yjs/Loro/PGlite-ElectricSQL): </w:t>
      </w:r>
      <w:hyperlink r:id="rId10">
        <w:r w:rsidDel="00000000" w:rsidR="00000000" w:rsidRPr="00000000">
          <w:rPr>
            <w:color w:val="4f81bd"/>
            <w:rtl w:val="0"/>
          </w:rPr>
          <w:t xml:space="preserve">https://github.com/alexanderop/awesome-local-first</w:t>
        </w:r>
      </w:hyperlink>
      <w:r w:rsidDel="00000000" w:rsidR="00000000" w:rsidRPr="00000000">
        <w:rPr>
          <w:rtl w:val="0"/>
        </w:rPr>
      </w:r>
    </w:p>
    <w:p w:rsidR="00000000" w:rsidDel="00000000" w:rsidP="00000000" w:rsidRDefault="00000000" w:rsidRPr="00000000" w14:paraId="00000150">
      <w:pPr>
        <w:numPr>
          <w:ilvl w:val="0"/>
          <w:numId w:val="7"/>
        </w:numPr>
        <w:ind w:left="720" w:hanging="480"/>
        <w:rPr/>
      </w:pPr>
      <w:r w:rsidDel="00000000" w:rsidR="00000000" w:rsidRPr="00000000">
        <w:rPr>
          <w:rtl w:val="0"/>
        </w:rPr>
        <w:t xml:space="preserve">changedetection.io (website change detection): </w:t>
      </w:r>
      <w:hyperlink r:id="rId11">
        <w:r w:rsidDel="00000000" w:rsidR="00000000" w:rsidRPr="00000000">
          <w:rPr>
            <w:color w:val="4f81bd"/>
            <w:rtl w:val="0"/>
          </w:rPr>
          <w:t xml:space="preserve">https://github.com/dgtlmoon/changedetection.io</w:t>
        </w:r>
      </w:hyperlink>
      <w:r w:rsidDel="00000000" w:rsidR="00000000" w:rsidRPr="00000000">
        <w:rPr>
          <w:rtl w:val="0"/>
        </w:rPr>
      </w:r>
    </w:p>
    <w:p w:rsidR="00000000" w:rsidDel="00000000" w:rsidP="00000000" w:rsidRDefault="00000000" w:rsidRPr="00000000" w14:paraId="00000151">
      <w:pPr>
        <w:numPr>
          <w:ilvl w:val="0"/>
          <w:numId w:val="7"/>
        </w:numPr>
        <w:ind w:left="720" w:hanging="480"/>
        <w:rPr/>
      </w:pPr>
      <w:r w:rsidDel="00000000" w:rsidR="00000000" w:rsidRPr="00000000">
        <w:rPr>
          <w:rtl w:val="0"/>
        </w:rPr>
        <w:t xml:space="preserve">PDF data-extraction tools 2026: </w:t>
      </w:r>
      <w:hyperlink r:id="rId12">
        <w:r w:rsidDel="00000000" w:rsidR="00000000" w:rsidRPr="00000000">
          <w:rPr>
            <w:color w:val="4f81bd"/>
            <w:rtl w:val="0"/>
          </w:rPr>
          <w:t xml:space="preserve">https://www.lido.app/blog/best-pdf-data-extraction-tools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gtlmoon/changedetection.io" TargetMode="External"/><Relationship Id="rId10" Type="http://schemas.openxmlformats.org/officeDocument/2006/relationships/hyperlink" Target="https://github.com/alexanderop/awesome-local-first" TargetMode="External"/><Relationship Id="rId12" Type="http://schemas.openxmlformats.org/officeDocument/2006/relationships/hyperlink" Target="https://www.lido.app/blog/best-pdf-data-extraction-tools" TargetMode="External"/><Relationship Id="rId9" Type="http://schemas.openxmlformats.org/officeDocument/2006/relationships/hyperlink" Target="https://support.claude.com/en/articles/12512180-use-skills-in-claude" TargetMode="External"/><Relationship Id="rId5" Type="http://schemas.openxmlformats.org/officeDocument/2006/relationships/styles" Target="styles.xml"/><Relationship Id="rId6" Type="http://schemas.openxmlformats.org/officeDocument/2006/relationships/hyperlink" Target="https://venturebeat.com/technology/anthropic-reinstates-openclaw-and-third-party-agent-usage-on-claude-subscriptions-with-a-catch" TargetMode="External"/><Relationship Id="rId7" Type="http://schemas.openxmlformats.org/officeDocument/2006/relationships/hyperlink" Target="https://support.claude.com/en/articles/15036540-use-the-claude-agent-sdk-with-your-claude-plan" TargetMode="External"/><Relationship Id="rId8" Type="http://schemas.openxmlformats.org/officeDocument/2006/relationships/hyperlink" Target="https://platform.claude.com/docs/en/agent-sdk/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