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42"/>
          <w:szCs w:val="42"/>
        </w:rPr>
      </w:pPr>
      <w:r w:rsidDel="00000000" w:rsidR="00000000" w:rsidRPr="00000000">
        <w:rPr>
          <w:b w:val="1"/>
          <w:sz w:val="42"/>
          <w:szCs w:val="42"/>
          <w:highlight w:val="white"/>
          <w:rtl w:val="0"/>
        </w:rPr>
        <w:t xml:space="preserve">Hon. Chamberlain S. Peterside, Ph.D, M.IoD</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Chamberlain currently serves as the Director General (DG) of the Rivers State Investment Promotion Agency, where he leads efforts to attract and facilitate foreign and domestic investment by promoting the region and simplifying regulatory processes. In this role, he is instrumental in driving economic growth by engaging with investors and streamlining opportunities for regional development.</w:t>
      </w:r>
    </w:p>
    <w:p w:rsidR="00000000" w:rsidDel="00000000" w:rsidP="00000000" w:rsidRDefault="00000000" w:rsidRPr="00000000" w14:paraId="00000003">
      <w:pPr>
        <w:spacing w:after="240" w:before="240" w:lineRule="auto"/>
        <w:jc w:val="both"/>
        <w:rPr/>
      </w:pPr>
      <w:r w:rsidDel="00000000" w:rsidR="00000000" w:rsidRPr="00000000">
        <w:rPr>
          <w:highlight w:val="white"/>
          <w:rtl w:val="0"/>
        </w:rPr>
        <w:t xml:space="preserve">He previously served as the Commissioner for Finance in Rivers State (2011 - 2015), as well as a member of the Rivers State Economic Advisory Council (2007 - 2015). Prior to his public sector engagement, he was with Merril Lynch Global Private Client Group in New York, USA, and Xcellon Capital Advisors in Lagos, Nigeria. He earned a Ph.D. in Economics from Friendship University Moscow in 1992.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