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24F" w:rsidRDefault="00000000">
      <w:pPr>
        <w:jc w:val="both"/>
        <w:rPr>
          <w:b/>
          <w:bCs/>
          <w:color w:val="1C4587"/>
          <w:sz w:val="36"/>
          <w:szCs w:val="36"/>
        </w:rPr>
      </w:pPr>
      <w:r>
        <w:rPr>
          <w:b/>
          <w:bCs/>
          <w:color w:val="1C4587"/>
          <w:sz w:val="36"/>
          <w:szCs w:val="36"/>
        </w:rPr>
        <w:t xml:space="preserve">Линии комментирования по проекту новой Конституции с разделением на целевые аудитории </w:t>
      </w:r>
    </w:p>
    <w:p w14:paraId="00000064" w14:textId="77777777" w:rsidR="00B8424F" w:rsidRDefault="00000000">
      <w:pPr>
        <w:pStyle w:val="2"/>
        <w:jc w:val="both"/>
        <w:rPr>
          <w:b/>
          <w:bCs/>
        </w:rPr>
      </w:pPr>
      <w:bookmarkStart w:id="0" w:name="_e99u78dm2s87" w:colFirst="0" w:colLast="0"/>
      <w:bookmarkStart w:id="1" w:name="_qbn73fq75ayk" w:colFirst="0" w:colLast="0"/>
      <w:bookmarkEnd w:id="0"/>
      <w:bookmarkEnd w:id="1"/>
      <w:r>
        <w:rPr>
          <w:b/>
          <w:bCs/>
        </w:rPr>
        <w:t>Правозащитники и активисты</w:t>
      </w:r>
    </w:p>
    <w:p w14:paraId="00000065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Формулировка о недопустимости посягательства на честь и достоинство не является запретом ограничением свободы слова и свободы распространения информации.  Она отражает конституционный баланс между свободой слова и защитой прав личности. Речь идет не о запрете фактов, а о недопущении клеветы, манипуляций и обвинений без доказательств. </w:t>
      </w:r>
    </w:p>
    <w:p w14:paraId="00000066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примеру, публикация сведений о коррупции и нарушениях остается допустимой при наличии проверенных источников и соблюдения профессиональных стандартов журналистики. Более того, именно конституционное закрепление достоинства личности усиливает требования к качеству информации, а не вводит цензуру как таковую. </w:t>
      </w:r>
    </w:p>
    <w:p w14:paraId="00000067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Действующее законодательство уже содержит правовые механизмы, которые прямо препятствуют злоупотреблению правами и нарушению прав других лиц при реализации гражданином своих свобод.  Такие ограничители закреплены, в частности, через нормы Уголовного кодекса и Кодекса об административных правонарушениях, предусматривающие ответственность за действия, посягающие на права и свободы других граждан, общественную безопасность и установленный порядок. </w:t>
      </w:r>
    </w:p>
    <w:p w14:paraId="00000068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Следовательно, предлагаемые в проекте Конституции положения не вводят «новую логику ограничений», а поднимают на уровень Основного Закона общий принцип: реализация прав и свобод не может осуществляться во вред правам других лиц и публичным интересам.  </w:t>
      </w:r>
    </w:p>
    <w:p w14:paraId="00000069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 самым Конституция закрепляет необходимость разумного баланса интересов граждан, правовых гарантий и стабильности правопорядка, обеспечивая единый конституционный ориентир для законодателя и правоприменения.</w:t>
      </w:r>
    </w:p>
    <w:p w14:paraId="0000006A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Идея о том, что проект новой Конституции якобы лишает граждан свободы, является некорректной. В преамбуле и разделе о </w:t>
      </w:r>
      <w:r>
        <w:rPr>
          <w:sz w:val="28"/>
          <w:szCs w:val="28"/>
        </w:rPr>
        <w:lastRenderedPageBreak/>
        <w:t>правах человека закреплены широкие свободы и права личности, включая свободу слова, свободу совести и право на участие в общественной и политической жизни. Формулировки «Справедливый Казахстан» и «Закон и Порядок» не заменяют свободу, а подчеркивают ценностные ориентиры государства, обеспечивающие баланс между правами граждан и общественным порядком. Каркас проекта Конституции фундаментально опирается на три взаимосвязанных базовых блока: свободы, права и обязанности. Их единство формирует логику Основного Закона: свободы и права гарантируются государством, а их реализация обеспечивается ответственным поведением и соблюдением обязанностей, исключающих нарушение прав других лиц и подрыв конституционного порядка.</w:t>
      </w:r>
    </w:p>
    <w:p w14:paraId="0000006B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сохранении миролюбивой направленности внешней политики и стремления к сотрудничеству со всеми государствами, обновленная преамбула отражает новый общественный договор, основанный на единстве народа, укреплении государственности, справедливости и законности, защите прав граждан, модернизации и ответственности перед будущими поколениями. Прежняя преамбула отражала реалии государства и общности на раннем этапе независимости. Нынешняя – состоявшегося государства, зрелого, ответственного общества, которое смотрит вперед и устремлена в будущее. Все указанные принципы государственного строительства являются абсолютно актуальными, представляя наши цели, устремления, перспективы будущего. </w:t>
      </w:r>
    </w:p>
    <w:p w14:paraId="0000006C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Заявления о якобы отказе от международного права является манипуляцией и не соответствует действительности. В проекте новой Конституции прямо указано, что международные договоры, ратифицированные Казахстаном, остаются частью действующего права. </w:t>
      </w:r>
    </w:p>
    <w:p w14:paraId="0000006D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касается не отказа от обязательств, а порядка их применения. Так, новая редакция Конституции предусматривает, что механизм действия международных договоров на территории страны определяется законами. Это нормальная и распространенная практика. </w:t>
      </w:r>
    </w:p>
    <w:p w14:paraId="0000006E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Казахстан последовательно придерживается политики мира и международного сотрудничества. В ее основе – принципы Устава </w:t>
      </w:r>
      <w:r>
        <w:rPr>
          <w:sz w:val="28"/>
          <w:szCs w:val="28"/>
        </w:rPr>
        <w:lastRenderedPageBreak/>
        <w:t xml:space="preserve">ООН и добросовестное исполнение всех международных обязательств. </w:t>
      </w:r>
    </w:p>
    <w:p w14:paraId="0000006F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Важно понимать, что во многих странах в конституциях вообще не закрепляется автоматический приоритет международных договоров над национальными законами. </w:t>
      </w:r>
    </w:p>
    <w:p w14:paraId="00000070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конституционного регулирования в данном случае обеспечить стабильность базовых конституционных ценностей, правовые гарантии граждан и согласованность законодательства. Конституция по своей природе задаёт рамки. Она должна предотвращать ситуации, когда нормы подзаконного уровня или процедурные коллизии создают неопределённость в правах граждан, компетенциях органов и применении норм. Уточнение порядка применения международных договоров через закон – это инструмент правовой определённости и предсказуемости, а не «закрытие» от международного права. </w:t>
      </w:r>
    </w:p>
    <w:p w14:paraId="00000071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Поэтому речь идёт не об отказе от международного права, а о регламентации его действия внутри национальной системы. Международные договоры остаются частью права Казахстана, международные обязательства сохраняются, а изменения направлены на юридическую ясность, защиту конституционных ценностей и устойчивость правового регулирования. </w:t>
      </w:r>
    </w:p>
    <w:p w14:paraId="00000072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Конституции также устраняет давнюю юридическую путаницу. Ранее использовалось общее понятие «законодательство», которое включает подзаконные акты, приказы и постановления, что создавало правовую неопределенность. </w:t>
      </w:r>
    </w:p>
    <w:p w14:paraId="00000073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Юристы давно указывали, что порядок применения международных договоров должен определяться именно законом.</w:t>
      </w:r>
    </w:p>
    <w:p w14:paraId="00000074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Критика о том, что проект новой Конституции якобы вмешивается в личную жизнь граждан и лишает их права на тайну веры или партийной принадлежности, основана на неверной трактовке конституционных норм.  </w:t>
      </w:r>
    </w:p>
    <w:p w14:paraId="00000075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не вводит обязанности раскрывать свои убеждения, религиозные взгляды или политические предпочтения и не создает механизмов принудительного контроля над личной сферой. </w:t>
      </w:r>
    </w:p>
    <w:p w14:paraId="00000076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Конституционные формулировки направлены не на граждан, а на публичную сферу и деятельность государственных институтов. Их задача – установить требования прозрачности и нейтралитета для </w:t>
      </w:r>
      <w:r>
        <w:rPr>
          <w:sz w:val="28"/>
          <w:szCs w:val="28"/>
        </w:rPr>
        <w:lastRenderedPageBreak/>
        <w:t xml:space="preserve">лиц, принимающих государственные решения, а не вторгаться в частную жизнь человека. </w:t>
      </w:r>
    </w:p>
    <w:p w14:paraId="00000077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Тайна вероисповедания и свобода политических убеждений как были, так и остаются защищенными базовыми правами. </w:t>
      </w:r>
    </w:p>
    <w:p w14:paraId="00000078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Важно также различать личную идентичность и публичную ответственность. Когда речь идёт о госслужбе, выборных должностях или управлении публичными ресурсами, государство вправе устанавливать правила, исключающие конфликт интересов и скрытое влияние. Это стандартная практика конституционных демократий и не имеет отношения к ограничению личных свобод.</w:t>
      </w:r>
    </w:p>
    <w:p w14:paraId="00000079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Ни одна норма проекта не запрещает гражданину верить, не верить, поддерживать любую партию или не состоять ни в одной. Все подобные опасения являются домыслами, а не содержанием проекта Конституции.</w:t>
      </w:r>
    </w:p>
    <w:p w14:paraId="0000007A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Процесс обсуждения и разработки новой редакции Конституции был достаточно длительным – практически полгода. Фактически обсуждение началось с момента озвучивания Главой государства в рамках Послания народу Казахстана (8 сентября 2025 года) инициативы о реформировании Парламента. С этой целью в октябре прошлого года была сформирована Рабочая группа по Парламентской реформе, на постоянной основе занимавшаяся вопросами разработки поправок в законодательство. Президент неоднократно подчеркивал, что масштабные реформы будут реализовываться исключительно путем широкого общественного обсуждения и всенародного вовлечения. Это подтверждается организованным на базе государственных систем Egov и eOtinish широким сбором предложений граждан, проведением заседаний Конституционной комиссии в открытом формате путем прямой трансляции и широким кругом лиц, участвовавших в ее работе. Таким образом, конституционные изменения по своей природе затрагивают основы государства и общественного договора, а значит, не могли обсуждаться в закрытом режиме или «для узкого круга». Даже сейчас проект новой Конституции находится на стадии обсуждения с целью учета мнения населения Казахстана и не является окончательным документом, выносимого на Республиканский референдум.</w:t>
      </w:r>
    </w:p>
    <w:p w14:paraId="0000007B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Внесена норма, что «Информация о движении денежных средств и активах некоммерческих организаций, получаемых от иностранных государств, международных и иностранных юридических лиц, иностранных граждан и лиц без гражданства, должна быть открытой и доступной в соответствии с законами Республики Казахстан».</w:t>
      </w:r>
    </w:p>
    <w:p w14:paraId="0000007C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Целями закрепления соответствующей нормы является недопущение на конституционном уровне скрытого иностранного влияния на внутренние государственные процессы, обеспечение доверия общества к некоммерческому сектору, а также обеспечение граждан информацией, необходимой для формирования собственного мнения. </w:t>
      </w:r>
    </w:p>
    <w:p w14:paraId="0000007D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Политика сотрудничества и мира, строится из ряда принципов. К основным (в первую очередь, в Уставе ООН) принципам мира относят:</w:t>
      </w:r>
    </w:p>
    <w:p w14:paraId="0000007E" w14:textId="77777777" w:rsidR="00B8424F" w:rsidRDefault="00000000">
      <w:pPr>
        <w:numPr>
          <w:ilvl w:val="0"/>
          <w:numId w:val="8"/>
        </w:numPr>
        <w:jc w:val="both"/>
      </w:pPr>
      <w:r>
        <w:rPr>
          <w:sz w:val="28"/>
          <w:szCs w:val="28"/>
        </w:rPr>
        <w:t>Неприменение силы и угрозы силой.</w:t>
      </w:r>
    </w:p>
    <w:p w14:paraId="0000007F" w14:textId="77777777" w:rsidR="00B8424F" w:rsidRDefault="00000000">
      <w:pPr>
        <w:numPr>
          <w:ilvl w:val="0"/>
          <w:numId w:val="8"/>
        </w:numPr>
        <w:jc w:val="both"/>
      </w:pPr>
      <w:r>
        <w:rPr>
          <w:sz w:val="28"/>
          <w:szCs w:val="28"/>
        </w:rPr>
        <w:t>Мирное разрешение международных споров. Переговоры, посредничество, арбитраж, суд вместо оружия.</w:t>
      </w:r>
    </w:p>
    <w:p w14:paraId="00000080" w14:textId="77777777" w:rsidR="00B8424F" w:rsidRDefault="00000000">
      <w:pPr>
        <w:numPr>
          <w:ilvl w:val="0"/>
          <w:numId w:val="8"/>
        </w:numPr>
        <w:jc w:val="both"/>
      </w:pPr>
      <w:r>
        <w:rPr>
          <w:sz w:val="28"/>
          <w:szCs w:val="28"/>
        </w:rPr>
        <w:t>Суверенное равенство государств. Все государства юридически равны, независимо от размеров и силы.</w:t>
      </w:r>
    </w:p>
    <w:p w14:paraId="00000081" w14:textId="77777777" w:rsidR="00B8424F" w:rsidRDefault="00000000">
      <w:pPr>
        <w:numPr>
          <w:ilvl w:val="0"/>
          <w:numId w:val="8"/>
        </w:numPr>
        <w:jc w:val="both"/>
      </w:pPr>
      <w:r>
        <w:rPr>
          <w:sz w:val="28"/>
          <w:szCs w:val="28"/>
        </w:rPr>
        <w:t>Невмешательство во внутренние дела государств. Запрет навязывать политический строй, решения и т.п.</w:t>
      </w:r>
    </w:p>
    <w:p w14:paraId="00000082" w14:textId="77777777" w:rsidR="00B8424F" w:rsidRDefault="00000000">
      <w:pPr>
        <w:numPr>
          <w:ilvl w:val="0"/>
          <w:numId w:val="8"/>
        </w:numPr>
        <w:jc w:val="both"/>
      </w:pPr>
      <w:r>
        <w:rPr>
          <w:sz w:val="28"/>
          <w:szCs w:val="28"/>
        </w:rPr>
        <w:t>Территориальная целостность и нерушимость границ</w:t>
      </w:r>
    </w:p>
    <w:p w14:paraId="00000083" w14:textId="77777777" w:rsidR="00B8424F" w:rsidRDefault="00000000">
      <w:pPr>
        <w:numPr>
          <w:ilvl w:val="0"/>
          <w:numId w:val="8"/>
        </w:numPr>
        <w:jc w:val="both"/>
      </w:pPr>
      <w:r>
        <w:rPr>
          <w:sz w:val="28"/>
          <w:szCs w:val="28"/>
        </w:rPr>
        <w:t>Самоопределение народов</w:t>
      </w:r>
    </w:p>
    <w:p w14:paraId="00000084" w14:textId="77777777" w:rsidR="00B8424F" w:rsidRDefault="00000000">
      <w:pPr>
        <w:numPr>
          <w:ilvl w:val="0"/>
          <w:numId w:val="8"/>
        </w:numPr>
        <w:jc w:val="both"/>
      </w:pPr>
      <w:r>
        <w:rPr>
          <w:sz w:val="28"/>
          <w:szCs w:val="28"/>
        </w:rPr>
        <w:t xml:space="preserve">Добросовестное выполнение международных обязательств </w:t>
      </w:r>
    </w:p>
    <w:p w14:paraId="00000085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Уточнены ограничения в сфере гражданства Республики Казахстан, а также условия и основания его прекращения. В соответствии с пунктом 3 статьи 12 гражданин Республики Казахстан не может иметь двойного либо множественного гражданства. Наличие у гражданина иного гражданства признается основанием для прекращения гражданства Республики Казахстан.</w:t>
      </w:r>
    </w:p>
    <w:p w14:paraId="00000086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Норма устраняет правовую неопределенность в вопросах единства гражданства и закрепляет прямую конституционную связку «запрет двойного/множественного гражданства – последствие в виде прекращения гражданства», что повышает управляемость миграционно-правовых процессов, обеспечивает единый стандарт правового статуса гражданина и снижает риски конфликта публично-</w:t>
      </w:r>
      <w:r>
        <w:rPr>
          <w:sz w:val="28"/>
          <w:szCs w:val="28"/>
        </w:rPr>
        <w:lastRenderedPageBreak/>
        <w:t>правовых обязанностей и лояльностей (включая вопросы государственной службы, безопасности и исполнения гражданских обязанностей).</w:t>
      </w:r>
    </w:p>
    <w:p w14:paraId="00000088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Закреплено право на жизнь как абсолютное и неотъемлемое право каждого человека. </w:t>
      </w:r>
    </w:p>
    <w:p w14:paraId="00000089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Конституционное закрепление сказанного в более определенной формуле усиливает ценностный фундамент правового статуса личности и формирует для государства и правоприменения более жесткий ориентир при оценке допустимости ограничений и мер принуждения, а также при разрешении коллизий, где затрагивается физическая неприкосновенность и безопасность человека.</w:t>
      </w:r>
    </w:p>
    <w:p w14:paraId="0000008A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Каждому человеку гарантируются личная свобода и неприкосновенность, при задержании обеспечивается разъяснение оснований ограничения свободы и прав задержанного. </w:t>
      </w:r>
    </w:p>
    <w:p w14:paraId="0000008B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Принцип презумпции невиновности закреплен в Разделе II «Основные права, свободы и обязанности». </w:t>
      </w:r>
    </w:p>
    <w:p w14:paraId="0000008C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Расширение процессуальных гарантий на конституционном уровне повышает стандарт защиты от произвольного лишения свободы и усиливает требования к действиям органов преследования «с первого контакта» с человеком. </w:t>
      </w:r>
    </w:p>
    <w:p w14:paraId="0000008D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Перенос презумпции невиновности в раздел базовых прав делает ее не только уголовно-процессуальным принципом, но и общим конституционным стандартом, обязательным для всех органов и должностных лиц при оценке поведения лица и публичной коммуникации.</w:t>
      </w:r>
    </w:p>
    <w:p w14:paraId="0000008E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Наравне с достоинством закреплена гарантия неприкосновенности и охраны законом чести человека.</w:t>
      </w:r>
    </w:p>
    <w:p w14:paraId="0000008F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Говорить о том, что изменения в Конституции делаются ради «нового президентского срока», некорректно. </w:t>
      </w:r>
    </w:p>
    <w:p w14:paraId="00000090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Речь идет не о конкретном человеке, а об обновлении институциональных механизмов и процедур. Эти нормы будут одинаково действовать для всех будущих президентов, а не под кого-то персонально.</w:t>
      </w:r>
    </w:p>
    <w:p w14:paraId="00000091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Семилетний срок полномочий Президента и его однократность, как и конституционная гарантия неизменности данных положений отражены в Проекте новой Конституции, в частности в статье 43.</w:t>
      </w:r>
    </w:p>
    <w:p w14:paraId="00000092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Кроме того, окончательное решение принимается через референдум, то есть не кулуарно, а по воле граждан. Также исключена норма по внеочередным выборам, учитывая однократный срок Президентства.</w:t>
      </w:r>
    </w:p>
    <w:p w14:paraId="00000093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Уточнены гарантируемые законом право на неприкосновенность частной жизни, личную и семейную тайну, защиту персональных данных от их незаконного сбора, обработки, хранения и использования, в том числе с применением цифровых технологий.</w:t>
      </w:r>
    </w:p>
    <w:p w14:paraId="00000094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Расширены гарантии неприкосновенности частной жизни. Обеспечивается защита тайны банковских операций, вкладов и сбережений, переписки, телефонных переговоров, почтовых и иных сообщений, передаваемых средствами связи, включая коммуникации с применением цифровых технологий.</w:t>
      </w:r>
    </w:p>
    <w:p w14:paraId="00000095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Норма адаптирует конституционную защиту частной жизни к современным финансовым и цифровым реалиям, прямо охватывая чувствительные массивы данных (банковская информация и электронные коммуникации), что повышает правовую определенность для граждан и государства и задает более высокий порог вмешательства (по основаниям и процедурам) при оперативно-розыскных и иных действиях, затрагивающих конфиденциальность.</w:t>
      </w:r>
    </w:p>
    <w:p w14:paraId="00000096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Уточнено положение о праве на труд (вместо формулы о свободе труда), что согласуется с Международным пактом об экономических, социальных и культурных правах, признающим право каждого человека на труд.</w:t>
      </w:r>
    </w:p>
    <w:p w14:paraId="00000097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Смещение акцента к «праву на труд» усиливает социально-правовой характер гарантии и подчеркивает позитивные обязательства государства по созданию условий для реализации данного права (доступ к занятости, недискриминация, политика содействия трудоустройству), одновременно приближая конституционную терминологию к международным стандартам и облегчая применение и толкование норм с учетом договорных обязательств.</w:t>
      </w:r>
    </w:p>
    <w:p w14:paraId="00000098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Закреплен статус Конституционного Суда как независимого государственного органа, осуществляющего </w:t>
      </w:r>
      <w:r>
        <w:rPr>
          <w:sz w:val="28"/>
          <w:szCs w:val="28"/>
        </w:rPr>
        <w:lastRenderedPageBreak/>
        <w:t>конституционный контроль и обеспечивающего верховенство Конституции на всей территории страны.</w:t>
      </w:r>
    </w:p>
    <w:p w14:paraId="00000099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целях укрепления его статуса и реализации основной функции органа конституционного контроля предложено закрепить соответствующие положения на уровне Конституции.</w:t>
      </w:r>
    </w:p>
    <w:p w14:paraId="0000009A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Установлено, что Председатель Конституционного Суда является судьей Конституционного Суда на весь срок своих полномочий, а также то, что он не может занимать должность Председателя Конституционного Суда более одного раза.</w:t>
      </w:r>
    </w:p>
    <w:p w14:paraId="0000009B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рамках концептуального пересмотра конституционных положений о Президенте и введения раздела «Курултай» осуществлена корректировка распределения полномочий между Президентом и законодательным органом.</w:t>
      </w:r>
    </w:p>
    <w:p w14:paraId="0000009C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установлено, что судьи Конституционного Суда назначаются Президентом Республики Казахстан с согласия Курултая, выраженного большинством голосов от общего числа его депутатов.</w:t>
      </w:r>
    </w:p>
    <w:p w14:paraId="0000009D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Конституционному Суду предоставляются отдельные полномочия.</w:t>
      </w:r>
    </w:p>
    <w:p w14:paraId="0000009E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 его полномочиям отнесены дача заключения по заявлению Президента о добровольной отставке, а также по заявлению лица об отказе принять на себя полномочия Президента Республики Казахстан.</w:t>
      </w:r>
    </w:p>
    <w:p w14:paraId="0000009F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Конституционный Суд будет наделен компетенцией проверять на соответствие Конституции исполнение решений международных организаций и их органов.</w:t>
      </w:r>
    </w:p>
    <w:p w14:paraId="000000A0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Четко прописаны правовые последствия решений, принимаемых Конституционным Судом.</w:t>
      </w:r>
    </w:p>
    <w:p w14:paraId="000000A1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Решения международных организаций и их органов, включая отдельные положения этих решений, исполнение которых признано Конституционным Судом не соответствующим Конституции, исполнению не подлежат.</w:t>
      </w:r>
    </w:p>
    <w:p w14:paraId="000000A2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Законы и иные нормативные правовые акты, их отдельные положения, признанные соответствующими Конституции в истолковании Конституционного Суда, подлежат применению в данном истолковании.  </w:t>
      </w:r>
    </w:p>
    <w:p w14:paraId="000000A3" w14:textId="77777777" w:rsidR="00B8424F" w:rsidRDefault="00000000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Пересмотрены принципы отправления правосудия. Впервые институт адвокатуры закрепляется на уровне Конституции, определяя ее назначение как содействие реализации права на судебную защиту и юридическую помощь. Также устанавливая, что юридическая помощь оказывается адвокатами и иными лицами в соответствии с законом. Конституционное признание адвокатуры укрепляет гарантию права на защиту и доступ к квалифицированной юридической помощи, фиксируя адвокатуру как системный элемент правосудия и правозащитной инфраструктуры.</w:t>
      </w:r>
    </w:p>
    <w:p w14:paraId="000000A4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Одновременная отсылка к закону по вопросам порядка деятельности, прав, обязанностей и ответственности позволяет детально установить стандарты качества, этики и дисциплинарной ответственности, сохраняя баланс между независимостью адвокатуры и необходимыми механизмами профессионального контроля, а также обеспечивая гибкость регулирования в зависимости от развития правоприменительной практики.</w:t>
      </w:r>
    </w:p>
    <w:sectPr w:rsidR="00B8424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BFBC5" w14:textId="77777777" w:rsidR="007B2727" w:rsidRDefault="007B2727">
      <w:pPr>
        <w:spacing w:line="240" w:lineRule="auto"/>
      </w:pPr>
      <w:r>
        <w:separator/>
      </w:r>
    </w:p>
  </w:endnote>
  <w:endnote w:type="continuationSeparator" w:id="0">
    <w:p w14:paraId="5CA7DE4D" w14:textId="77777777" w:rsidR="007B2727" w:rsidRDefault="007B27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0FDB15C-9CF3-4C9C-B986-58A260E7F2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EB6674A-E5F9-4E3A-9D6C-2ADE098F31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4712E4D9" w:rsidR="00B8424F" w:rsidRDefault="00000000">
    <w:pPr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2F348A">
      <w:rPr>
        <w:noProof/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E001" w14:textId="77777777" w:rsidR="007B2727" w:rsidRDefault="007B2727">
      <w:pPr>
        <w:spacing w:line="240" w:lineRule="auto"/>
      </w:pPr>
      <w:r>
        <w:separator/>
      </w:r>
    </w:p>
  </w:footnote>
  <w:footnote w:type="continuationSeparator" w:id="0">
    <w:p w14:paraId="0460D184" w14:textId="77777777" w:rsidR="007B2727" w:rsidRDefault="007B27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B8424F" w:rsidRDefault="00B842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8BC"/>
    <w:multiLevelType w:val="multilevel"/>
    <w:tmpl w:val="BDEEF6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B1CDB"/>
    <w:multiLevelType w:val="multilevel"/>
    <w:tmpl w:val="5A32A692"/>
    <w:lvl w:ilvl="0">
      <w:start w:val="1"/>
      <w:numFmt w:val="decimal"/>
      <w:lvlText w:val="%1."/>
      <w:lvlJc w:val="left"/>
      <w:pPr>
        <w:ind w:left="0" w:firstLine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7F48CD"/>
    <w:multiLevelType w:val="multilevel"/>
    <w:tmpl w:val="0CE86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DE60C3"/>
    <w:multiLevelType w:val="multilevel"/>
    <w:tmpl w:val="E15625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EE1BDE"/>
    <w:multiLevelType w:val="multilevel"/>
    <w:tmpl w:val="8DD487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4B1FF6"/>
    <w:multiLevelType w:val="multilevel"/>
    <w:tmpl w:val="BADE55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650061"/>
    <w:multiLevelType w:val="multilevel"/>
    <w:tmpl w:val="4E7A16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31B466A"/>
    <w:multiLevelType w:val="multilevel"/>
    <w:tmpl w:val="1FF678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1610473">
    <w:abstractNumId w:val="2"/>
  </w:num>
  <w:num w:numId="2" w16cid:durableId="1299409264">
    <w:abstractNumId w:val="4"/>
  </w:num>
  <w:num w:numId="3" w16cid:durableId="1088119315">
    <w:abstractNumId w:val="3"/>
  </w:num>
  <w:num w:numId="4" w16cid:durableId="1844851962">
    <w:abstractNumId w:val="1"/>
  </w:num>
  <w:num w:numId="5" w16cid:durableId="1483153573">
    <w:abstractNumId w:val="7"/>
  </w:num>
  <w:num w:numId="6" w16cid:durableId="443040380">
    <w:abstractNumId w:val="6"/>
  </w:num>
  <w:num w:numId="7" w16cid:durableId="587884637">
    <w:abstractNumId w:val="5"/>
  </w:num>
  <w:num w:numId="8" w16cid:durableId="165124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4F"/>
    <w:rsid w:val="001E40E3"/>
    <w:rsid w:val="002470A5"/>
    <w:rsid w:val="002F348A"/>
    <w:rsid w:val="003E17C1"/>
    <w:rsid w:val="00623C75"/>
    <w:rsid w:val="007B2727"/>
    <w:rsid w:val="00A03F9B"/>
    <w:rsid w:val="00B8424F"/>
    <w:rsid w:val="00D06294"/>
    <w:rsid w:val="00EA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CA99"/>
  <w15:docId w15:val="{E74315C3-0E46-4412-9240-0F04F06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2395</Words>
  <Characters>13657</Characters>
  <Application>Microsoft Office Word</Application>
  <DocSecurity>0</DocSecurity>
  <Lines>113</Lines>
  <Paragraphs>32</Paragraphs>
  <ScaleCrop>false</ScaleCrop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Марлен Ержанулы Бигалимов</cp:lastModifiedBy>
  <cp:revision>4</cp:revision>
  <dcterms:created xsi:type="dcterms:W3CDTF">2026-02-03T12:17:00Z</dcterms:created>
  <dcterms:modified xsi:type="dcterms:W3CDTF">2026-02-03T12:24:00Z</dcterms:modified>
</cp:coreProperties>
</file>