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24F" w:rsidRDefault="00000000">
      <w:pPr>
        <w:jc w:val="both"/>
        <w:rPr>
          <w:b/>
          <w:bCs/>
          <w:color w:val="1C4587"/>
          <w:sz w:val="36"/>
          <w:szCs w:val="36"/>
        </w:rPr>
      </w:pPr>
      <w:r>
        <w:rPr>
          <w:b/>
          <w:bCs/>
          <w:color w:val="1C4587"/>
          <w:sz w:val="36"/>
          <w:szCs w:val="36"/>
        </w:rPr>
        <w:t xml:space="preserve">Линии комментирования по проекту новой Конституции с разделением на целевые аудитории </w:t>
      </w:r>
    </w:p>
    <w:p w14:paraId="00000048" w14:textId="77777777" w:rsidR="00B8424F" w:rsidRDefault="00000000">
      <w:pPr>
        <w:pStyle w:val="2"/>
        <w:jc w:val="both"/>
        <w:rPr>
          <w:b/>
          <w:bCs/>
        </w:rPr>
      </w:pPr>
      <w:bookmarkStart w:id="0" w:name="_e99u78dm2s87" w:colFirst="0" w:colLast="0"/>
      <w:bookmarkStart w:id="1" w:name="_hhkdbm5a19yo" w:colFirst="0" w:colLast="0"/>
      <w:bookmarkEnd w:id="0"/>
      <w:bookmarkEnd w:id="1"/>
      <w:r>
        <w:rPr>
          <w:b/>
          <w:bCs/>
        </w:rPr>
        <w:t xml:space="preserve">Представители национал-патриотической аудитории </w:t>
      </w:r>
    </w:p>
    <w:p w14:paraId="00000049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Внедрение особого статуса для отдельных регионов не несет в себе рисков федерализации. Создание специальных правовых режимов направлено исключительно на реализацию экономических интересов Казахстана: развитие территорий и привлечение инвестиций. Вместе с этим, в разделе добавляется норма, что «Суверенитет, Независимость, унитарность, территориальная целостность, форма правления Республики Казахстан неизменны» (норма ранее сидела в заключительных и переходных положениях, что неправильно).</w:t>
      </w:r>
    </w:p>
    <w:p w14:paraId="0000004A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Сохранение статуса русского языка в новой редакции Основного закона не дискриминирует казахский язык, поскольку казахский язык закреплен как единственный государственный язык с приоритетом в системе государственного управления, законодательства и официального делопроизводства. Тогда как русский язык выполняет вспомогательную функцию языка межнационального общения, отражая сложившуюся социально-языковую реальность. При этом, предложенное изменение о государственном языке усиливает акцент, прямо указывая что государственный язык – казахский.</w:t>
      </w:r>
    </w:p>
    <w:p w14:paraId="0000004B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Статья 93 Конституции Республики Казахстан была принята в переходный период и предполагала, что с момента придания казахскому языку статуса государственного, необходимо было создать условия всем гражданам страны для его изучения. Переходные нормы принимались для формирования правовых институтов на момент принятия Конституции. В новом проекте все переходные нормы были исключены, к примеру статьи, касающиеся ранее действовавшего Конституционного Совета и Верховного Совета. Отсутствие соответствующей статьи в Конституции не означает отказ государства от создания условий для массового овладения государственным языком. Государство продолжает комплексную политику по поддержке, развитию и изучению </w:t>
      </w:r>
      <w:r>
        <w:rPr>
          <w:sz w:val="28"/>
          <w:szCs w:val="28"/>
        </w:rPr>
        <w:lastRenderedPageBreak/>
        <w:t>казахского языка. Данная сфера регулируется Законом «О языках в Республике Казахстан». В соответствии с данным Законом, Правительство, иные государственные, местные представительные и исполнительные органы обязаны всемерно развивать государственный язык, создавать все необходимые условия для свободного и бесплатного овладения им. В качестве примера системных шагов по реализации Закона следует привести тот факт, что в Казахстане функционирует 111 государственных центров (основные центры – 84, филиалы – 27), где обучение взрослого населения казахскому языку ведется бесплатно. Кроме того, для обеспечения доступа населения к процессу обучения языкам функционируют электронные ресурсы, разработанные по заказу Комитета языковой политики МНВО: «Tilmedia.kz», «Balatili.kz», «Tilqural.kz», «Abai.institute», «Тermincom.kz», «Emle.kz», «Sozdikqor.kz», «Qazcorpora.kz», «Qazgramma», «Qujat.kz», «Atau.kz», «Qazlatyn.kz». Все приложения и актуальная информация касательно реализации языковой политики (новости, статьи, актуальная информация касательно центров, методические сборники и др.) размещены на сайте «Tilalemi.kz».</w:t>
      </w:r>
    </w:p>
    <w:p w14:paraId="0000004C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Критика о том, что проект новой Конституции якобы вмешивается в личную жизнь граждан и лишает их права на тайну веры или партийной принадлежности, основана на неверной трактовке конституционных норм.  Проект не вводит обязанности раскрывать свои убеждения, религиозные взгляды или политические предпочтения и не создает механизмов принудительного контроля над личной сферой. Тайна вероисповедания и свобода политических убеждений как были, так и остаются защищенными базовыми правами.</w:t>
      </w:r>
    </w:p>
    <w:p w14:paraId="0000004D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прямого запрета на продажу земли иностранцам не означает утрату контроля над землей, поскольку в Конституции прямо закреплено, что земля и природные ресурсы принадлежат народу, право собственности от его имени осуществляет государство, а условия, основания и пределы частной собственности на землю определяются законом, при одновременном конституционном закреплении неотчуждаемости территории и территориальной целостности Республики Казахстан.</w:t>
      </w:r>
    </w:p>
    <w:p w14:paraId="0000004E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Закрепление в Конституции положения о том, что народ является не только единственным источником государственной власти, но и единственным носителем Суверенитета, имеет самостоятельное и принципиальное значение для обеспечения внутренней логической целостности конституционного строя, а также для предотвращения искажений в понимании природы публичной власти.</w:t>
      </w:r>
    </w:p>
    <w:p w14:paraId="0000004F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Формула «народ – источник государственной власти» отражает механизм возникновения и легитимации власти, однако сама по себе не раскрывает вопрос о принадлежности суверенитета как высшего, первоначального и неотчуждаемого свойства публичной власти.</w:t>
      </w:r>
    </w:p>
    <w:p w14:paraId="00000050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Суверенитет по своей правовой природе не сводится к факту осуществления государственной власти. Он представляет собой первичное и учредительное качество, из которого вытекают полномочия государства, структура публичной власти и пределы её осуществления.</w:t>
      </w:r>
    </w:p>
    <w:p w14:paraId="00000051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Именно поэтому носитель суверенитета не может совпадать с субъектами, созданными на его основе. Государство и его органы не обладают собственным суверенитетом, а лишь реализуют делегированные суверенные полномочия в пределах, установленных Конституцией, принятой от имени народа.</w:t>
      </w:r>
    </w:p>
    <w:p w14:paraId="00000052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Вокруг проекта новой Конституции активно критикуют якобы «усиление светскости». Однако здесь важно сразу расставить акценты. Казахстан был и остается светским государством – это не новое положение и не смена курса.  </w:t>
      </w:r>
    </w:p>
    <w:p w14:paraId="00000053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Конституции речь идет не о запретах, а о юридическом уточнении уже действующего принципа, чтобы исключить двойные трактовки. Светскость – это не борьба с религией и не ограничение веры. Она означает нейтралитет государства по отношению ко всем конфессиям и равную защиту прав как верующих, так и неверующих.  Государство не вмешивается в духовную жизнь граждан, но и не допускает превращения религии в инструмент политики или давления на общество. </w:t>
      </w:r>
    </w:p>
    <w:p w14:paraId="00000054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Никто не посягает на свободу совести, обряды или религиозное воспитание в семье. Речь идет о том, чтобы решения власти принимались на основе права и Конституции, а не религиозных догм. Для многонационального и многоконфессионального Казахстана </w:t>
      </w:r>
      <w:r>
        <w:rPr>
          <w:sz w:val="28"/>
          <w:szCs w:val="28"/>
        </w:rPr>
        <w:lastRenderedPageBreak/>
        <w:t xml:space="preserve">светское государство – это гарантия равенства, устойчивости и единства. Поэтому усиление и уточнение принципа светскости – не шаг назад и не идеология, а признак зрелого, современного конституционного государства. </w:t>
      </w:r>
    </w:p>
    <w:p w14:paraId="00000055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проекте Конституции уточнено, что система образования и воспитания в организациях образования на территории Республики Казахстан носит светский характер, за исключением духовных (религиозных) организаций образования. Норма закрепляет единый принцип светскости образования как основы государственной политики и нейтральности публичной сферы, одновременно допуская институционально выделенное исключение для духовных (религиозных) организаций.  Это обеспечивает баланс между светским характером государства и свободой совести, снижая риски разночтений в образовательной практике и формируя понятные рамки для содержания программ и воспитательной работы.</w:t>
      </w:r>
    </w:p>
    <w:p w14:paraId="00000056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Исключена как излишняя норма о том, что «Деятельность иностранных религиозных объединений на территории Республики, а также назначение иностранными религиозными центрами руководителей религиозных объединений в Республике осуществляются по согласованию с соответствующими государственными органами Республики».</w:t>
      </w:r>
    </w:p>
    <w:p w14:paraId="00000057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Внесена норма, что «Информация о движении денежных средств и активах некоммерческих организаций, получаемых от иностранных государств, международных и иностранных юридических лиц, иностранных граждан и лиц без гражданства, должна быть открытой и доступной в соответствии с законами Республики Казахстан».</w:t>
      </w:r>
    </w:p>
    <w:p w14:paraId="00000058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Целями закрепления соответствующей нормы является недопущение на конституционном уровне скрытого иностранного влияния на внутренние государственные процессы, обеспечение доверия общества к некоммерческому сектору, а также обеспечение граждан информацией, необходимой для формирования собственного мнения.</w:t>
      </w:r>
    </w:p>
    <w:p w14:paraId="00000059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Уточнены ограничения в сфере гражданства Республики Казахстан, а также условия и основания его прекращения. В соответствии с пунктом 3 статьи 12 гражданин Республики Казахстан </w:t>
      </w:r>
      <w:r>
        <w:rPr>
          <w:sz w:val="28"/>
          <w:szCs w:val="28"/>
        </w:rPr>
        <w:lastRenderedPageBreak/>
        <w:t>не может иметь двойного либо множественного гражданства. Наличие у гражданина иного гражданства признается основанием для прекращения гражданства Республики Казахстан.</w:t>
      </w:r>
      <w:r>
        <w:rPr>
          <w:sz w:val="28"/>
          <w:szCs w:val="28"/>
        </w:rPr>
        <w:tab/>
        <w:t>Норма устраняет правовую неопределенность в вопросах единства гражданства и закрепляет прямую конституционную связку «запрет двойного/множественного гражданства – последствие в виде прекращения гражданства», что повышает управляемость миграционно-правовых процессов, обеспечивает единый стандарт правового статуса гражданина и снижает риски конфликта публично-правовых обязанностей и лояльностей (включая вопросы государственной службы, безопасности и исполнения гражданских обязанностей).</w:t>
      </w:r>
    </w:p>
    <w:p w14:paraId="0000005A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Четкое разграничение религии и государства. Светский характер государства закреплен однозначно. Это запрос общества.</w:t>
      </w:r>
    </w:p>
    <w:p w14:paraId="0000005B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Установлено требование, что деятельность религиозных организаций на территории Казахстана осуществляется в соответствии с законом и может быть ограничена в целях защиты основ конституционного строя, обеспечения национальной безопасности, охраны общественного порядка, прав и свобод человека, здоровья граждан и нравственности общества.</w:t>
      </w:r>
    </w:p>
    <w:p w14:paraId="0000005C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отражает стремление государства обеспечить баланс между свободой вероисповедания и иными конституционными ценностями, прежде всего защиту конституционного строя.</w:t>
      </w:r>
    </w:p>
    <w:p w14:paraId="0000005D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Народ исходит из того, что религиозные объединения, являясь важными институтами гражданского общества, не могут функционировать вне правового поля или подменять собой публичную власть. Тем самым обеспечивая единое правовое пространство и равенство всех субъектов перед законом.</w:t>
      </w:r>
    </w:p>
    <w:p w14:paraId="0000005E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Введена норма о том, что брак является добровольным и равноправным союзом мужчины и женщины, зарегистрированным государством в соответствии с законом.</w:t>
      </w:r>
    </w:p>
    <w:p w14:paraId="0000005F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Норма конституционно фиксирует базовое определение брака и его ключевые признаки (добровольность, равноправие, государственная регистрация), тем самым повышая правовую определенность семейного статуса и единообразие регулирования. Одновременно она устанавливает конституционный ориентир для законодательства и правоприменения в сфере семьи, включая </w:t>
      </w:r>
      <w:r>
        <w:rPr>
          <w:sz w:val="28"/>
          <w:szCs w:val="28"/>
        </w:rPr>
        <w:lastRenderedPageBreak/>
        <w:t>вопросы защиты прав супругов, детей и стабильности семейных отношений.</w:t>
      </w:r>
    </w:p>
    <w:p w14:paraId="00000060" w14:textId="77777777" w:rsidR="00B8424F" w:rsidRDefault="00000000">
      <w:pPr>
        <w:numPr>
          <w:ilvl w:val="0"/>
          <w:numId w:val="4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Уточнены ограничения в сфере гражданства Республики Казахстан, а также условия и основания его прекращения. В соответствии с пунктом 3 статьи 12 гражданин Республики Казахстан не может иметь двойного либо множественного гражданства. Наличие у гражданина иного гражданства признается основанием для прекращения гражданства Республики Казахстан.</w:t>
      </w:r>
    </w:p>
    <w:p w14:paraId="00000061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Норма устраняет правовую неопределенность в вопросах единства гражданства и закрепляет прямую конституционную связку «запрет двойного/множественного гражданства – последствие в виде прекращения гражданства», что повышает управляемость миграционно-правовых процессов, обеспечивает единый стандарт правового статуса гражданина и снижает риски конфликта публично-правовых обязанностей и лояльностей (включая вопросы государственной службы, безопасности и исполнения гражданских обязанностей).</w:t>
      </w:r>
    </w:p>
    <w:p w14:paraId="00000062" w14:textId="77777777" w:rsidR="00B8424F" w:rsidRDefault="00B8424F">
      <w:pPr>
        <w:ind w:firstLine="708"/>
        <w:jc w:val="both"/>
        <w:rPr>
          <w:sz w:val="28"/>
          <w:szCs w:val="28"/>
        </w:rPr>
      </w:pPr>
    </w:p>
    <w:sectPr w:rsidR="00B8424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8B6A1" w14:textId="77777777" w:rsidR="002C05E8" w:rsidRDefault="002C05E8">
      <w:pPr>
        <w:spacing w:line="240" w:lineRule="auto"/>
      </w:pPr>
      <w:r>
        <w:separator/>
      </w:r>
    </w:p>
  </w:endnote>
  <w:endnote w:type="continuationSeparator" w:id="0">
    <w:p w14:paraId="3D6E4898" w14:textId="77777777" w:rsidR="002C05E8" w:rsidRDefault="002C05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DFA8087-9EC4-46B6-89A2-872EDD1C60C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85992A3-439C-4463-92AB-0CD9264555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4712E4D9" w:rsidR="00B8424F" w:rsidRDefault="00000000">
    <w:pPr>
      <w:jc w:val="right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2F348A">
      <w:rPr>
        <w:noProof/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F995" w14:textId="77777777" w:rsidR="002C05E8" w:rsidRDefault="002C05E8">
      <w:pPr>
        <w:spacing w:line="240" w:lineRule="auto"/>
      </w:pPr>
      <w:r>
        <w:separator/>
      </w:r>
    </w:p>
  </w:footnote>
  <w:footnote w:type="continuationSeparator" w:id="0">
    <w:p w14:paraId="2A0F63CA" w14:textId="77777777" w:rsidR="002C05E8" w:rsidRDefault="002C05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5" w14:textId="77777777" w:rsidR="00B8424F" w:rsidRDefault="00B842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8BC"/>
    <w:multiLevelType w:val="multilevel"/>
    <w:tmpl w:val="BDEEF6C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B1CDB"/>
    <w:multiLevelType w:val="multilevel"/>
    <w:tmpl w:val="5A32A692"/>
    <w:lvl w:ilvl="0">
      <w:start w:val="1"/>
      <w:numFmt w:val="decimal"/>
      <w:lvlText w:val="%1."/>
      <w:lvlJc w:val="left"/>
      <w:pPr>
        <w:ind w:left="0" w:firstLine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7F48CD"/>
    <w:multiLevelType w:val="multilevel"/>
    <w:tmpl w:val="0CE86D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DE60C3"/>
    <w:multiLevelType w:val="multilevel"/>
    <w:tmpl w:val="E15625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EE1BDE"/>
    <w:multiLevelType w:val="multilevel"/>
    <w:tmpl w:val="8DD487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4B1FF6"/>
    <w:multiLevelType w:val="multilevel"/>
    <w:tmpl w:val="BADE55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7650061"/>
    <w:multiLevelType w:val="multilevel"/>
    <w:tmpl w:val="4E7A16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31B466A"/>
    <w:multiLevelType w:val="multilevel"/>
    <w:tmpl w:val="1FF678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1610473">
    <w:abstractNumId w:val="2"/>
  </w:num>
  <w:num w:numId="2" w16cid:durableId="1299409264">
    <w:abstractNumId w:val="4"/>
  </w:num>
  <w:num w:numId="3" w16cid:durableId="1088119315">
    <w:abstractNumId w:val="3"/>
  </w:num>
  <w:num w:numId="4" w16cid:durableId="1844851962">
    <w:abstractNumId w:val="1"/>
  </w:num>
  <w:num w:numId="5" w16cid:durableId="1483153573">
    <w:abstractNumId w:val="7"/>
  </w:num>
  <w:num w:numId="6" w16cid:durableId="443040380">
    <w:abstractNumId w:val="6"/>
  </w:num>
  <w:num w:numId="7" w16cid:durableId="587884637">
    <w:abstractNumId w:val="5"/>
  </w:num>
  <w:num w:numId="8" w16cid:durableId="165124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4F"/>
    <w:rsid w:val="002C05E8"/>
    <w:rsid w:val="002F348A"/>
    <w:rsid w:val="003C4904"/>
    <w:rsid w:val="005400BD"/>
    <w:rsid w:val="00623C75"/>
    <w:rsid w:val="007316AA"/>
    <w:rsid w:val="0099334E"/>
    <w:rsid w:val="00B8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CA99"/>
  <w15:docId w15:val="{E74315C3-0E46-4412-9240-0F04F06E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1632</Words>
  <Characters>9305</Characters>
  <Application>Microsoft Office Word</Application>
  <DocSecurity>0</DocSecurity>
  <Lines>77</Lines>
  <Paragraphs>21</Paragraphs>
  <ScaleCrop>false</ScaleCrop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Марлен Ержанулы Бигалимов</dc:creator>
  <cp:lastModifiedBy>Марлен Ержанулы Бигалимов</cp:lastModifiedBy>
  <cp:revision>3</cp:revision>
  <dcterms:created xsi:type="dcterms:W3CDTF">2026-02-03T12:21:00Z</dcterms:created>
  <dcterms:modified xsi:type="dcterms:W3CDTF">2026-02-03T12:23:00Z</dcterms:modified>
</cp:coreProperties>
</file>