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pPr>
      <w:r>
        <w:rPr>
          <w:b/>
          <w:bCs/>
          <w:color w:val="1F3864"/>
          <w:sz w:val="40"/>
          <w:szCs w:val="40"/>
        </w:rPr>
        <w:t xml:space="preserve">AUDIT DAX COMPLET &amp; PLAN DE RECONSTRUCTION</w:t>
      </w:r>
    </w:p>
    <w:p>
      <w:pPr>
        <w:spacing w:after="100"/>
      </w:pPr>
      <w:r>
        <w:rPr>
          <w:color w:val="2E5395"/>
          <w:sz w:val="28"/>
          <w:szCs w:val="28"/>
        </w:rPr>
        <w:t xml:space="preserve">Dashboard Power BI — Financial Sample (Commercial &amp; Financier)</w:t>
      </w:r>
    </w:p>
    <w:p>
      <w:pPr>
        <w:spacing w:after="400"/>
      </w:pPr>
      <w:r>
        <w:rPr>
          <w:i/>
          <w:iCs/>
          <w:color w:val="595959"/>
          <w:sz w:val="22"/>
          <w:szCs w:val="22"/>
        </w:rPr>
        <w:t xml:space="preserve">Revue ligne par ligne des 77 mesures DAX réelles, du modèle de données et alignement avec le blueprint de reconstruction</w:t>
      </w:r>
    </w:p>
    <w:p>
      <w:pPr>
        <w:pBdr>
          <w:bottom w:val="single" w:color="BFBFBF" w:sz="6" w:space="1"/>
        </w:pBdr>
        <w:spacing w:after="200" w:before="200"/>
      </w:pPr>
      <w:r>
        <w:t xml:space="preserve"/>
      </w:r>
    </w:p>
    <w:p>
      <w:pPr>
        <w:spacing w:after="150" w:line="276"/>
      </w:pPr>
      <w:r>
        <w:rPr>
          <w:b/>
          <w:bCs/>
        </w:rPr>
        <w:t xml:space="preserve">Préparé pour : Patricia Belinguine</w:t>
      </w:r>
    </w:p>
    <w:p>
      <w:pPr>
        <w:spacing w:after="150" w:line="276"/>
      </w:pPr>
      <w:r>
        <w:t xml:space="preserve">Fichiers analysés : Financials_commercial_financier.pbix · capture du modèle · code Power Query M · formules_dax_financials_ia.csv (77 mesures réelles) · blueprint de reconstruction</w:t>
      </w:r>
    </w:p>
    <w:p>
      <w:pPr>
        <w:spacing w:after="150" w:line="276"/>
      </w:pPr>
      <w:r>
        <w:t xml:space="preserve">Date : 9 août 2026 — Version 3 (mise à jour avec les formules DAX réelles + audit des mesures inutiles)</w:t>
      </w:r>
    </w:p>
    <w:p>
      <w:pPr>
        <w:pBdr>
          <w:bottom w:val="single" w:color="BFBFBF" w:sz="6" w:space="1"/>
        </w:pBdr>
        <w:spacing w:after="200" w:before="200"/>
      </w:pPr>
      <w:r>
        <w:t xml:space="preserve"/>
      </w:r>
    </w:p>
    <w:p>
      <w:pPr>
        <w:pStyle w:val="Heading1"/>
        <w:spacing w:after="200" w:before="400"/>
      </w:pPr>
      <w:r>
        <w:t xml:space="preserve">0. Ce qui change dans cette version</w:t>
      </w:r>
    </w:p>
    <w:p>
      <w:pPr>
        <w:spacing w:after="150" w:line="276"/>
      </w:pPr>
      <w:r>
        <w:t xml:space="preserve">La première version de cet audit reposait sur le code Power Query M, une capture du modèle et les noms de champs déduits des visuels, faute d'accès au texte des mesures DAX (stockées dans un format binaire compressé illisible sans Power BI Desktop). Tu m'as maintenant transmis l'export réel des 77 mesures (nom + formule). Cette version remplace donc la précédente : la partie Power Query et la partie modèle de données restent valables telles quelles (aucune nouvelle information ne les contredit), mais la partie DAX est entièrement réécrite à partir des formules réelles, ligne par ligne, sans aucune supposition.</w:t>
      </w:r>
    </w:p>
    <w:p>
      <w:pPr>
        <w:spacing w:after="150" w:line="276"/>
      </w:pPr>
      <w:r>
        <w:t xml:space="preserve">Deux mesures dépassent toutes les autres en impact : elles sont utilisées, directement ou en cascade, par la quasi-totalité des KPI de rentabilité et de prévision du dashboard. Elles sont détaillées en premier.</w:t>
      </w:r>
    </w:p>
    <w:p>
      <w:pPr>
        <w:pStyle w:val="Heading1"/>
        <w:spacing w:after="200" w:before="400"/>
      </w:pPr>
      <w:r>
        <w:t xml:space="preserve">1. Les deux bugs les plus critiques du modèle</w:t>
      </w:r>
    </w:p>
    <w:p>
      <w:pPr>
        <w:pStyle w:val="Heading2"/>
        <w:spacing w:after="150" w:before="300"/>
      </w:pPr>
      <w:r>
        <w:t xml:space="preserve">1.1 « Taux de croissance » — division par zéro codée en dur</w:t>
      </w:r>
    </w:p>
    <w:p>
      <w:pPr>
        <w:pBdr>
          <w:top w:val="single" w:color="444444" w:sz="4"/>
          <w:bottom w:val="single" w:color="444444" w:sz="4"/>
          <w:left w:val="single" w:color="444444" w:sz="4"/>
          <w:right w:val="single" w:color="444444" w:sz="4"/>
        </w:pBdr>
        <w:shd w:fill="1E1E1E" w:val="clear"/>
        <w:spacing w:after="200" w:before="50"/>
        <w:ind w:left="200" w:right="200"/>
      </w:pPr>
      <w:r>
        <w:rPr>
          <w:rFonts w:ascii="Consolas" w:cs="Consolas" w:eastAsia="Consolas" w:hAnsi="Consolas"/>
          <w:color w:val="D4D4D4"/>
          <w:sz w:val="18"/>
          <w:szCs w:val="18"/>
        </w:rPr>
        <w:t xml:space="preserve">Taux de croissance =</w:t>
      </w:r>
      <w:r>
        <w:rPr>
          <w:rFonts w:ascii="Consolas" w:cs="Consolas" w:eastAsia="Consolas" w:hAnsi="Consolas"/>
          <w:color w:val="D4D4D4"/>
          <w:sz w:val="18"/>
          <w:szCs w:val="18"/>
        </w:rPr>
        <w:br/>
        <w:t xml:space="preserve">VAR Ventes2013 = CALCULATE(SUM(financials[Ventes]),FILTER(ALL(financials),YEAR(financials[Date])=2013))</w:t>
      </w:r>
      <w:r>
        <w:rPr>
          <w:rFonts w:ascii="Consolas" w:cs="Consolas" w:eastAsia="Consolas" w:hAnsi="Consolas"/>
          <w:color w:val="D4D4D4"/>
          <w:sz w:val="18"/>
          <w:szCs w:val="18"/>
        </w:rPr>
        <w:br/>
        <w:t xml:space="preserve">VAR Ventes2014 = CALCULATE(SUM(financials[Ventes]),FILTER(ALL(financials),YEAR(financials[Date])=2014))</w:t>
      </w:r>
      <w:r>
        <w:rPr>
          <w:rFonts w:ascii="Consolas" w:cs="Consolas" w:eastAsia="Consolas" w:hAnsi="Consolas"/>
          <w:color w:val="D4D4D4"/>
          <w:sz w:val="18"/>
          <w:szCs w:val="18"/>
        </w:rPr>
        <w:br/>
        <w:t xml:space="preserve">RETURN</w:t>
      </w:r>
      <w:r>
        <w:rPr>
          <w:rFonts w:ascii="Consolas" w:cs="Consolas" w:eastAsia="Consolas" w:hAnsi="Consolas"/>
          <w:color w:val="D4D4D4"/>
          <w:sz w:val="18"/>
          <w:szCs w:val="18"/>
        </w:rPr>
        <w:br/>
        <w:t xml:space="preserve">DIVIDE(Ventes2014-Ventes2013,0)</w:t>
      </w:r>
    </w:p>
    <w:p>
      <w:pPr>
        <w:pBdr>
          <w:left w:val="single" w:color="C00000" w:sz="24" w:space="8"/>
        </w:pBdr>
        <w:shd w:fill="FCE4E4" w:val="clear"/>
        <w:spacing w:after="150" w:before="50"/>
        <w:ind w:left="200"/>
      </w:pPr>
      <w:r>
        <w:rPr>
          <w:b/>
          <w:bCs/>
          <w:color w:val="C00000"/>
        </w:rPr>
        <w:t xml:space="preserve">✘ BUG CONFIRMÉ — SÉVÉRITÉ MAXIMALE — </w:t>
      </w:r>
      <w:r>
        <w:t xml:space="preserve">Le deuxième argument de DIVIDE doit être le dénominateur (Ventes2013). Ici c'est le chiffre littéral 0. Or DIVIDE(numérateur, 0) sans troisième argument renvoie toujours BLANK — c'est le comportement documenté de DIVIDE par Microsoft Learn lui-même. Cette mesure ne calcule donc JAMAIS un taux de croissance : elle renvoie systématiquement du vide, quel que soit le filtre appliqué.</w:t>
      </w:r>
    </w:p>
    <w:p>
      <w:pPr>
        <w:spacing w:after="150" w:line="276"/>
      </w:pPr>
      <w:r>
        <w:t xml:space="preserve">Conséquence en cascade : [Taux de croissance] est directement référencée par quatre autres mesures — [Prédiction Profit 2015], [Prédiction Seuil 2015], [Prédiction Survie 2015] et [Prédictions Ventes 2015]. Dans une expression comme Profit2014*(1+Taux), quand Taux est BLANK, DAX évalue (1+BLANK) comme 1 (BLANK se comporte comme 0 dans une addition). Résultat concret : toutes tes prévisions 2015 actuelles renvoient exactement le chiffre de 2014, sans aucune croissance appliquée — un bug totalement silencieux, invisible à l'écran (les cartes KPI affichent un nombre plausible), mais qui invalide la totalité de la page "Prévisions 2015", qui est justement la page que le blueprint te demande d'améliorer en priorité.</w:t>
      </w:r>
    </w:p>
    <w:p>
      <w:pPr>
        <w:spacing w:after="150" w:line="276"/>
      </w:pPr>
      <w:r>
        <w:t xml:space="preserve">Correction :</w:t>
      </w:r>
    </w:p>
    <w:p>
      <w:pPr>
        <w:pBdr>
          <w:top w:val="single" w:color="444444" w:sz="4"/>
          <w:bottom w:val="single" w:color="444444" w:sz="4"/>
          <w:left w:val="single" w:color="444444" w:sz="4"/>
          <w:right w:val="single" w:color="444444" w:sz="4"/>
        </w:pBdr>
        <w:shd w:fill="1E1E1E" w:val="clear"/>
        <w:spacing w:after="200" w:before="50"/>
        <w:ind w:left="200" w:right="200"/>
      </w:pPr>
      <w:r>
        <w:rPr>
          <w:rFonts w:ascii="Consolas" w:cs="Consolas" w:eastAsia="Consolas" w:hAnsi="Consolas"/>
          <w:color w:val="D4D4D4"/>
          <w:sz w:val="18"/>
          <w:szCs w:val="18"/>
        </w:rPr>
        <w:t xml:space="preserve">Taux de croissance =</w:t>
      </w:r>
      <w:r>
        <w:rPr>
          <w:rFonts w:ascii="Consolas" w:cs="Consolas" w:eastAsia="Consolas" w:hAnsi="Consolas"/>
          <w:color w:val="D4D4D4"/>
          <w:sz w:val="18"/>
          <w:szCs w:val="18"/>
        </w:rPr>
        <w:br/>
        <w:t xml:space="preserve">VAR Ventes2013 = CALCULATE(SUM(financials[Ventes]),FILTER(ALL(financials),YEAR(financials[Date])=2013))</w:t>
      </w:r>
      <w:r>
        <w:rPr>
          <w:rFonts w:ascii="Consolas" w:cs="Consolas" w:eastAsia="Consolas" w:hAnsi="Consolas"/>
          <w:color w:val="D4D4D4"/>
          <w:sz w:val="18"/>
          <w:szCs w:val="18"/>
        </w:rPr>
        <w:br/>
        <w:t xml:space="preserve">VAR Ventes2014 = CALCULATE(SUM(financials[Ventes]),FILTER(ALL(financials),YEAR(financials[Date])=2014))</w:t>
      </w:r>
      <w:r>
        <w:rPr>
          <w:rFonts w:ascii="Consolas" w:cs="Consolas" w:eastAsia="Consolas" w:hAnsi="Consolas"/>
          <w:color w:val="D4D4D4"/>
          <w:sz w:val="18"/>
          <w:szCs w:val="18"/>
        </w:rPr>
        <w:br/>
        <w:t xml:space="preserve">RETURN</w:t>
      </w:r>
      <w:r>
        <w:rPr>
          <w:rFonts w:ascii="Consolas" w:cs="Consolas" w:eastAsia="Consolas" w:hAnsi="Consolas"/>
          <w:color w:val="D4D4D4"/>
          <w:sz w:val="18"/>
          <w:szCs w:val="18"/>
        </w:rPr>
        <w:br/>
        <w:t xml:space="preserve">DIVIDE(Ventes2014-Ventes2013, Ventes2013, 0)</w:t>
      </w:r>
    </w:p>
    <w:p>
      <w:pPr>
        <w:pStyle w:val="Heading2"/>
        <w:spacing w:after="150" w:before="300"/>
      </w:pPr>
      <w:r>
        <w:t xml:space="preserve">1.2 « Total de  Vente » — le filtre Année est neutralisé à l'intérieur de la mesure</w:t>
      </w:r>
    </w:p>
    <w:p>
      <w:pPr>
        <w:pBdr>
          <w:top w:val="single" w:color="444444" w:sz="4"/>
          <w:bottom w:val="single" w:color="444444" w:sz="4"/>
          <w:left w:val="single" w:color="444444" w:sz="4"/>
          <w:right w:val="single" w:color="444444" w:sz="4"/>
        </w:pBdr>
        <w:shd w:fill="1E1E1E" w:val="clear"/>
        <w:spacing w:after="200" w:before="50"/>
        <w:ind w:left="200" w:right="200"/>
      </w:pPr>
      <w:r>
        <w:rPr>
          <w:rFonts w:ascii="Consolas" w:cs="Consolas" w:eastAsia="Consolas" w:hAnsi="Consolas"/>
          <w:color w:val="D4D4D4"/>
          <w:sz w:val="18"/>
          <w:szCs w:val="18"/>
        </w:rPr>
        <w:t xml:space="preserve">Total de  Vente = CALCULATE(SUM('financials'[Ventes]), ALL('financials'[Année]))</w:t>
      </w:r>
    </w:p>
    <w:p>
      <w:pPr>
        <w:pBdr>
          <w:left w:val="single" w:color="C00000" w:sz="24" w:space="8"/>
        </w:pBdr>
        <w:shd w:fill="FCE4E4" w:val="clear"/>
        <w:spacing w:after="150" w:before="50"/>
        <w:ind w:left="200"/>
      </w:pPr>
      <w:r>
        <w:rPr>
          <w:b/>
          <w:bCs/>
          <w:color w:val="C00000"/>
        </w:rPr>
        <w:t xml:space="preserve">✘ BUG CONFIRMÉ — RISQUE ÉLEVÉ — </w:t>
      </w:r>
      <w:r>
        <w:t xml:space="preserve">ALL('financials'[Année]) supprime explicitement, à l'intérieur même de la mesure, tout filtre appliqué sur la colonne Année — quelle que soit son origine (slicer, axe de visuel, ligne de matrice groupée par Année). C'est un comportement DAX documenté (SQLBI, Microsoft Learn) : un ALL(colonne) posé dans une mesure l'emporte toujours sur un filtre déjà actif sur cette colonne précise, même si ce filtre vient d'un CALCULATE englobant. Concrètement : tout visuel qui affiche [Total de  Vente] regroupé ou filtré directement par financials[Année] (un graphique "CA par Année", un slicer sur Année, une matrice Année en ligne) affichera exactement le même total (2013+2014 cumulés) pour chaque année, au lieu du total propre à chaque année.</w:t>
      </w:r>
    </w:p>
    <w:p>
      <w:pPr>
        <w:spacing w:after="150" w:line="276"/>
      </w:pPr>
      <w:r>
        <w:t xml:space="preserve">Point rassurant : les filtres qui passent par la colonne Date (comme FILTER(ALL(financials), YEAR(financials[Date])=2013), utilisé dans Objectif Profit 2013, Profit Reel 2013, Total Vente 2013) ne sont PAS neutralisés par ce ALL(Année), car ils ne portent pas sur la colonne Année elle-même — ces mesures-là restent fiables. Le risque concerne spécifiquement tout usage direct de la colonne financials[Année] comme axe, légende ou filtre visuel.</w:t>
      </w:r>
    </w:p>
    <w:p>
      <w:pPr>
        <w:spacing w:after="150" w:line="276"/>
      </w:pPr>
      <w:r>
        <w:t xml:space="preserve">Deux corrections possibles selon l'intention d'origine :</w:t>
      </w:r>
    </w:p>
    <w:p>
      <w:pPr>
        <w:pStyle w:val="ListParagraph"/>
        <w:numPr>
          <w:ilvl w:val="0"/>
          <w:numId w:val="2"/>
        </w:numPr>
        <w:spacing w:after="80"/>
      </w:pPr>
      <w:r>
        <w:t xml:space="preserve">Si le but est de toujours afficher un grand total quel que soit le filtre Année (indicateur de référence global) : renomme la mesure en "Total de Vente (Global, ignore Année)" pour que personne ne la place par erreur sur un axe Année.</w:t>
      </w:r>
    </w:p>
    <w:p>
      <w:pPr>
        <w:pStyle w:val="ListParagraph"/>
        <w:numPr>
          <w:ilvl w:val="0"/>
          <w:numId w:val="2"/>
        </w:numPr>
        <w:spacing w:after="80"/>
      </w:pPr>
      <w:r>
        <w:t xml:space="preserve">Si le but est un total classique qui doit varier avec l'année sélectionnée (le cas le plus probable, vu son usage dans Objectif Vente Mensuel, Panier Moyen, etc.) : supprime simplement le modificateur et utilise :</w:t>
      </w:r>
    </w:p>
    <w:p>
      <w:pPr>
        <w:pBdr>
          <w:top w:val="single" w:color="444444" w:sz="4"/>
          <w:bottom w:val="single" w:color="444444" w:sz="4"/>
          <w:left w:val="single" w:color="444444" w:sz="4"/>
          <w:right w:val="single" w:color="444444" w:sz="4"/>
        </w:pBdr>
        <w:shd w:fill="1E1E1E" w:val="clear"/>
        <w:spacing w:after="200" w:before="50"/>
        <w:ind w:left="200" w:right="200"/>
      </w:pPr>
      <w:r>
        <w:rPr>
          <w:rFonts w:ascii="Consolas" w:cs="Consolas" w:eastAsia="Consolas" w:hAnsi="Consolas"/>
          <w:color w:val="D4D4D4"/>
          <w:sz w:val="18"/>
          <w:szCs w:val="18"/>
        </w:rPr>
        <w:t xml:space="preserve">Total de  Vente = SUM(financials[Ventes])</w:t>
      </w:r>
    </w:p>
    <w:p>
      <w:pPr>
        <w:spacing w:after="150" w:line="276"/>
      </w:pPr>
      <w:r>
        <w:t xml:space="preserve">Ce deuxième point mérite une vérification prioritaire dans Power BI Desktop : place financials[Année] comme axe d'un graphique à barres avec [Total de  Vente] en valeur, et regarde si les deux barres (2013 et 2014) affichent le même montant. Si oui, le bug est confirmé en conditions réelles et la correction ci-dessus s'impose.</w:t>
      </w:r>
    </w:p>
    <w:p>
      <w:pPr>
        <w:pStyle w:val="Heading1"/>
        <w:spacing w:after="200" w:before="400"/>
      </w:pPr>
      <w:r>
        <w:t xml:space="preserve">2. Autres bugs confirmés (formule incorrecte ou incohérente)</w:t>
      </w:r>
    </w:p>
    <w:p>
      <w:pPr>
        <w:pStyle w:val="Heading3"/>
        <w:spacing w:after="100" w:before="200"/>
      </w:pPr>
      <w:r>
        <w:t xml:space="preserve">2.1 « Ecart Profit vs Objectif » — chiffres codés en dur</w:t>
      </w:r>
    </w:p>
    <w:p>
      <w:pPr>
        <w:pBdr>
          <w:top w:val="single" w:color="444444" w:sz="4"/>
          <w:bottom w:val="single" w:color="444444" w:sz="4"/>
          <w:left w:val="single" w:color="444444" w:sz="4"/>
          <w:right w:val="single" w:color="444444" w:sz="4"/>
        </w:pBdr>
        <w:shd w:fill="1E1E1E" w:val="clear"/>
        <w:spacing w:after="200" w:before="50"/>
        <w:ind w:left="200" w:right="200"/>
      </w:pPr>
      <w:r>
        <w:rPr>
          <w:rFonts w:ascii="Consolas" w:cs="Consolas" w:eastAsia="Consolas" w:hAnsi="Consolas"/>
          <w:color w:val="D4D4D4"/>
          <w:sz w:val="18"/>
          <w:szCs w:val="18"/>
        </w:rPr>
        <w:t xml:space="preserve">VAR Profit2013 = 3880000</w:t>
      </w:r>
      <w:r>
        <w:rPr>
          <w:rFonts w:ascii="Consolas" w:cs="Consolas" w:eastAsia="Consolas" w:hAnsi="Consolas"/>
          <w:color w:val="D4D4D4"/>
          <w:sz w:val="18"/>
          <w:szCs w:val="18"/>
        </w:rPr>
        <w:br/>
        <w:t xml:space="preserve">VAR ProfitReel2014 = 13020000</w:t>
      </w:r>
      <w:r>
        <w:rPr>
          <w:rFonts w:ascii="Consolas" w:cs="Consolas" w:eastAsia="Consolas" w:hAnsi="Consolas"/>
          <w:color w:val="D4D4D4"/>
          <w:sz w:val="18"/>
          <w:szCs w:val="18"/>
        </w:rPr>
        <w:br/>
        <w:t xml:space="preserve">VAR Objectif = Profit2013*1.18</w:t>
      </w:r>
      <w:r>
        <w:rPr>
          <w:rFonts w:ascii="Consolas" w:cs="Consolas" w:eastAsia="Consolas" w:hAnsi="Consolas"/>
          <w:color w:val="D4D4D4"/>
          <w:sz w:val="18"/>
          <w:szCs w:val="18"/>
        </w:rPr>
        <w:br/>
        <w:t xml:space="preserve">RETURN</w:t>
      </w:r>
      <w:r>
        <w:rPr>
          <w:rFonts w:ascii="Consolas" w:cs="Consolas" w:eastAsia="Consolas" w:hAnsi="Consolas"/>
          <w:color w:val="D4D4D4"/>
          <w:sz w:val="18"/>
          <w:szCs w:val="18"/>
        </w:rPr>
        <w:br/>
        <w:t xml:space="preserve">FORMAT(DIVIDE(ProfitReel2014-Objectif,Objectif,0),"+0.0%;-0.0%") &amp; " vs Objectif"</w:t>
      </w:r>
    </w:p>
    <w:p>
      <w:pPr>
        <w:pBdr>
          <w:left w:val="single" w:color="C00000" w:sz="24" w:space="8"/>
        </w:pBdr>
        <w:shd w:fill="FCE4E4" w:val="clear"/>
        <w:spacing w:after="150" w:before="50"/>
        <w:ind w:left="200"/>
      </w:pPr>
      <w:r>
        <w:rPr>
          <w:b/>
          <w:bCs/>
          <w:color w:val="C00000"/>
        </w:rPr>
        <w:t xml:space="preserve">✘ BUG CONFIRMÉ — </w:t>
      </w:r>
      <w:r>
        <w:t xml:space="preserve">Les deux valeurs de profit sont des constantes numériques écrites en dur, au lieu d'être calculées. Cette mesure ne se recalculera JAMAIS si les données changent (actualisation, filtre Pays/Segment/Produit) : elle renverra toujours le même texte, quel que soit le contexte du visuel. Or les mesures [Profit Reel 2013] et [Objectif Profit 2014] existent déjà dans ton modèle et calculent précisément ces deux valeurs dynamiquement.</w:t>
      </w:r>
    </w:p>
    <w:p>
      <w:pPr>
        <w:pBdr>
          <w:top w:val="single" w:color="444444" w:sz="4"/>
          <w:bottom w:val="single" w:color="444444" w:sz="4"/>
          <w:left w:val="single" w:color="444444" w:sz="4"/>
          <w:right w:val="single" w:color="444444" w:sz="4"/>
        </w:pBdr>
        <w:shd w:fill="1E1E1E" w:val="clear"/>
        <w:spacing w:after="200" w:before="50"/>
        <w:ind w:left="200" w:right="200"/>
      </w:pPr>
      <w:r>
        <w:rPr>
          <w:rFonts w:ascii="Consolas" w:cs="Consolas" w:eastAsia="Consolas" w:hAnsi="Consolas"/>
          <w:color w:val="D4D4D4"/>
          <w:sz w:val="18"/>
          <w:szCs w:val="18"/>
        </w:rPr>
        <w:t xml:space="preserve">Ecart Profit vs Objectif =</w:t>
      </w:r>
      <w:r>
        <w:rPr>
          <w:rFonts w:ascii="Consolas" w:cs="Consolas" w:eastAsia="Consolas" w:hAnsi="Consolas"/>
          <w:color w:val="D4D4D4"/>
          <w:sz w:val="18"/>
          <w:szCs w:val="18"/>
        </w:rPr>
        <w:br/>
        <w:t xml:space="preserve">VAR ProfitReel2014 = CALCULATE([Total de  Vente]-[Depenses cumulees],FILTER(ALL(financials),YEAR(financials[Date])=2014))</w:t>
      </w:r>
      <w:r>
        <w:rPr>
          <w:rFonts w:ascii="Consolas" w:cs="Consolas" w:eastAsia="Consolas" w:hAnsi="Consolas"/>
          <w:color w:val="D4D4D4"/>
          <w:sz w:val="18"/>
          <w:szCs w:val="18"/>
        </w:rPr>
        <w:br/>
        <w:t xml:space="preserve">VAR Objectif = [Objectif Profit 2014]</w:t>
      </w:r>
      <w:r>
        <w:rPr>
          <w:rFonts w:ascii="Consolas" w:cs="Consolas" w:eastAsia="Consolas" w:hAnsi="Consolas"/>
          <w:color w:val="D4D4D4"/>
          <w:sz w:val="18"/>
          <w:szCs w:val="18"/>
        </w:rPr>
        <w:br/>
        <w:t xml:space="preserve">RETURN</w:t>
      </w:r>
      <w:r>
        <w:rPr>
          <w:rFonts w:ascii="Consolas" w:cs="Consolas" w:eastAsia="Consolas" w:hAnsi="Consolas"/>
          <w:color w:val="D4D4D4"/>
          <w:sz w:val="18"/>
          <w:szCs w:val="18"/>
        </w:rPr>
        <w:br/>
        <w:t xml:space="preserve">FORMAT(DIVIDE(ProfitReel2014-Objectif,Objectif,0),"+0.0%;-0.0%") &amp; " vs Objectif"</w:t>
      </w:r>
    </w:p>
    <w:p>
      <w:pPr>
        <w:pStyle w:val="Heading3"/>
        <w:spacing w:after="100" w:before="200"/>
      </w:pPr>
      <w:r>
        <w:t xml:space="preserve">2.2 « Panier Moyen » — division non protégée</w:t>
      </w:r>
    </w:p>
    <w:p>
      <w:pPr>
        <w:pBdr>
          <w:top w:val="single" w:color="444444" w:sz="4"/>
          <w:bottom w:val="single" w:color="444444" w:sz="4"/>
          <w:left w:val="single" w:color="444444" w:sz="4"/>
          <w:right w:val="single" w:color="444444" w:sz="4"/>
        </w:pBdr>
        <w:shd w:fill="1E1E1E" w:val="clear"/>
        <w:spacing w:after="200" w:before="50"/>
        <w:ind w:left="200" w:right="200"/>
      </w:pPr>
      <w:r>
        <w:rPr>
          <w:rFonts w:ascii="Consolas" w:cs="Consolas" w:eastAsia="Consolas" w:hAnsi="Consolas"/>
          <w:color w:val="D4D4D4"/>
          <w:sz w:val="18"/>
          <w:szCs w:val="18"/>
        </w:rPr>
        <w:t xml:space="preserve">Panier Moyen = [Total de  Vente]/[Total d articles vendus]</w:t>
      </w:r>
    </w:p>
    <w:p>
      <w:pPr>
        <w:pBdr>
          <w:left w:val="single" w:color="C00000" w:sz="24" w:space="8"/>
        </w:pBdr>
        <w:shd w:fill="FCE4E4" w:val="clear"/>
        <w:spacing w:after="150" w:before="50"/>
        <w:ind w:left="200"/>
      </w:pPr>
      <w:r>
        <w:rPr>
          <w:b/>
          <w:bCs/>
          <w:color w:val="C00000"/>
        </w:rPr>
        <w:t xml:space="preserve">✘ BUG CONFIRMÉ — </w:t>
      </w:r>
      <w:r>
        <w:t xml:space="preserve">C'est la seule mesure de tout le modèle qui utilise l'opérateur "/" au lieu de DIVIDE(). Microsoft Learn recommande explicitement DIVIDE dès que le dénominateur est une expression qui peut valoir zéro ou BLANK — c'est justement le cas ici (un filtre croisé Segment/Pays/Produit sans aucune unité vendue). Si ce cas se présente, la division brute renvoie une erreur DAX qui casse l'ensemble du visuel, alors que DIVIDE renverrait proprement BLANK.</w:t>
      </w:r>
    </w:p>
    <w:p>
      <w:pPr>
        <w:pBdr>
          <w:top w:val="single" w:color="444444" w:sz="4"/>
          <w:bottom w:val="single" w:color="444444" w:sz="4"/>
          <w:left w:val="single" w:color="444444" w:sz="4"/>
          <w:right w:val="single" w:color="444444" w:sz="4"/>
        </w:pBdr>
        <w:shd w:fill="1E1E1E" w:val="clear"/>
        <w:spacing w:after="200" w:before="50"/>
        <w:ind w:left="200" w:right="200"/>
      </w:pPr>
      <w:r>
        <w:rPr>
          <w:rFonts w:ascii="Consolas" w:cs="Consolas" w:eastAsia="Consolas" w:hAnsi="Consolas"/>
          <w:color w:val="D4D4D4"/>
          <w:sz w:val="18"/>
          <w:szCs w:val="18"/>
        </w:rPr>
        <w:t xml:space="preserve">Panier Moyen = DIVIDE([Total de  Vente],[Total d articles vendus],0)</w:t>
      </w:r>
    </w:p>
    <w:p>
      <w:pPr>
        <w:pStyle w:val="Heading3"/>
        <w:spacing w:after="100" w:before="200"/>
      </w:pPr>
      <w:r>
        <w:t xml:space="preserve">2.3 « Couleur Barre du Leader » — code couleur invalide</w:t>
      </w:r>
    </w:p>
    <w:p>
      <w:pPr>
        <w:pBdr>
          <w:top w:val="single" w:color="444444" w:sz="4"/>
          <w:bottom w:val="single" w:color="444444" w:sz="4"/>
          <w:left w:val="single" w:color="444444" w:sz="4"/>
          <w:right w:val="single" w:color="444444" w:sz="4"/>
        </w:pBdr>
        <w:shd w:fill="1E1E1E" w:val="clear"/>
        <w:spacing w:after="200" w:before="50"/>
        <w:ind w:left="200" w:right="200"/>
      </w:pPr>
      <w:r>
        <w:rPr>
          <w:rFonts w:ascii="Consolas" w:cs="Consolas" w:eastAsia="Consolas" w:hAnsi="Consolas"/>
          <w:color w:val="D4D4D4"/>
          <w:sz w:val="18"/>
          <w:szCs w:val="18"/>
        </w:rPr>
        <w:t xml:space="preserve">SWITCH(TRUE(),IFLeader, "#004080", IFTop3, "#FFB8000", "#D3D3D3")</w:t>
      </w:r>
    </w:p>
    <w:p>
      <w:pPr>
        <w:pBdr>
          <w:left w:val="single" w:color="C00000" w:sz="24" w:space="8"/>
        </w:pBdr>
        <w:shd w:fill="FCE4E4" w:val="clear"/>
        <w:spacing w:after="150" w:before="50"/>
        <w:ind w:left="200"/>
      </w:pPr>
      <w:r>
        <w:rPr>
          <w:b/>
          <w:bCs/>
          <w:color w:val="C00000"/>
        </w:rPr>
        <w:t xml:space="preserve">✘ BUG CONFIRMÉ — </w:t>
      </w:r>
      <w:r>
        <w:t xml:space="preserve">"#FFB8000" comporte 7 caractères après le #, ce qui n'est ni un format hexadécimal RGB valide (6 caractères) ni un format ARGB valide (8 caractères). Un code couleur mal formé dans une mesure de mise en forme conditionnelle est ignoré ou produit un rendu par défaut imprévisible plutôt que la couleur ambre souhaitée pour le Top 3. Corrige en "#FFB800" (orange ambre, 6 caractères).</w:t>
      </w:r>
    </w:p>
    <w:p>
      <w:pPr>
        <w:pStyle w:val="Heading3"/>
        <w:spacing w:after="100" w:before="200"/>
      </w:pPr>
      <w:r>
        <w:t xml:space="preserve">2.4 « Titre Dynamique Meilleur Segment » — format numérique invalide</w:t>
      </w:r>
    </w:p>
    <w:p>
      <w:pPr>
        <w:pBdr>
          <w:top w:val="single" w:color="444444" w:sz="4"/>
          <w:bottom w:val="single" w:color="444444" w:sz="4"/>
          <w:left w:val="single" w:color="444444" w:sz="4"/>
          <w:right w:val="single" w:color="444444" w:sz="4"/>
        </w:pBdr>
        <w:shd w:fill="1E1E1E" w:val="clear"/>
        <w:spacing w:after="200" w:before="50"/>
        <w:ind w:left="200" w:right="200"/>
      </w:pPr>
      <w:r>
        <w:rPr>
          <w:rFonts w:ascii="Consolas" w:cs="Consolas" w:eastAsia="Consolas" w:hAnsi="Consolas"/>
          <w:color w:val="D4D4D4"/>
          <w:sz w:val="18"/>
          <w:szCs w:val="18"/>
        </w:rPr>
        <w:t xml:space="preserve">VAR ValeurCA = FORMAT([Total de  Vente], "#,##OM") --Optionnel : pour ajouter le montant</w:t>
      </w:r>
    </w:p>
    <w:p>
      <w:pPr>
        <w:pBdr>
          <w:left w:val="single" w:color="C00000" w:sz="24" w:space="8"/>
        </w:pBdr>
        <w:shd w:fill="FCE4E4" w:val="clear"/>
        <w:spacing w:after="150" w:before="50"/>
        <w:ind w:left="200"/>
      </w:pPr>
      <w:r>
        <w:rPr>
          <w:b/>
          <w:bCs/>
          <w:color w:val="C00000"/>
        </w:rPr>
        <w:t xml:space="preserve">✘ BUG CONFIRMÉ — </w:t>
      </w:r>
      <w:r>
        <w:t xml:space="preserve">"#,##OM" utilise la lettre O au lieu du chiffre 0. Les codes de format DAX/Excel utilisent exclusivement le chiffre 0 comme espace réservé de chiffre obligatoire — la lettre O n'a aucune signification dans la syntaxe FORMAT et produira un résultat imprévisible (souvent le caractère "O" littéral collé au nombre). De plus, pour afficher un montant en millions avec suffixe "M", la syntaxe DAX correcte utilise une virgule d'échelle : "#,##0,,M" (les deux virgules après le 0 divisent l'affichage par un million).</w:t>
      </w:r>
    </w:p>
    <w:p>
      <w:pPr>
        <w:pBdr>
          <w:top w:val="single" w:color="444444" w:sz="4"/>
          <w:bottom w:val="single" w:color="444444" w:sz="4"/>
          <w:left w:val="single" w:color="444444" w:sz="4"/>
          <w:right w:val="single" w:color="444444" w:sz="4"/>
        </w:pBdr>
        <w:shd w:fill="1E1E1E" w:val="clear"/>
        <w:spacing w:after="200" w:before="50"/>
        <w:ind w:left="200" w:right="200"/>
      </w:pPr>
      <w:r>
        <w:rPr>
          <w:rFonts w:ascii="Consolas" w:cs="Consolas" w:eastAsia="Consolas" w:hAnsi="Consolas"/>
          <w:color w:val="D4D4D4"/>
          <w:sz w:val="18"/>
          <w:szCs w:val="18"/>
        </w:rPr>
        <w:t xml:space="preserve">VAR ValeurCA = FORMAT([Total de  Vente], "#,##0,,M")</w:t>
      </w:r>
    </w:p>
    <w:p>
      <w:pPr>
        <w:pStyle w:val="Heading3"/>
        <w:spacing w:after="100" w:before="200"/>
      </w:pPr>
      <w:r>
        <w:t xml:space="preserve">2.5 « Titre Graphique » — texte entièrement figé</w:t>
      </w:r>
    </w:p>
    <w:p>
      <w:pPr>
        <w:pBdr>
          <w:top w:val="single" w:color="444444" w:sz="4"/>
          <w:bottom w:val="single" w:color="444444" w:sz="4"/>
          <w:left w:val="single" w:color="444444" w:sz="4"/>
          <w:right w:val="single" w:color="444444" w:sz="4"/>
        </w:pBdr>
        <w:shd w:fill="1E1E1E" w:val="clear"/>
        <w:spacing w:after="200" w:before="50"/>
        <w:ind w:left="200" w:right="200"/>
      </w:pPr>
      <w:r>
        <w:rPr>
          <w:rFonts w:ascii="Consolas" w:cs="Consolas" w:eastAsia="Consolas" w:hAnsi="Consolas"/>
          <w:color w:val="D4D4D4"/>
          <w:sz w:val="18"/>
          <w:szCs w:val="18"/>
        </w:rPr>
        <w:t xml:space="preserve">Titre Graphique = "CA Total (+253%) vs Performance Annuelle Corrigee (+18%) de 2013-2014"</w:t>
      </w:r>
    </w:p>
    <w:p>
      <w:pPr>
        <w:pBdr>
          <w:left w:val="single" w:color="C00000" w:sz="24" w:space="8"/>
        </w:pBdr>
        <w:shd w:fill="FCE4E4" w:val="clear"/>
        <w:spacing w:after="150" w:before="50"/>
        <w:ind w:left="200"/>
      </w:pPr>
      <w:r>
        <w:rPr>
          <w:b/>
          <w:bCs/>
          <w:color w:val="C00000"/>
        </w:rPr>
        <w:t xml:space="preserve">✘ BUG CONFIRMÉ — </w:t>
      </w:r>
      <w:r>
        <w:t xml:space="preserve">Ce n'est pas une mesure dynamique : c'est une chaîne de caractères fixe contenant des pourcentages calculés une fois puis recopiés à la main. Si les données changent (nouvelle actualisation, filtre appliqué), ce titre continuera d'afficher "+253 %" même si ce n'est plus vrai. Une fois [Taux de croissance] corrigé (section 1.1), ce titre peut être reconstruit dynamiquement :</w:t>
      </w:r>
    </w:p>
    <w:p>
      <w:pPr>
        <w:pBdr>
          <w:top w:val="single" w:color="444444" w:sz="4"/>
          <w:bottom w:val="single" w:color="444444" w:sz="4"/>
          <w:left w:val="single" w:color="444444" w:sz="4"/>
          <w:right w:val="single" w:color="444444" w:sz="4"/>
        </w:pBdr>
        <w:shd w:fill="1E1E1E" w:val="clear"/>
        <w:spacing w:after="200" w:before="50"/>
        <w:ind w:left="200" w:right="200"/>
      </w:pPr>
      <w:r>
        <w:rPr>
          <w:rFonts w:ascii="Consolas" w:cs="Consolas" w:eastAsia="Consolas" w:hAnsi="Consolas"/>
          <w:color w:val="D4D4D4"/>
          <w:sz w:val="18"/>
          <w:szCs w:val="18"/>
        </w:rPr>
        <w:t xml:space="preserve">Titre Graphique =</w:t>
      </w:r>
      <w:r>
        <w:rPr>
          <w:rFonts w:ascii="Consolas" w:cs="Consolas" w:eastAsia="Consolas" w:hAnsi="Consolas"/>
          <w:color w:val="D4D4D4"/>
          <w:sz w:val="18"/>
          <w:szCs w:val="18"/>
        </w:rPr>
        <w:br/>
        <w:t xml:space="preserve">"CA Total (" &amp; FORMAT([Taux de croissance],"+0%;-0%") &amp; ") vs Objectif (+18%) de 2013-2014"</w:t>
      </w:r>
    </w:p>
    <w:p>
      <w:pPr>
        <w:pStyle w:val="Heading3"/>
        <w:spacing w:after="100" w:before="200"/>
      </w:pPr>
      <w:r>
        <w:t xml:space="preserve">2.6 « Valeur % Augmentation Couts » — valeur de repli en texte</w:t>
      </w:r>
    </w:p>
    <w:p>
      <w:pPr>
        <w:pBdr>
          <w:top w:val="single" w:color="444444" w:sz="4"/>
          <w:bottom w:val="single" w:color="444444" w:sz="4"/>
          <w:left w:val="single" w:color="444444" w:sz="4"/>
          <w:right w:val="single" w:color="444444" w:sz="4"/>
        </w:pBdr>
        <w:shd w:fill="1E1E1E" w:val="clear"/>
        <w:spacing w:after="200" w:before="50"/>
        <w:ind w:left="200" w:right="200"/>
      </w:pPr>
      <w:r>
        <w:rPr>
          <w:rFonts w:ascii="Consolas" w:cs="Consolas" w:eastAsia="Consolas" w:hAnsi="Consolas"/>
          <w:color w:val="D4D4D4"/>
          <w:sz w:val="18"/>
          <w:szCs w:val="18"/>
        </w:rPr>
        <w:t xml:space="preserve">Valeur % Augmentation Couts = SELECTEDVALUE('% Augmentation Couts'[% Augmentation Couts], "0.05")</w:t>
      </w:r>
    </w:p>
    <w:p>
      <w:pPr>
        <w:pBdr>
          <w:left w:val="single" w:color="C00000" w:sz="24" w:space="8"/>
        </w:pBdr>
        <w:shd w:fill="FCE4E4" w:val="clear"/>
        <w:spacing w:after="150" w:before="50"/>
        <w:ind w:left="200"/>
      </w:pPr>
      <w:r>
        <w:rPr>
          <w:b/>
          <w:bCs/>
          <w:color w:val="C00000"/>
        </w:rPr>
        <w:t xml:space="preserve">✘ BUG CONFIRMÉ — </w:t>
      </w:r>
      <w:r>
        <w:t xml:space="preserve">La valeur de repli est écrite entre guillemets ("0.05"), donc en tant que texte, alors que la colonne source et tous les usages en aval (Impact sur le Profit, Prix usine dynamique, Titre Dynamique) sont numériques. DAX effectue en général une conversion implicite texte→nombre dans un contexte arithmétique, mais c'est une pratique fragile qui peut échouer selon les paramètres régionaux (séparateur décimal point vs virgule). Corrige en valeur numérique native :</w:t>
      </w:r>
    </w:p>
    <w:p>
      <w:pPr>
        <w:pBdr>
          <w:top w:val="single" w:color="444444" w:sz="4"/>
          <w:bottom w:val="single" w:color="444444" w:sz="4"/>
          <w:left w:val="single" w:color="444444" w:sz="4"/>
          <w:right w:val="single" w:color="444444" w:sz="4"/>
        </w:pBdr>
        <w:shd w:fill="1E1E1E" w:val="clear"/>
        <w:spacing w:after="200" w:before="50"/>
        <w:ind w:left="200" w:right="200"/>
      </w:pPr>
      <w:r>
        <w:rPr>
          <w:rFonts w:ascii="Consolas" w:cs="Consolas" w:eastAsia="Consolas" w:hAnsi="Consolas"/>
          <w:color w:val="D4D4D4"/>
          <w:sz w:val="18"/>
          <w:szCs w:val="18"/>
        </w:rPr>
        <w:t xml:space="preserve">Valeur % Augmentation Couts = SELECTEDVALUE('% Augmentation Couts'[% Augmentation Couts], 0.05)</w:t>
      </w:r>
    </w:p>
    <w:p>
      <w:pPr>
        <w:pStyle w:val="Heading3"/>
        <w:spacing w:after="100" w:before="200"/>
      </w:pPr>
      <w:r>
        <w:t xml:space="preserve">2.7 « Couleur Cash Flow » — comparaison d'échelles incohérentes</w:t>
      </w:r>
    </w:p>
    <w:p>
      <w:pPr>
        <w:pBdr>
          <w:top w:val="single" w:color="444444" w:sz="4"/>
          <w:bottom w:val="single" w:color="444444" w:sz="4"/>
          <w:left w:val="single" w:color="444444" w:sz="4"/>
          <w:right w:val="single" w:color="444444" w:sz="4"/>
        </w:pBdr>
        <w:shd w:fill="1E1E1E" w:val="clear"/>
        <w:spacing w:after="200" w:before="50"/>
        <w:ind w:left="200" w:right="200"/>
      </w:pPr>
      <w:r>
        <w:rPr>
          <w:rFonts w:ascii="Consolas" w:cs="Consolas" w:eastAsia="Consolas" w:hAnsi="Consolas"/>
          <w:color w:val="D4D4D4"/>
          <w:sz w:val="18"/>
          <w:szCs w:val="18"/>
        </w:rPr>
        <w:t xml:space="preserve">SWITCH(TRUE(),[Cash Flow Moyen Brut Mensuel]&lt;0,"#FF0000",[Cash Flow Moyen Brut Mensuel]&lt;[Objectif Vente Mensuel],"#FFA500","#00B050")</w:t>
      </w:r>
    </w:p>
    <w:p>
      <w:pPr>
        <w:pBdr>
          <w:left w:val="single" w:color="C00000" w:sz="24" w:space="8"/>
        </w:pBdr>
        <w:shd w:fill="FCE4E4" w:val="clear"/>
        <w:spacing w:after="150" w:before="50"/>
        <w:ind w:left="200"/>
      </w:pPr>
      <w:r>
        <w:rPr>
          <w:b/>
          <w:bCs/>
          <w:color w:val="C00000"/>
        </w:rPr>
        <w:t xml:space="preserve">✘ BUG CONFIRMÉ (logique métier) — </w:t>
      </w:r>
      <w:r>
        <w:t xml:space="preserve">Le cash-flow mensuel (basé sur le profit, donc toujours inférieur au chiffre d'affaires) est comparé à [Objectif Vente Mensuel], qui est un objectif de CHIFFRE D'AFFAIRES, structurellement bien plus élevé. Résultat : la branche orange ("en dessous de l'objectif") sera presque toujours vraie dès que le cash-flow est positif, et la branche verte ("#00B050", objectif atteint) ne se déclenchera quasiment jamais — le code couleur perd toute utilité de pilotage. Compare plutôt à un objectif de même nature :</w:t>
      </w:r>
    </w:p>
    <w:p>
      <w:pPr>
        <w:pBdr>
          <w:top w:val="single" w:color="444444" w:sz="4"/>
          <w:bottom w:val="single" w:color="444444" w:sz="4"/>
          <w:left w:val="single" w:color="444444" w:sz="4"/>
          <w:right w:val="single" w:color="444444" w:sz="4"/>
        </w:pBdr>
        <w:shd w:fill="1E1E1E" w:val="clear"/>
        <w:spacing w:after="200" w:before="50"/>
        <w:ind w:left="200" w:right="200"/>
      </w:pPr>
      <w:r>
        <w:rPr>
          <w:rFonts w:ascii="Consolas" w:cs="Consolas" w:eastAsia="Consolas" w:hAnsi="Consolas"/>
          <w:color w:val="D4D4D4"/>
          <w:sz w:val="18"/>
          <w:szCs w:val="18"/>
        </w:rPr>
        <w:t xml:space="preserve">SWITCH(TRUE(),[Cash Flow Moyen Brut Mensuel]&lt;0,"#FF0000",[Cash Flow Moyen Brut Mensuel]&lt;[Objectif Profit mensuel],"#FFA500","#00B050")</w:t>
      </w:r>
    </w:p>
    <w:p>
      <w:pPr>
        <w:pStyle w:val="Heading3"/>
        <w:spacing w:after="100" w:before="200"/>
      </w:pPr>
      <w:r>
        <w:t xml:space="preserve">2.8 « Marge de securite moyenne mensuelle » et « Marge de securité » — logique inversée</w:t>
      </w:r>
    </w:p>
    <w:p>
      <w:pPr>
        <w:pBdr>
          <w:top w:val="single" w:color="444444" w:sz="4"/>
          <w:bottom w:val="single" w:color="444444" w:sz="4"/>
          <w:left w:val="single" w:color="444444" w:sz="4"/>
          <w:right w:val="single" w:color="444444" w:sz="4"/>
        </w:pBdr>
        <w:shd w:fill="1E1E1E" w:val="clear"/>
        <w:spacing w:after="200" w:before="50"/>
        <w:ind w:left="200" w:right="200"/>
      </w:pPr>
      <w:r>
        <w:rPr>
          <w:rFonts w:ascii="Consolas" w:cs="Consolas" w:eastAsia="Consolas" w:hAnsi="Consolas"/>
          <w:color w:val="D4D4D4"/>
          <w:sz w:val="18"/>
          <w:szCs w:val="18"/>
        </w:rPr>
        <w:t xml:space="preserve">Marge de securite moyenne mensuelle = [Dépenses moyennes mensuelles]-[Performance moyenne vente]</w:t>
      </w:r>
      <w:r>
        <w:rPr>
          <w:rFonts w:ascii="Consolas" w:cs="Consolas" w:eastAsia="Consolas" w:hAnsi="Consolas"/>
          <w:color w:val="D4D4D4"/>
          <w:sz w:val="18"/>
          <w:szCs w:val="18"/>
        </w:rPr>
        <w:br/>
        <w:t xml:space="preserve"> </w:t>
      </w:r>
      <w:r>
        <w:rPr>
          <w:rFonts w:ascii="Consolas" w:cs="Consolas" w:eastAsia="Consolas" w:hAnsi="Consolas"/>
          <w:color w:val="D4D4D4"/>
          <w:sz w:val="18"/>
          <w:szCs w:val="18"/>
        </w:rPr>
        <w:br/>
        <w:t xml:space="preserve">Marge de securité =</w:t>
      </w:r>
      <w:r>
        <w:rPr>
          <w:rFonts w:ascii="Consolas" w:cs="Consolas" w:eastAsia="Consolas" w:hAnsi="Consolas"/>
          <w:color w:val="D4D4D4"/>
          <w:sz w:val="18"/>
          <w:szCs w:val="18"/>
        </w:rPr>
        <w:br/>
        <w:t xml:space="preserve">VAR VentesReelles = SUM(financials[Ventes])</w:t>
      </w:r>
      <w:r>
        <w:rPr>
          <w:rFonts w:ascii="Consolas" w:cs="Consolas" w:eastAsia="Consolas" w:hAnsi="Consolas"/>
          <w:color w:val="D4D4D4"/>
          <w:sz w:val="18"/>
          <w:szCs w:val="18"/>
        </w:rPr>
        <w:br/>
        <w:t xml:space="preserve">VAR SeuilRentabilite = [Marge de securite moyenne mensuelle]</w:t>
      </w:r>
      <w:r>
        <w:rPr>
          <w:rFonts w:ascii="Consolas" w:cs="Consolas" w:eastAsia="Consolas" w:hAnsi="Consolas"/>
          <w:color w:val="D4D4D4"/>
          <w:sz w:val="18"/>
          <w:szCs w:val="18"/>
        </w:rPr>
        <w:br/>
        <w:t xml:space="preserve">RETURN</w:t>
      </w:r>
      <w:r>
        <w:rPr>
          <w:rFonts w:ascii="Consolas" w:cs="Consolas" w:eastAsia="Consolas" w:hAnsi="Consolas"/>
          <w:color w:val="D4D4D4"/>
          <w:sz w:val="18"/>
          <w:szCs w:val="18"/>
        </w:rPr>
        <w:br/>
        <w:t xml:space="preserve">DIVIDE(VentesReelles-SeuilRentabilite,VentesReelles,0)</w:t>
      </w:r>
    </w:p>
    <w:p>
      <w:pPr>
        <w:pBdr>
          <w:left w:val="single" w:color="C00000" w:sz="24" w:space="8"/>
        </w:pBdr>
        <w:shd w:fill="FCE4E4" w:val="clear"/>
        <w:spacing w:after="150" w:before="50"/>
        <w:ind w:left="200"/>
      </w:pPr>
      <w:r>
        <w:rPr>
          <w:b/>
          <w:bCs/>
          <w:color w:val="C00000"/>
        </w:rPr>
        <w:t xml:space="preserve">✘ BUG CONFIRMÉ (logique métier) — </w:t>
      </w:r>
      <w:r>
        <w:t xml:space="preserve">La définition standard d'une marge de sécurité ("margin of safety") est : (Ventes réelles − Ventes au seuil de rentabilité) ÷ Ventes réelles — et ton modèle possède déjà la bonne mesure de seuil, [Seuil de rentabilite annuel], construite avec la formule standard (coûts fixes ÷ taux de marge). Ici, "Marge de securite moyenne mensuelle" fait l'inverse : Dépenses − Ventes, ce qui donne un nombre NÉGATIF pour une activité rentable (dépenses &lt; ventes). Injecté ensuite dans "Marge de securité" comme s'il s'agissait d'un seuil de rentabilité positif, le calcul VentesReelles − SeuilRentabilite devient en réalité VentesReelles + (Ventes−Dépenses), ce qui gonfle artificiellement le pourcentage plutôt que de mesurer une vraie marge de sécurité.</w:t>
      </w:r>
    </w:p>
    <w:p>
      <w:pPr>
        <w:pBdr>
          <w:top w:val="single" w:color="444444" w:sz="4"/>
          <w:bottom w:val="single" w:color="444444" w:sz="4"/>
          <w:left w:val="single" w:color="444444" w:sz="4"/>
          <w:right w:val="single" w:color="444444" w:sz="4"/>
        </w:pBdr>
        <w:shd w:fill="1E1E1E" w:val="clear"/>
        <w:spacing w:after="200" w:before="50"/>
        <w:ind w:left="200" w:right="200"/>
      </w:pPr>
      <w:r>
        <w:rPr>
          <w:rFonts w:ascii="Consolas" w:cs="Consolas" w:eastAsia="Consolas" w:hAnsi="Consolas"/>
          <w:color w:val="D4D4D4"/>
          <w:sz w:val="18"/>
          <w:szCs w:val="18"/>
        </w:rPr>
        <w:t xml:space="preserve">Marge de securité =</w:t>
      </w:r>
      <w:r>
        <w:rPr>
          <w:rFonts w:ascii="Consolas" w:cs="Consolas" w:eastAsia="Consolas" w:hAnsi="Consolas"/>
          <w:color w:val="D4D4D4"/>
          <w:sz w:val="18"/>
          <w:szCs w:val="18"/>
        </w:rPr>
        <w:br/>
        <w:t xml:space="preserve">DIVIDE(</w:t>
      </w:r>
      <w:r>
        <w:rPr>
          <w:rFonts w:ascii="Consolas" w:cs="Consolas" w:eastAsia="Consolas" w:hAnsi="Consolas"/>
          <w:color w:val="D4D4D4"/>
          <w:sz w:val="18"/>
          <w:szCs w:val="18"/>
        </w:rPr>
        <w:br/>
        <w:t xml:space="preserve">    SUM(financials[Ventes]) - [Seuil de rentabilite annuel],</w:t>
      </w:r>
      <w:r>
        <w:rPr>
          <w:rFonts w:ascii="Consolas" w:cs="Consolas" w:eastAsia="Consolas" w:hAnsi="Consolas"/>
          <w:color w:val="D4D4D4"/>
          <w:sz w:val="18"/>
          <w:szCs w:val="18"/>
        </w:rPr>
        <w:br/>
        <w:t xml:space="preserve">    SUM(financials[Ventes]),</w:t>
      </w:r>
      <w:r>
        <w:rPr>
          <w:rFonts w:ascii="Consolas" w:cs="Consolas" w:eastAsia="Consolas" w:hAnsi="Consolas"/>
          <w:color w:val="D4D4D4"/>
          <w:sz w:val="18"/>
          <w:szCs w:val="18"/>
        </w:rPr>
        <w:br/>
        <w:t xml:space="preserve">    0</w:t>
      </w:r>
      <w:r>
        <w:rPr>
          <w:rFonts w:ascii="Consolas" w:cs="Consolas" w:eastAsia="Consolas" w:hAnsi="Consolas"/>
          <w:color w:val="D4D4D4"/>
          <w:sz w:val="18"/>
          <w:szCs w:val="18"/>
        </w:rPr>
        <w:br/>
        <w:t xml:space="preserve">)</w:t>
      </w:r>
    </w:p>
    <w:p>
      <w:pPr>
        <w:pStyle w:val="Heading3"/>
        <w:spacing w:after="100" w:before="200"/>
      </w:pPr>
      <w:r>
        <w:t xml:space="preserve">2.9 « Profit Cumule » / « Depenses cumulees » — ne sont pas des cumuls</w:t>
      </w:r>
    </w:p>
    <w:p>
      <w:pPr>
        <w:pBdr>
          <w:top w:val="single" w:color="444444" w:sz="4"/>
          <w:bottom w:val="single" w:color="444444" w:sz="4"/>
          <w:left w:val="single" w:color="444444" w:sz="4"/>
          <w:right w:val="single" w:color="444444" w:sz="4"/>
        </w:pBdr>
        <w:shd w:fill="1E1E1E" w:val="clear"/>
        <w:spacing w:after="200" w:before="50"/>
        <w:ind w:left="200" w:right="200"/>
      </w:pPr>
      <w:r>
        <w:rPr>
          <w:rFonts w:ascii="Consolas" w:cs="Consolas" w:eastAsia="Consolas" w:hAnsi="Consolas"/>
          <w:color w:val="D4D4D4"/>
          <w:sz w:val="18"/>
          <w:szCs w:val="18"/>
        </w:rPr>
        <w:t xml:space="preserve">Profit Cumule = SUM(financials[Profit])</w:t>
      </w:r>
      <w:r>
        <w:rPr>
          <w:rFonts w:ascii="Consolas" w:cs="Consolas" w:eastAsia="Consolas" w:hAnsi="Consolas"/>
          <w:color w:val="D4D4D4"/>
          <w:sz w:val="18"/>
          <w:szCs w:val="18"/>
        </w:rPr>
        <w:br/>
        <w:t xml:space="preserve">Depenses cumulees = SUM(financials[COGS])+SUM(financials[Remise])</w:t>
      </w:r>
    </w:p>
    <w:p>
      <w:pPr>
        <w:pBdr>
          <w:left w:val="single" w:color="C00000" w:sz="24" w:space="8"/>
        </w:pBdr>
        <w:shd w:fill="FCE4E4" w:val="clear"/>
        <w:spacing w:after="150" w:before="50"/>
        <w:ind w:left="200"/>
      </w:pPr>
      <w:r>
        <w:rPr>
          <w:b/>
          <w:bCs/>
          <w:color w:val="C00000"/>
        </w:rPr>
        <w:t xml:space="preserve">✘ BUG CONFIRMÉ (incohérence de nommage et de logique) — </w:t>
      </w:r>
      <w:r>
        <w:t xml:space="preserve">Contrairement à [Ventes Cumulees] (voir 2.10), qui utilise réellement TOTALYTD pour accumuler dans le temps, ces deux mesures ne font qu'additionner le contexte de filtre courant — ce ne sont PAS des cumuls. Le problème n'est pas seulement sémantique : la mesure [Mois de rentabilité] compare directement [Ventes Cumulees] (vrai cumul YTD) à [Depenses cumulees] (simple somme, non cumulée) pour trouver "le premier mois où les ventes cumulées dépassent les dépenses cumulées" — cette comparaison n'a de sens que si les deux côtés sont calculés sur la même base temporelle. En l'état, la comparaison est structurellement faussée dès le deuxième mois de chaque année.</w:t>
      </w:r>
    </w:p>
    <w:p>
      <w:pPr>
        <w:spacing w:after="150" w:line="276"/>
      </w:pPr>
      <w:r>
        <w:t xml:space="preserve">Corrige en alignant les deux logiques (les deux vrais cumuls, sur la table Calendrier — voir aussi 2.10) :</w:t>
      </w:r>
    </w:p>
    <w:p>
      <w:pPr>
        <w:pBdr>
          <w:top w:val="single" w:color="444444" w:sz="4"/>
          <w:bottom w:val="single" w:color="444444" w:sz="4"/>
          <w:left w:val="single" w:color="444444" w:sz="4"/>
          <w:right w:val="single" w:color="444444" w:sz="4"/>
        </w:pBdr>
        <w:shd w:fill="1E1E1E" w:val="clear"/>
        <w:spacing w:after="200" w:before="50"/>
        <w:ind w:left="200" w:right="200"/>
      </w:pPr>
      <w:r>
        <w:rPr>
          <w:rFonts w:ascii="Consolas" w:cs="Consolas" w:eastAsia="Consolas" w:hAnsi="Consolas"/>
          <w:color w:val="D4D4D4"/>
          <w:sz w:val="18"/>
          <w:szCs w:val="18"/>
        </w:rPr>
        <w:t xml:space="preserve">Depenses cumulees =</w:t>
      </w:r>
      <w:r>
        <w:rPr>
          <w:rFonts w:ascii="Consolas" w:cs="Consolas" w:eastAsia="Consolas" w:hAnsi="Consolas"/>
          <w:color w:val="D4D4D4"/>
          <w:sz w:val="18"/>
          <w:szCs w:val="18"/>
        </w:rPr>
        <w:br/>
        <w:t xml:space="preserve">CALCULATE(</w:t>
      </w:r>
      <w:r>
        <w:rPr>
          <w:rFonts w:ascii="Consolas" w:cs="Consolas" w:eastAsia="Consolas" w:hAnsi="Consolas"/>
          <w:color w:val="D4D4D4"/>
          <w:sz w:val="18"/>
          <w:szCs w:val="18"/>
        </w:rPr>
        <w:br/>
        <w:t xml:space="preserve">    SUM(financials[COGS])+SUM(financials[Remise]),</w:t>
      </w:r>
      <w:r>
        <w:rPr>
          <w:rFonts w:ascii="Consolas" w:cs="Consolas" w:eastAsia="Consolas" w:hAnsi="Consolas"/>
          <w:color w:val="D4D4D4"/>
          <w:sz w:val="18"/>
          <w:szCs w:val="18"/>
        </w:rPr>
        <w:br/>
        <w:t xml:space="preserve">    FILTER(ALLSELECTED('Calendrier'), 'Calendrier'[Date] &lt;= MAX('Calendrier'[Date]))</w:t>
      </w:r>
      <w:r>
        <w:rPr>
          <w:rFonts w:ascii="Consolas" w:cs="Consolas" w:eastAsia="Consolas" w:hAnsi="Consolas"/>
          <w:color w:val="D4D4D4"/>
          <w:sz w:val="18"/>
          <w:szCs w:val="18"/>
        </w:rPr>
        <w:br/>
        <w:t xml:space="preserve">)</w:t>
      </w:r>
    </w:p>
    <w:p>
      <w:pPr>
        <w:spacing w:after="150" w:line="276"/>
      </w:pPr>
      <w:r>
        <w:t xml:space="preserve">Si l'intention de "Profit Cumule" était plutôt "profit total accumulé depuis le début de l'historique" (un solde de trésorerie, comme utilisé dans [Période de survie (Mois)]), alors le nom actuel est trompeur mais la formule reste défendable dans ce cas précis : renomme-la "Profit Total Historique" pour lever toute ambiguïté plutôt que de la corriger.</w:t>
      </w:r>
    </w:p>
    <w:p>
      <w:pPr>
        <w:pStyle w:val="Heading3"/>
        <w:spacing w:after="100" w:before="200"/>
      </w:pPr>
      <w:r>
        <w:t xml:space="preserve">2.10 « Ventes Cumulees » — TOTALYTD sur la mauvaise table de dates</w:t>
      </w:r>
    </w:p>
    <w:p>
      <w:pPr>
        <w:pBdr>
          <w:top w:val="single" w:color="444444" w:sz="4"/>
          <w:bottom w:val="single" w:color="444444" w:sz="4"/>
          <w:left w:val="single" w:color="444444" w:sz="4"/>
          <w:right w:val="single" w:color="444444" w:sz="4"/>
        </w:pBdr>
        <w:shd w:fill="1E1E1E" w:val="clear"/>
        <w:spacing w:after="200" w:before="50"/>
        <w:ind w:left="200" w:right="200"/>
      </w:pPr>
      <w:r>
        <w:rPr>
          <w:rFonts w:ascii="Consolas" w:cs="Consolas" w:eastAsia="Consolas" w:hAnsi="Consolas"/>
          <w:color w:val="D4D4D4"/>
          <w:sz w:val="18"/>
          <w:szCs w:val="18"/>
        </w:rPr>
        <w:t xml:space="preserve">Ventes Cumulees = TOTALYTD(SUM(financials[Ventes]),'financials'[Date])</w:t>
      </w:r>
    </w:p>
    <w:p>
      <w:pPr>
        <w:pBdr>
          <w:left w:val="single" w:color="BF8F00" w:sz="24" w:space="8"/>
        </w:pBdr>
        <w:shd w:fill="FFF2CC" w:val="clear"/>
        <w:spacing w:after="150" w:before="50"/>
        <w:ind w:left="200"/>
      </w:pPr>
      <w:r>
        <w:rPr>
          <w:b/>
          <w:bCs/>
          <w:color w:val="7F6000"/>
        </w:rPr>
        <w:t xml:space="preserve">⚠ À CORRIGER — bonne pratique de modélisation — </w:t>
      </w:r>
      <w:r>
        <w:t xml:space="preserve">TOTALYTD (comme toutes les fonctions de comparaison temporelle DAX) nécessite en argument la colonne de date d'une table de dates continue et marquée comme telle (Microsoft Learn). Or financials[Date] est la colonne de la table de faits elle-même : dans le Financial Sample, chaque ligne représente un agrégat mensuel (une ligne par Segment/Pays/Produit/Mois), donc cette colonne contient des dates répétées et potentiellement non continues. Ta table Calendrier (visible dans le modèle) existe précisément pour cet usage.</w:t>
      </w:r>
    </w:p>
    <w:p>
      <w:pPr>
        <w:pBdr>
          <w:top w:val="single" w:color="444444" w:sz="4"/>
          <w:bottom w:val="single" w:color="444444" w:sz="4"/>
          <w:left w:val="single" w:color="444444" w:sz="4"/>
          <w:right w:val="single" w:color="444444" w:sz="4"/>
        </w:pBdr>
        <w:shd w:fill="1E1E1E" w:val="clear"/>
        <w:spacing w:after="200" w:before="50"/>
        <w:ind w:left="200" w:right="200"/>
      </w:pPr>
      <w:r>
        <w:rPr>
          <w:rFonts w:ascii="Consolas" w:cs="Consolas" w:eastAsia="Consolas" w:hAnsi="Consolas"/>
          <w:color w:val="D4D4D4"/>
          <w:sz w:val="18"/>
          <w:szCs w:val="18"/>
        </w:rPr>
        <w:t xml:space="preserve">Ventes Cumulees = TOTALYTD(SUM(financials[Ventes]), 'Calendrier'[Date])</w:t>
      </w:r>
    </w:p>
    <w:p>
      <w:pPr>
        <w:spacing w:after="150" w:line="276"/>
      </w:pPr>
      <w:r>
        <w:t xml:space="preserve">Vérifie au passage que Calendrier est bien marquée "Table de dates" dans Power BI Desktop (voir section 3.1 du modèle) — sans ce marquage, TOTALYTD peut produire une erreur ou un résultat incorrect même en pointant sur la bonne colonne.</w:t>
      </w:r>
    </w:p>
    <w:p>
      <w:pPr>
        <w:pStyle w:val="Heading3"/>
        <w:spacing w:after="100" w:before="200"/>
      </w:pPr>
      <w:r>
        <w:t xml:space="preserve">2.11 « Objectif Profit 2013 » / « Profit Reel 2013 » — doublon exact</w:t>
      </w:r>
    </w:p>
    <w:p>
      <w:pPr>
        <w:pBdr>
          <w:top w:val="single" w:color="444444" w:sz="4"/>
          <w:bottom w:val="single" w:color="444444" w:sz="4"/>
          <w:left w:val="single" w:color="444444" w:sz="4"/>
          <w:right w:val="single" w:color="444444" w:sz="4"/>
        </w:pBdr>
        <w:shd w:fill="1E1E1E" w:val="clear"/>
        <w:spacing w:after="200" w:before="50"/>
        <w:ind w:left="200" w:right="200"/>
      </w:pPr>
      <w:r>
        <w:rPr>
          <w:rFonts w:ascii="Consolas" w:cs="Consolas" w:eastAsia="Consolas" w:hAnsi="Consolas"/>
          <w:color w:val="D4D4D4"/>
          <w:sz w:val="18"/>
          <w:szCs w:val="18"/>
        </w:rPr>
        <w:t xml:space="preserve">Objectif Profit 2013 =</w:t>
      </w:r>
      <w:r>
        <w:rPr>
          <w:rFonts w:ascii="Consolas" w:cs="Consolas" w:eastAsia="Consolas" w:hAnsi="Consolas"/>
          <w:color w:val="D4D4D4"/>
          <w:sz w:val="18"/>
          <w:szCs w:val="18"/>
        </w:rPr>
        <w:br/>
        <w:t xml:space="preserve">VAR Ventes2013 = CALCULATE([Total de  Vente],FILTER(ALL(financials),YEAR(financials[Date])=2013))</w:t>
      </w:r>
      <w:r>
        <w:rPr>
          <w:rFonts w:ascii="Consolas" w:cs="Consolas" w:eastAsia="Consolas" w:hAnsi="Consolas"/>
          <w:color w:val="D4D4D4"/>
          <w:sz w:val="18"/>
          <w:szCs w:val="18"/>
        </w:rPr>
        <w:br/>
        <w:t xml:space="preserve">VAR COGS2013 = CALCULATE([Depenses cumulees],FILTER(ALL(financials),YEAR(financials[Date])=2013))</w:t>
      </w:r>
      <w:r>
        <w:rPr>
          <w:rFonts w:ascii="Consolas" w:cs="Consolas" w:eastAsia="Consolas" w:hAnsi="Consolas"/>
          <w:color w:val="D4D4D4"/>
          <w:sz w:val="18"/>
          <w:szCs w:val="18"/>
        </w:rPr>
        <w:br/>
        <w:t xml:space="preserve">RETURN</w:t>
      </w:r>
      <w:r>
        <w:rPr>
          <w:rFonts w:ascii="Consolas" w:cs="Consolas" w:eastAsia="Consolas" w:hAnsi="Consolas"/>
          <w:color w:val="D4D4D4"/>
          <w:sz w:val="18"/>
          <w:szCs w:val="18"/>
        </w:rPr>
        <w:br/>
        <w:t xml:space="preserve">Ventes2013-COGS2013</w:t>
      </w:r>
      <w:r>
        <w:rPr>
          <w:rFonts w:ascii="Consolas" w:cs="Consolas" w:eastAsia="Consolas" w:hAnsi="Consolas"/>
          <w:color w:val="D4D4D4"/>
          <w:sz w:val="18"/>
          <w:szCs w:val="18"/>
        </w:rPr>
        <w:br/>
        <w:t xml:space="preserve"> </w:t>
      </w:r>
      <w:r>
        <w:rPr>
          <w:rFonts w:ascii="Consolas" w:cs="Consolas" w:eastAsia="Consolas" w:hAnsi="Consolas"/>
          <w:color w:val="D4D4D4"/>
          <w:sz w:val="18"/>
          <w:szCs w:val="18"/>
        </w:rPr>
        <w:br/>
        <w:t xml:space="preserve">Profit Reel 2013 =</w:t>
      </w:r>
      <w:r>
        <w:rPr>
          <w:rFonts w:ascii="Consolas" w:cs="Consolas" w:eastAsia="Consolas" w:hAnsi="Consolas"/>
          <w:color w:val="D4D4D4"/>
          <w:sz w:val="18"/>
          <w:szCs w:val="18"/>
        </w:rPr>
        <w:br/>
        <w:t xml:space="preserve">CALCULATE([Total de  Vente]-[Depenses cumulees],FILTER(ALL(financials),YEAR(financials[Date])=2013))</w:t>
      </w:r>
    </w:p>
    <w:p>
      <w:pPr>
        <w:pBdr>
          <w:left w:val="single" w:color="C00000" w:sz="24" w:space="8"/>
        </w:pBdr>
        <w:shd w:fill="FCE4E4" w:val="clear"/>
        <w:spacing w:after="150" w:before="50"/>
        <w:ind w:left="200"/>
      </w:pPr>
      <w:r>
        <w:rPr>
          <w:b/>
          <w:bCs/>
          <w:color w:val="C00000"/>
        </w:rPr>
        <w:t xml:space="preserve">✘ BUG CONFIRMÉ (duplication) — </w:t>
      </w:r>
      <w:r>
        <w:t xml:space="preserve">Ces deux mesures calculent exactement la même chose (Ventes 2013 − Dépenses 2013), avec une syntaxe différente mais un résultat identique. Malgré son nom, "Objectif Profit 2013" ne contient aucune notion d'objectif ou de cible — c'est un profit réel, pas un objectif. Et "Objectif Profit 2014" (section 2.12) recalcule une troisième fois cette même valeur 2013 en interne plutôt que de réutiliser l'une des deux. Conserve une seule mesure, par exemple [Profit Reel 2013], supprime [Objectif Profit 2013], et fais-la référencer par les mesures qui en ont besoin.</w:t>
      </w:r>
    </w:p>
    <w:p>
      <w:pPr>
        <w:pStyle w:val="Heading3"/>
        <w:spacing w:after="100" w:before="200"/>
      </w:pPr>
      <w:r>
        <w:t xml:space="preserve">2.12 « Predictions Ventes 2015 par Pays » — filtre copié-collé non corrigé</w:t>
      </w:r>
    </w:p>
    <w:p>
      <w:pPr>
        <w:pBdr>
          <w:top w:val="single" w:color="444444" w:sz="4"/>
          <w:bottom w:val="single" w:color="444444" w:sz="4"/>
          <w:left w:val="single" w:color="444444" w:sz="4"/>
          <w:right w:val="single" w:color="444444" w:sz="4"/>
        </w:pBdr>
        <w:shd w:fill="1E1E1E" w:val="clear"/>
        <w:spacing w:after="200" w:before="50"/>
        <w:ind w:left="200" w:right="200"/>
      </w:pPr>
      <w:r>
        <w:rPr>
          <w:rFonts w:ascii="Consolas" w:cs="Consolas" w:eastAsia="Consolas" w:hAnsi="Consolas"/>
          <w:color w:val="D4D4D4"/>
          <w:sz w:val="18"/>
          <w:szCs w:val="18"/>
        </w:rPr>
        <w:t xml:space="preserve">Predictions Ventes 2015 par Pays =</w:t>
      </w:r>
      <w:r>
        <w:rPr>
          <w:rFonts w:ascii="Consolas" w:cs="Consolas" w:eastAsia="Consolas" w:hAnsi="Consolas"/>
          <w:color w:val="D4D4D4"/>
          <w:sz w:val="18"/>
          <w:szCs w:val="18"/>
        </w:rPr>
        <w:br/>
        <w:t xml:space="preserve">VAR PaysActuel = SELECTEDVALUE(financials[Pays])</w:t>
      </w:r>
      <w:r>
        <w:rPr>
          <w:rFonts w:ascii="Consolas" w:cs="Consolas" w:eastAsia="Consolas" w:hAnsi="Consolas"/>
          <w:color w:val="D4D4D4"/>
          <w:sz w:val="18"/>
          <w:szCs w:val="18"/>
        </w:rPr>
        <w:br/>
        <w:t xml:space="preserve">VAR Ventes2014Pays = CALCULATE(SUM(financials[Ventes]),FILTER(ALL(financials),YEAR(financials[Date])=2014&amp;&amp;financials[Pays]=PaysActuel))</w:t>
      </w:r>
      <w:r>
        <w:rPr>
          <w:rFonts w:ascii="Consolas" w:cs="Consolas" w:eastAsia="Consolas" w:hAnsi="Consolas"/>
          <w:color w:val="D4D4D4"/>
          <w:sz w:val="18"/>
          <w:szCs w:val="18"/>
        </w:rPr>
        <w:br/>
        <w:t xml:space="preserve">VAR Ventes2013Pays = CALCULATE(SUM(financials[Ventes]),FILTER(ALL(financials),YEAR(financials[Date])=2014&amp;&amp;financials[Pays]=PaysActuel))</w:t>
      </w:r>
      <w:r>
        <w:rPr>
          <w:rFonts w:ascii="Consolas" w:cs="Consolas" w:eastAsia="Consolas" w:hAnsi="Consolas"/>
          <w:color w:val="D4D4D4"/>
          <w:sz w:val="18"/>
          <w:szCs w:val="18"/>
        </w:rPr>
        <w:br/>
        <w:t xml:space="preserve">RETURN</w:t>
      </w:r>
      <w:r>
        <w:rPr>
          <w:rFonts w:ascii="Consolas" w:cs="Consolas" w:eastAsia="Consolas" w:hAnsi="Consolas"/>
          <w:color w:val="D4D4D4"/>
          <w:sz w:val="18"/>
          <w:szCs w:val="18"/>
        </w:rPr>
        <w:br/>
        <w:t xml:space="preserve">Ventes2014Pays*(1+DIVIDE(Ventes2014Pays-Ventes2013Pays,Ventes2013Pays,0))</w:t>
      </w:r>
    </w:p>
    <w:p>
      <w:pPr>
        <w:pBdr>
          <w:left w:val="single" w:color="C00000" w:sz="24" w:space="8"/>
        </w:pBdr>
        <w:shd w:fill="FCE4E4" w:val="clear"/>
        <w:spacing w:after="150" w:before="50"/>
        <w:ind w:left="200"/>
      </w:pPr>
      <w:r>
        <w:rPr>
          <w:b/>
          <w:bCs/>
          <w:color w:val="C00000"/>
        </w:rPr>
        <w:t xml:space="preserve">✘ BUG CONFIRMÉ — </w:t>
      </w:r>
      <w:r>
        <w:t xml:space="preserve">VAR Ventes2013Pays filtre sur YEAR(financials[Date])=2014 — exactement la même condition que Ventes2014Pays juste au-dessus, au lieu de 2013. Résultat : Ventes2013Pays == Ventes2014Pays, la variation calculée est toujours 0 %, et la mesure renvoie simplement les ventes 2014 sans aucune croissance — comparable au bug 1.1 mais localisé. Les deux mesures sœurs "par Produit" et "par Segment" n'ont pas cette erreur (elles filtrent bien 2013 vs 2014) : c'est très probablement une erreur de copier-coller lors de la duplication de la mesure pour Pays.</w:t>
      </w:r>
    </w:p>
    <w:p>
      <w:pPr>
        <w:pBdr>
          <w:top w:val="single" w:color="444444" w:sz="4"/>
          <w:bottom w:val="single" w:color="444444" w:sz="4"/>
          <w:left w:val="single" w:color="444444" w:sz="4"/>
          <w:right w:val="single" w:color="444444" w:sz="4"/>
        </w:pBdr>
        <w:shd w:fill="1E1E1E" w:val="clear"/>
        <w:spacing w:after="200" w:before="50"/>
        <w:ind w:left="200" w:right="200"/>
      </w:pPr>
      <w:r>
        <w:rPr>
          <w:rFonts w:ascii="Consolas" w:cs="Consolas" w:eastAsia="Consolas" w:hAnsi="Consolas"/>
          <w:color w:val="D4D4D4"/>
          <w:sz w:val="18"/>
          <w:szCs w:val="18"/>
        </w:rPr>
        <w:t xml:space="preserve">VAR Ventes2013Pays = CALCULATE(SUM(financials[Ventes]),FILTER(ALL(financials),YEAR(financials[Date])=2013&amp;&amp;financials[Pays]=PaysActuel))</w:t>
      </w:r>
    </w:p>
    <w:p>
      <w:pPr>
        <w:pStyle w:val="Heading1"/>
        <w:spacing w:after="200" w:before="400"/>
      </w:pPr>
      <w:r>
        <w:t xml:space="preserve">3. Points à vérifier (fragiles, mais pas des bugs certains)</w:t>
      </w:r>
    </w:p>
    <w:p>
      <w:pPr>
        <w:pStyle w:val="Heading3"/>
        <w:spacing w:after="100" w:before="200"/>
      </w:pPr>
      <w:r>
        <w:t xml:space="preserve">3.1 « Titre Dynamique Alerte » et « Titre Dynamique Meilleur Segment » — table utilisée comme texte</w:t>
      </w:r>
    </w:p>
    <w:p>
      <w:pPr>
        <w:pBdr>
          <w:top w:val="single" w:color="444444" w:sz="4"/>
          <w:bottom w:val="single" w:color="444444" w:sz="4"/>
          <w:left w:val="single" w:color="444444" w:sz="4"/>
          <w:right w:val="single" w:color="444444" w:sz="4"/>
        </w:pBdr>
        <w:shd w:fill="1E1E1E" w:val="clear"/>
        <w:spacing w:after="200" w:before="50"/>
        <w:ind w:left="200" w:right="200"/>
      </w:pPr>
      <w:r>
        <w:rPr>
          <w:rFonts w:ascii="Consolas" w:cs="Consolas" w:eastAsia="Consolas" w:hAnsi="Consolas"/>
          <w:color w:val="D4D4D4"/>
          <w:sz w:val="18"/>
          <w:szCs w:val="18"/>
        </w:rPr>
        <w:t xml:space="preserve">VAR LeaderNom = TOPN(1,ALLSELECTED(financials[Segment]),[Total de  Vente],DESC)</w:t>
      </w:r>
      <w:r>
        <w:rPr>
          <w:rFonts w:ascii="Consolas" w:cs="Consolas" w:eastAsia="Consolas" w:hAnsi="Consolas"/>
          <w:color w:val="D4D4D4"/>
          <w:sz w:val="18"/>
          <w:szCs w:val="18"/>
        </w:rPr>
        <w:br/>
        <w:t xml:space="preserve">...</w:t>
      </w:r>
      <w:r>
        <w:rPr>
          <w:rFonts w:ascii="Consolas" w:cs="Consolas" w:eastAsia="Consolas" w:hAnsi="Consolas"/>
          <w:color w:val="D4D4D4"/>
          <w:sz w:val="18"/>
          <w:szCs w:val="18"/>
        </w:rPr>
        <w:br/>
        <w:t xml:space="preserve">"Segment Leader : " &amp; UPPER(LeaderNom) &amp; ...</w:t>
      </w:r>
    </w:p>
    <w:p>
      <w:pPr>
        <w:pBdr>
          <w:left w:val="single" w:color="BF8F00" w:sz="24" w:space="8"/>
        </w:pBdr>
        <w:shd w:fill="FFF2CC" w:val="clear"/>
        <w:spacing w:after="150" w:before="50"/>
        <w:ind w:left="200"/>
      </w:pPr>
      <w:r>
        <w:rPr>
          <w:b/>
          <w:bCs/>
          <w:color w:val="7F6000"/>
        </w:rPr>
        <w:t xml:space="preserve">⚠ FRAGILE — </w:t>
      </w:r>
      <w:r>
        <w:t xml:space="preserve">TOPN(1, ...) renvoie une TABLE à une colonne et une ligne, pas un texte. DAX autorise une coercition implicite d'une table à une seule valeur vers un scalaire, donc cette formule fonctionnera dans la majorité des cas — mais elle échouera (erreur ou résultat imprévisible) dès que deux segments sont exactement à égalité sur le chiffre d'affaires le plus élevé, puisque TOPN(1,...) renverrait alors potentiellement plusieurs lignes. Remplace par un pattern explicite et robuste :</w:t>
      </w:r>
    </w:p>
    <w:p>
      <w:pPr>
        <w:pBdr>
          <w:top w:val="single" w:color="444444" w:sz="4"/>
          <w:bottom w:val="single" w:color="444444" w:sz="4"/>
          <w:left w:val="single" w:color="444444" w:sz="4"/>
          <w:right w:val="single" w:color="444444" w:sz="4"/>
        </w:pBdr>
        <w:shd w:fill="1E1E1E" w:val="clear"/>
        <w:spacing w:after="200" w:before="50"/>
        <w:ind w:left="200" w:right="200"/>
      </w:pPr>
      <w:r>
        <w:rPr>
          <w:rFonts w:ascii="Consolas" w:cs="Consolas" w:eastAsia="Consolas" w:hAnsi="Consolas"/>
          <w:color w:val="D4D4D4"/>
          <w:sz w:val="18"/>
          <w:szCs w:val="18"/>
        </w:rPr>
        <w:t xml:space="preserve">VAR LeaderNom = MAXX(TOPN(1,ALLSELECTED(financials[Segment]),[Total de  Vente],DESC),financials[Segment])</w:t>
      </w:r>
    </w:p>
    <w:p>
      <w:pPr>
        <w:pStyle w:val="Heading3"/>
        <w:spacing w:after="100" w:before="200"/>
      </w:pPr>
      <w:r>
        <w:t xml:space="preserve">3.2 Mesures « % CA Top N » — cohérence du dénominateur sous filtre</w:t>
      </w:r>
    </w:p>
    <w:p>
      <w:pPr>
        <w:pBdr>
          <w:top w:val="single" w:color="444444" w:sz="4"/>
          <w:bottom w:val="single" w:color="444444" w:sz="4"/>
          <w:left w:val="single" w:color="444444" w:sz="4"/>
          <w:right w:val="single" w:color="444444" w:sz="4"/>
        </w:pBdr>
        <w:shd w:fill="1E1E1E" w:val="clear"/>
        <w:spacing w:after="200" w:before="50"/>
        <w:ind w:left="200" w:right="200"/>
      </w:pPr>
      <w:r>
        <w:rPr>
          <w:rFonts w:ascii="Consolas" w:cs="Consolas" w:eastAsia="Consolas" w:hAnsi="Consolas"/>
          <w:color w:val="D4D4D4"/>
          <w:sz w:val="18"/>
          <w:szCs w:val="18"/>
        </w:rPr>
        <w:t xml:space="preserve">VAR TotalCA = CALCULATE([Total de  Vente])</w:t>
      </w:r>
      <w:r>
        <w:rPr>
          <w:rFonts w:ascii="Consolas" w:cs="Consolas" w:eastAsia="Consolas" w:hAnsi="Consolas"/>
          <w:color w:val="D4D4D4"/>
          <w:sz w:val="18"/>
          <w:szCs w:val="18"/>
        </w:rPr>
        <w:br/>
        <w:t xml:space="preserve">VAR CATop2 = CALCULATE([Total de  Vente],TOPN(2,ALL(financials[Pays]),[Total de  Vente],DESC))</w:t>
      </w:r>
      <w:r>
        <w:rPr>
          <w:rFonts w:ascii="Consolas" w:cs="Consolas" w:eastAsia="Consolas" w:hAnsi="Consolas"/>
          <w:color w:val="D4D4D4"/>
          <w:sz w:val="18"/>
          <w:szCs w:val="18"/>
        </w:rPr>
        <w:br/>
        <w:t xml:space="preserve">RETURN DIVIDE(CATop2,TotalCA,0)</w:t>
      </w:r>
    </w:p>
    <w:p>
      <w:pPr>
        <w:pBdr>
          <w:left w:val="single" w:color="BF8F00" w:sz="24" w:space="8"/>
        </w:pBdr>
        <w:shd w:fill="FFF2CC" w:val="clear"/>
        <w:spacing w:after="150" w:before="50"/>
        <w:ind w:left="200"/>
      </w:pPr>
      <w:r>
        <w:rPr>
          <w:b/>
          <w:bCs/>
          <w:color w:val="7F6000"/>
        </w:rPr>
        <w:t xml:space="preserve">⚠ À VÉRIFIER EN CONTEXTE D'USAGE — </w:t>
      </w:r>
      <w:r>
        <w:t xml:space="preserve">TotalCA est calculé dans le contexte de filtre courant (donc restreint si un slicer Pays est actif), alors que CATop2 utilise ALL(financials[Pays]) pour classer parmi TOUS les pays, en ignorant ce même filtre. Si ces mesures sont utilisées dans une carte KPI globale sans slicer Pays actif, aucun problème. Mais si un slicer Pays est présent sur la même page, le résultat peut dépasser 100 % ou devenir incohérent, car le numérateur et le dénominateur ne respectent pas le même contexte de filtre. Vérifie qu'aucun slicer/filtre sur Pays (ou Produit/Segment selon la variante) n'est actif sur les pages où ces mesures sont affichées ; sinon, ajoute ALL(financials[Pays]) également dans le calcul de TotalCA pour garantir la cohérence.</w:t>
      </w:r>
    </w:p>
    <w:p>
      <w:pPr>
        <w:pStyle w:val="Heading3"/>
        <w:spacing w:after="100" w:before="200"/>
      </w:pPr>
      <w:r>
        <w:t xml:space="preserve">3.3 « Mois de rentabilité » — ordre chronologique du texte du mois</w:t>
      </w:r>
    </w:p>
    <w:p>
      <w:pPr>
        <w:pBdr>
          <w:top w:val="single" w:color="444444" w:sz="4"/>
          <w:bottom w:val="single" w:color="444444" w:sz="4"/>
          <w:left w:val="single" w:color="444444" w:sz="4"/>
          <w:right w:val="single" w:color="444444" w:sz="4"/>
        </w:pBdr>
        <w:shd w:fill="1E1E1E" w:val="clear"/>
        <w:spacing w:after="200" w:before="50"/>
        <w:ind w:left="200" w:right="200"/>
      </w:pPr>
      <w:r>
        <w:rPr>
          <w:rFonts w:ascii="Consolas" w:cs="Consolas" w:eastAsia="Consolas" w:hAnsi="Consolas"/>
          <w:color w:val="D4D4D4"/>
          <w:sz w:val="18"/>
          <w:szCs w:val="18"/>
        </w:rPr>
        <w:t xml:space="preserve">CALCULATE(FIRSTNONBLANK(financials[Nom du Mois],1),FILTER(ALLSELECTED(financials),[Ventes Cumulees]&gt;[Depenses cumulees]))</w:t>
      </w:r>
    </w:p>
    <w:p>
      <w:pPr>
        <w:pBdr>
          <w:left w:val="single" w:color="BF8F00" w:sz="24" w:space="8"/>
        </w:pBdr>
        <w:shd w:fill="FFF2CC" w:val="clear"/>
        <w:spacing w:after="150" w:before="50"/>
        <w:ind w:left="200"/>
      </w:pPr>
      <w:r>
        <w:rPr>
          <w:b/>
          <w:bCs/>
          <w:color w:val="7F6000"/>
        </w:rPr>
        <w:t xml:space="preserve">⚠ À VÉRIFIER — </w:t>
      </w:r>
      <w:r>
        <w:t xml:space="preserve">FIRSTNONBLANK renvoie la première valeur rencontrée selon l'ordre physique de stockage de la colonne, pas un ordre chronologique garanti, sauf si financials[Nom du Mois] a explicitement une propriété "Trier par colonne" pointant vers financials[Numéro du Mois] dans la vue Modèle. Vérifie ce réglage : sans lui, "Mois de rentabilité" peut afficher un mois qui n'est pas réellement le premier chronologiquement.</w:t>
      </w:r>
    </w:p>
    <w:p>
      <w:pPr>
        <w:pStyle w:val="Heading3"/>
        <w:spacing w:after="100" w:before="200"/>
      </w:pPr>
      <w:r>
        <w:t xml:space="preserve">3.4 Mesures de test à retirer avant livraison du portfolio</w:t>
      </w:r>
    </w:p>
    <w:p>
      <w:pPr>
        <w:pBdr>
          <w:left w:val="single" w:color="BF8F00" w:sz="24" w:space="8"/>
        </w:pBdr>
        <w:shd w:fill="FFF2CC" w:val="clear"/>
        <w:spacing w:after="150" w:before="50"/>
        <w:ind w:left="200"/>
      </w:pPr>
      <w:r>
        <w:rPr>
          <w:b/>
          <w:bCs/>
          <w:color w:val="7F6000"/>
        </w:rPr>
        <w:t xml:space="preserve">⚠ NETTOYAGE RECOMMANDÉ — </w:t>
      </w:r>
      <w:r>
        <w:t xml:space="preserve">Test NbMois, Test Profit 2013 et Test Profit 2014 sont, d'après leur nom et leur contenu, des mesures de vérification technique créées pendant le développement (elles dupliquent des calculs présents ailleurs sous des noms définitifs). Elles n'ont pas leur place dans un dashboard présenté à un recruteur : supprime-les, ou déplace-les dans un dossier d'affichage "_Technique / Debug" masqué du rapport.</w:t>
      </w:r>
    </w:p>
    <w:p>
      <w:pPr>
        <w:pStyle w:val="Heading3"/>
        <w:spacing w:after="100" w:before="200"/>
      </w:pPr>
      <w:r>
        <w:t xml:space="preserve">3.5 Taux d'impôt et hypothèses codées en dur</w:t>
      </w:r>
    </w:p>
    <w:p>
      <w:pPr>
        <w:pBdr>
          <w:left w:val="single" w:color="BF8F00" w:sz="24" w:space="8"/>
        </w:pBdr>
        <w:shd w:fill="FFF2CC" w:val="clear"/>
        <w:spacing w:after="150" w:before="50"/>
        <w:ind w:left="200"/>
      </w:pPr>
      <w:r>
        <w:rPr>
          <w:b/>
          <w:bCs/>
          <w:color w:val="7F6000"/>
        </w:rPr>
        <w:t xml:space="preserve">⚠ À DOCUMENTER, PAS FORCÉMENT À CORRIGER — </w:t>
      </w:r>
      <w:r>
        <w:t xml:space="preserve">Le taux d'impôt de 25 % apparaît en dur dans deux mesures distinctes ([Free Cash Flow Estime] et [Variation FCF]) et le taux de croissance cible de 18 % apparaît dans trois endroits ([Objectif Profit 2014], [Objectif Profit mensuel] en cascade, et le texte figé de [Titre Graphique]). Ce ne sont pas des bugs si ce sont de vraies hypothèses métier assumées — mais les dupliquer dans plusieurs mesures crée un risque de désynchronisation si l'hypothèse change un jour. Envisage de centraliser ces constantes dans une table de paramètres "Hypothèses" (une ligne par hypothèse, avec un What-If Parameter comme pour "% Augmentation Couts") : cela renforce aussi la crédibilité "aide à la décision" du dashboard pour un entretien.</w:t>
      </w:r>
    </w:p>
    <w:p>
      <w:pPr>
        <w:pStyle w:val="Heading1"/>
        <w:spacing w:after="200" w:before="400"/>
      </w:pPr>
      <w:r>
        <w:t xml:space="preserve">4. Inventaire complet des 77 mesures</w:t>
      </w:r>
    </w:p>
    <w:p>
      <w:pPr>
        <w:spacing w:after="150" w:line="276"/>
      </w:pPr>
      <w:r>
        <w:t xml:space="preserve">Légende : rouge = bug confirmé (corriger avant livraison) · orange = à vérifier dans Power BI Desktop · vert = correcte, aucune action requise.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500"/>
      </w:tblGrid>
      <w:tr>
        <w:trPr>
          <w:tblHeader/>
        </w:trPr>
        <w:tc>
          <w:tcPr>
            <w:tcW w:type="dxa" w:w="2400"/>
            <w:shd w:fill="1F3864" w:val="clear"/>
            <w:tcMar>
              <w:top w:type="dxa" w:w="60"/>
              <w:left w:type="dxa" w:w="90"/>
              <w:bottom w:type="dxa" w:w="60"/>
              <w:right w:type="dxa" w:w="90"/>
            </w:tcMar>
            <w:vAlign w:val="center"/>
          </w:tcPr>
          <w:p>
            <w:pPr>
              <w:jc w:val="left"/>
            </w:pPr>
            <w:r>
              <w:rPr>
                <w:b/>
                <w:bCs/>
                <w:color w:val="FFFFFF"/>
                <w:sz w:val="15"/>
                <w:szCs w:val="15"/>
              </w:rPr>
              <w:t xml:space="preserve">Mesure</w:t>
            </w:r>
          </w:p>
        </w:tc>
        <w:tc>
          <w:tcPr>
            <w:tcW w:type="dxa" w:w="1500"/>
            <w:shd w:fill="1F3864" w:val="clear"/>
            <w:tcMar>
              <w:top w:type="dxa" w:w="60"/>
              <w:left w:type="dxa" w:w="90"/>
              <w:bottom w:type="dxa" w:w="60"/>
              <w:right w:type="dxa" w:w="90"/>
            </w:tcMar>
            <w:vAlign w:val="center"/>
          </w:tcPr>
          <w:p>
            <w:pPr>
              <w:jc w:val="left"/>
            </w:pPr>
            <w:r>
              <w:rPr>
                <w:b/>
                <w:bCs/>
                <w:color w:val="FFFFFF"/>
                <w:sz w:val="15"/>
                <w:szCs w:val="15"/>
              </w:rPr>
              <w:t xml:space="preserve">Statut</w:t>
            </w:r>
          </w:p>
        </w:tc>
        <w:tc>
          <w:tcPr>
            <w:tcW w:type="dxa" w:w="5500"/>
            <w:shd w:fill="1F3864" w:val="clear"/>
            <w:tcMar>
              <w:top w:type="dxa" w:w="60"/>
              <w:left w:type="dxa" w:w="90"/>
              <w:bottom w:type="dxa" w:w="60"/>
              <w:right w:type="dxa" w:w="90"/>
            </w:tcMar>
            <w:vAlign w:val="center"/>
          </w:tcPr>
          <w:p>
            <w:pPr>
              <w:jc w:val="left"/>
            </w:pPr>
            <w:r>
              <w:rPr>
                <w:b/>
                <w:bCs/>
                <w:color w:val="FFFFFF"/>
                <w:sz w:val="15"/>
                <w:szCs w:val="15"/>
              </w:rPr>
              <w:t xml:space="preserve">Constat</w:t>
            </w:r>
          </w:p>
        </w:tc>
      </w:tr>
      <w:tr>
        <w:tc>
          <w:tcPr>
            <w:tcW w:type="dxa" w:w="2400"/>
            <w:shd w:fill="E2EFDA" w:val="clear"/>
            <w:tcMar>
              <w:top w:type="dxa" w:w="60"/>
              <w:left w:type="dxa" w:w="90"/>
              <w:bottom w:type="dxa" w:w="60"/>
              <w:right w:type="dxa" w:w="90"/>
            </w:tcMar>
            <w:vAlign w:val="center"/>
          </w:tcPr>
          <w:p>
            <w:pPr>
              <w:jc w:val="left"/>
            </w:pPr>
            <w:r>
              <w:rPr>
                <w:b w:val="false"/>
                <w:bCs w:val="false"/>
                <w:color w:val="000000"/>
                <w:sz w:val="15"/>
                <w:szCs w:val="15"/>
              </w:rPr>
              <w:t xml:space="preserve">% CA Autres Pays</w:t>
            </w:r>
          </w:p>
        </w:tc>
        <w:tc>
          <w:tcPr>
            <w:tcW w:type="dxa" w:w="1500"/>
            <w:shd w:fill="E2EFDA" w:val="clear"/>
            <w:tcMar>
              <w:top w:type="dxa" w:w="60"/>
              <w:left w:type="dxa" w:w="90"/>
              <w:bottom w:type="dxa" w:w="60"/>
              <w:right w:type="dxa" w:w="90"/>
            </w:tcMar>
            <w:vAlign w:val="center"/>
          </w:tcPr>
          <w:p>
            <w:pPr>
              <w:jc w:val="left"/>
            </w:pPr>
            <w:r>
              <w:rPr>
                <w:b w:val="false"/>
                <w:bCs w:val="false"/>
                <w:color w:val="000000"/>
                <w:sz w:val="15"/>
                <w:szCs w:val="15"/>
              </w:rPr>
              <w:t xml:space="preserve">Correct</w:t>
            </w:r>
          </w:p>
        </w:tc>
        <w:tc>
          <w:tcPr>
            <w:tcW w:type="dxa" w:w="5500"/>
            <w:shd w:fill="E2EFDA" w:val="clear"/>
            <w:tcMar>
              <w:top w:type="dxa" w:w="60"/>
              <w:left w:type="dxa" w:w="90"/>
              <w:bottom w:type="dxa" w:w="60"/>
              <w:right w:type="dxa" w:w="90"/>
            </w:tcMar>
            <w:vAlign w:val="center"/>
          </w:tcPr>
          <w:p>
            <w:pPr>
              <w:jc w:val="left"/>
            </w:pPr>
            <w:r>
              <w:rPr>
                <w:b w:val="false"/>
                <w:bCs w:val="false"/>
                <w:color w:val="000000"/>
                <w:sz w:val="15"/>
                <w:szCs w:val="15"/>
              </w:rPr>
              <w:t xml:space="preserve">1-[% CA Top 2 Pays] : correct si le dénominateur ci-dessous est fiable.</w:t>
            </w:r>
          </w:p>
        </w:tc>
      </w:tr>
      <w:tr>
        <w:tc>
          <w:tcPr>
            <w:tcW w:type="dxa" w:w="2400"/>
            <w:shd w:fill="E2EFDA" w:val="clear"/>
            <w:tcMar>
              <w:top w:type="dxa" w:w="60"/>
              <w:left w:type="dxa" w:w="90"/>
              <w:bottom w:type="dxa" w:w="60"/>
              <w:right w:type="dxa" w:w="90"/>
            </w:tcMar>
            <w:vAlign w:val="center"/>
          </w:tcPr>
          <w:p>
            <w:pPr>
              <w:jc w:val="left"/>
            </w:pPr>
            <w:r>
              <w:rPr>
                <w:b w:val="false"/>
                <w:bCs w:val="false"/>
                <w:color w:val="000000"/>
                <w:sz w:val="15"/>
                <w:szCs w:val="15"/>
              </w:rPr>
              <w:t xml:space="preserve">% CA Autres Produits</w:t>
            </w:r>
          </w:p>
        </w:tc>
        <w:tc>
          <w:tcPr>
            <w:tcW w:type="dxa" w:w="1500"/>
            <w:shd w:fill="E2EFDA" w:val="clear"/>
            <w:tcMar>
              <w:top w:type="dxa" w:w="60"/>
              <w:left w:type="dxa" w:w="90"/>
              <w:bottom w:type="dxa" w:w="60"/>
              <w:right w:type="dxa" w:w="90"/>
            </w:tcMar>
            <w:vAlign w:val="center"/>
          </w:tcPr>
          <w:p>
            <w:pPr>
              <w:jc w:val="left"/>
            </w:pPr>
            <w:r>
              <w:rPr>
                <w:b w:val="false"/>
                <w:bCs w:val="false"/>
                <w:color w:val="000000"/>
                <w:sz w:val="15"/>
                <w:szCs w:val="15"/>
              </w:rPr>
              <w:t xml:space="preserve">Correct</w:t>
            </w:r>
          </w:p>
        </w:tc>
        <w:tc>
          <w:tcPr>
            <w:tcW w:type="dxa" w:w="5500"/>
            <w:shd w:fill="E2EFDA" w:val="clear"/>
            <w:tcMar>
              <w:top w:type="dxa" w:w="60"/>
              <w:left w:type="dxa" w:w="90"/>
              <w:bottom w:type="dxa" w:w="60"/>
              <w:right w:type="dxa" w:w="90"/>
            </w:tcMar>
            <w:vAlign w:val="center"/>
          </w:tcPr>
          <w:p>
            <w:pPr>
              <w:jc w:val="left"/>
            </w:pPr>
            <w:r>
              <w:rPr>
                <w:b w:val="false"/>
                <w:bCs w:val="false"/>
                <w:color w:val="000000"/>
                <w:sz w:val="15"/>
                <w:szCs w:val="15"/>
              </w:rPr>
              <w:t xml:space="preserve">Idem, dérivée de % CA Top 3 Produits.</w:t>
            </w:r>
          </w:p>
        </w:tc>
      </w:tr>
      <w:tr>
        <w:tc>
          <w:tcPr>
            <w:tcW w:type="dxa" w:w="2400"/>
            <w:shd w:fill="E2EFDA" w:val="clear"/>
            <w:tcMar>
              <w:top w:type="dxa" w:w="60"/>
              <w:left w:type="dxa" w:w="90"/>
              <w:bottom w:type="dxa" w:w="60"/>
              <w:right w:type="dxa" w:w="90"/>
            </w:tcMar>
            <w:vAlign w:val="center"/>
          </w:tcPr>
          <w:p>
            <w:pPr>
              <w:jc w:val="left"/>
            </w:pPr>
            <w:r>
              <w:rPr>
                <w:b w:val="false"/>
                <w:bCs w:val="false"/>
                <w:color w:val="000000"/>
                <w:sz w:val="15"/>
                <w:szCs w:val="15"/>
              </w:rPr>
              <w:t xml:space="preserve">% CA Autres Segment_Pays</w:t>
            </w:r>
          </w:p>
        </w:tc>
        <w:tc>
          <w:tcPr>
            <w:tcW w:type="dxa" w:w="1500"/>
            <w:shd w:fill="E2EFDA" w:val="clear"/>
            <w:tcMar>
              <w:top w:type="dxa" w:w="60"/>
              <w:left w:type="dxa" w:w="90"/>
              <w:bottom w:type="dxa" w:w="60"/>
              <w:right w:type="dxa" w:w="90"/>
            </w:tcMar>
            <w:vAlign w:val="center"/>
          </w:tcPr>
          <w:p>
            <w:pPr>
              <w:jc w:val="left"/>
            </w:pPr>
            <w:r>
              <w:rPr>
                <w:b w:val="false"/>
                <w:bCs w:val="false"/>
                <w:color w:val="000000"/>
                <w:sz w:val="15"/>
                <w:szCs w:val="15"/>
              </w:rPr>
              <w:t xml:space="preserve">Correct</w:t>
            </w:r>
          </w:p>
        </w:tc>
        <w:tc>
          <w:tcPr>
            <w:tcW w:type="dxa" w:w="5500"/>
            <w:shd w:fill="E2EFDA" w:val="clear"/>
            <w:tcMar>
              <w:top w:type="dxa" w:w="60"/>
              <w:left w:type="dxa" w:w="90"/>
              <w:bottom w:type="dxa" w:w="60"/>
              <w:right w:type="dxa" w:w="90"/>
            </w:tcMar>
            <w:vAlign w:val="center"/>
          </w:tcPr>
          <w:p>
            <w:pPr>
              <w:jc w:val="left"/>
            </w:pPr>
            <w:r>
              <w:rPr>
                <w:b w:val="false"/>
                <w:bCs w:val="false"/>
                <w:color w:val="000000"/>
                <w:sz w:val="15"/>
                <w:szCs w:val="15"/>
              </w:rPr>
              <w:t xml:space="preserve">Idem, dérivée de % CA Top 3 Segments_Pays.</w:t>
            </w:r>
          </w:p>
        </w:tc>
      </w:tr>
      <w:tr>
        <w:tc>
          <w:tcPr>
            <w:tcW w:type="dxa" w:w="2400"/>
            <w:shd w:fill="E2EFDA" w:val="clear"/>
            <w:tcMar>
              <w:top w:type="dxa" w:w="60"/>
              <w:left w:type="dxa" w:w="90"/>
              <w:bottom w:type="dxa" w:w="60"/>
              <w:right w:type="dxa" w:w="90"/>
            </w:tcMar>
            <w:vAlign w:val="center"/>
          </w:tcPr>
          <w:p>
            <w:pPr>
              <w:jc w:val="left"/>
            </w:pPr>
            <w:r>
              <w:rPr>
                <w:b w:val="false"/>
                <w:bCs w:val="false"/>
                <w:color w:val="000000"/>
                <w:sz w:val="15"/>
                <w:szCs w:val="15"/>
              </w:rPr>
              <w:t xml:space="preserve">% CA Autres Segments</w:t>
            </w:r>
          </w:p>
        </w:tc>
        <w:tc>
          <w:tcPr>
            <w:tcW w:type="dxa" w:w="1500"/>
            <w:shd w:fill="E2EFDA" w:val="clear"/>
            <w:tcMar>
              <w:top w:type="dxa" w:w="60"/>
              <w:left w:type="dxa" w:w="90"/>
              <w:bottom w:type="dxa" w:w="60"/>
              <w:right w:type="dxa" w:w="90"/>
            </w:tcMar>
            <w:vAlign w:val="center"/>
          </w:tcPr>
          <w:p>
            <w:pPr>
              <w:jc w:val="left"/>
            </w:pPr>
            <w:r>
              <w:rPr>
                <w:b w:val="false"/>
                <w:bCs w:val="false"/>
                <w:color w:val="000000"/>
                <w:sz w:val="15"/>
                <w:szCs w:val="15"/>
              </w:rPr>
              <w:t xml:space="preserve">Correct</w:t>
            </w:r>
          </w:p>
        </w:tc>
        <w:tc>
          <w:tcPr>
            <w:tcW w:type="dxa" w:w="5500"/>
            <w:shd w:fill="E2EFDA" w:val="clear"/>
            <w:tcMar>
              <w:top w:type="dxa" w:w="60"/>
              <w:left w:type="dxa" w:w="90"/>
              <w:bottom w:type="dxa" w:w="60"/>
              <w:right w:type="dxa" w:w="90"/>
            </w:tcMar>
            <w:vAlign w:val="center"/>
          </w:tcPr>
          <w:p>
            <w:pPr>
              <w:jc w:val="left"/>
            </w:pPr>
            <w:r>
              <w:rPr>
                <w:b w:val="false"/>
                <w:bCs w:val="false"/>
                <w:color w:val="000000"/>
                <w:sz w:val="15"/>
                <w:szCs w:val="15"/>
              </w:rPr>
              <w:t xml:space="preserve">Idem, dérivée de % CA Top 3 Segments.</w:t>
            </w:r>
          </w:p>
        </w:tc>
      </w:tr>
      <w:tr>
        <w:tc>
          <w:tcPr>
            <w:tcW w:type="dxa" w:w="2400"/>
            <w:shd w:fill="FFF2CC" w:val="clear"/>
            <w:tcMar>
              <w:top w:type="dxa" w:w="60"/>
              <w:left w:type="dxa" w:w="90"/>
              <w:bottom w:type="dxa" w:w="60"/>
              <w:right w:type="dxa" w:w="90"/>
            </w:tcMar>
            <w:vAlign w:val="center"/>
          </w:tcPr>
          <w:p>
            <w:pPr>
              <w:jc w:val="left"/>
            </w:pPr>
            <w:r>
              <w:rPr>
                <w:b w:val="false"/>
                <w:bCs w:val="false"/>
                <w:color w:val="000000"/>
                <w:sz w:val="15"/>
                <w:szCs w:val="15"/>
              </w:rPr>
              <w:t xml:space="preserve">% CA Top 2 Pays</w:t>
            </w:r>
          </w:p>
        </w:tc>
        <w:tc>
          <w:tcPr>
            <w:tcW w:type="dxa" w:w="1500"/>
            <w:shd w:fill="FFF2CC" w:val="clear"/>
            <w:tcMar>
              <w:top w:type="dxa" w:w="60"/>
              <w:left w:type="dxa" w:w="90"/>
              <w:bottom w:type="dxa" w:w="60"/>
              <w:right w:type="dxa" w:w="90"/>
            </w:tcMar>
            <w:vAlign w:val="center"/>
          </w:tcPr>
          <w:p>
            <w:pPr>
              <w:jc w:val="left"/>
            </w:pPr>
            <w:r>
              <w:rPr>
                <w:b w:val="false"/>
                <w:bCs w:val="false"/>
                <w:color w:val="000000"/>
                <w:sz w:val="15"/>
                <w:szCs w:val="15"/>
              </w:rPr>
              <w:t xml:space="preserve">À vérifier</w:t>
            </w:r>
          </w:p>
        </w:tc>
        <w:tc>
          <w:tcPr>
            <w:tcW w:type="dxa" w:w="5500"/>
            <w:shd w:fill="FFF2CC" w:val="clear"/>
            <w:tcMar>
              <w:top w:type="dxa" w:w="60"/>
              <w:left w:type="dxa" w:w="90"/>
              <w:bottom w:type="dxa" w:w="60"/>
              <w:right w:type="dxa" w:w="90"/>
            </w:tcMar>
            <w:vAlign w:val="center"/>
          </w:tcPr>
          <w:p>
            <w:pPr>
              <w:jc w:val="left"/>
            </w:pPr>
            <w:r>
              <w:rPr>
                <w:b w:val="false"/>
                <w:bCs w:val="false"/>
                <w:color w:val="000000"/>
                <w:sz w:val="15"/>
                <w:szCs w:val="15"/>
              </w:rPr>
              <w:t xml:space="preserve">TotalCA et CATop2 peuvent diverger si un filtre Pays est actif (voir 4.2).</w:t>
            </w:r>
          </w:p>
        </w:tc>
      </w:tr>
      <w:tr>
        <w:tc>
          <w:tcPr>
            <w:tcW w:type="dxa" w:w="2400"/>
            <w:shd w:fill="FFF2CC" w:val="clear"/>
            <w:tcMar>
              <w:top w:type="dxa" w:w="60"/>
              <w:left w:type="dxa" w:w="90"/>
              <w:bottom w:type="dxa" w:w="60"/>
              <w:right w:type="dxa" w:w="90"/>
            </w:tcMar>
            <w:vAlign w:val="center"/>
          </w:tcPr>
          <w:p>
            <w:pPr>
              <w:jc w:val="left"/>
            </w:pPr>
            <w:r>
              <w:rPr>
                <w:b w:val="false"/>
                <w:bCs w:val="false"/>
                <w:color w:val="000000"/>
                <w:sz w:val="15"/>
                <w:szCs w:val="15"/>
              </w:rPr>
              <w:t xml:space="preserve">% CA Top 3 Produits</w:t>
            </w:r>
          </w:p>
        </w:tc>
        <w:tc>
          <w:tcPr>
            <w:tcW w:type="dxa" w:w="1500"/>
            <w:shd w:fill="FFF2CC" w:val="clear"/>
            <w:tcMar>
              <w:top w:type="dxa" w:w="60"/>
              <w:left w:type="dxa" w:w="90"/>
              <w:bottom w:type="dxa" w:w="60"/>
              <w:right w:type="dxa" w:w="90"/>
            </w:tcMar>
            <w:vAlign w:val="center"/>
          </w:tcPr>
          <w:p>
            <w:pPr>
              <w:jc w:val="left"/>
            </w:pPr>
            <w:r>
              <w:rPr>
                <w:b w:val="false"/>
                <w:bCs w:val="false"/>
                <w:color w:val="000000"/>
                <w:sz w:val="15"/>
                <w:szCs w:val="15"/>
              </w:rPr>
              <w:t xml:space="preserve">À vérifier</w:t>
            </w:r>
          </w:p>
        </w:tc>
        <w:tc>
          <w:tcPr>
            <w:tcW w:type="dxa" w:w="5500"/>
            <w:shd w:fill="FFF2CC" w:val="clear"/>
            <w:tcMar>
              <w:top w:type="dxa" w:w="60"/>
              <w:left w:type="dxa" w:w="90"/>
              <w:bottom w:type="dxa" w:w="60"/>
              <w:right w:type="dxa" w:w="90"/>
            </w:tcMar>
            <w:vAlign w:val="center"/>
          </w:tcPr>
          <w:p>
            <w:pPr>
              <w:jc w:val="left"/>
            </w:pPr>
            <w:r>
              <w:rPr>
                <w:b w:val="false"/>
                <w:bCs w:val="false"/>
                <w:color w:val="000000"/>
                <w:sz w:val="15"/>
                <w:szCs w:val="15"/>
              </w:rPr>
              <w:t xml:space="preserve">Même schéma que % CA Top 2 Pays, appliqué à Produit.</w:t>
            </w:r>
          </w:p>
        </w:tc>
      </w:tr>
      <w:tr>
        <w:tc>
          <w:tcPr>
            <w:tcW w:type="dxa" w:w="2400"/>
            <w:shd w:fill="FFF2CC" w:val="clear"/>
            <w:tcMar>
              <w:top w:type="dxa" w:w="60"/>
              <w:left w:type="dxa" w:w="90"/>
              <w:bottom w:type="dxa" w:w="60"/>
              <w:right w:type="dxa" w:w="90"/>
            </w:tcMar>
            <w:vAlign w:val="center"/>
          </w:tcPr>
          <w:p>
            <w:pPr>
              <w:jc w:val="left"/>
            </w:pPr>
            <w:r>
              <w:rPr>
                <w:b w:val="false"/>
                <w:bCs w:val="false"/>
                <w:color w:val="000000"/>
                <w:sz w:val="15"/>
                <w:szCs w:val="15"/>
              </w:rPr>
              <w:t xml:space="preserve">% CA Top 3 Segments</w:t>
            </w:r>
          </w:p>
        </w:tc>
        <w:tc>
          <w:tcPr>
            <w:tcW w:type="dxa" w:w="1500"/>
            <w:shd w:fill="FFF2CC" w:val="clear"/>
            <w:tcMar>
              <w:top w:type="dxa" w:w="60"/>
              <w:left w:type="dxa" w:w="90"/>
              <w:bottom w:type="dxa" w:w="60"/>
              <w:right w:type="dxa" w:w="90"/>
            </w:tcMar>
            <w:vAlign w:val="center"/>
          </w:tcPr>
          <w:p>
            <w:pPr>
              <w:jc w:val="left"/>
            </w:pPr>
            <w:r>
              <w:rPr>
                <w:b w:val="false"/>
                <w:bCs w:val="false"/>
                <w:color w:val="000000"/>
                <w:sz w:val="15"/>
                <w:szCs w:val="15"/>
              </w:rPr>
              <w:t xml:space="preserve">À vérifier</w:t>
            </w:r>
          </w:p>
        </w:tc>
        <w:tc>
          <w:tcPr>
            <w:tcW w:type="dxa" w:w="5500"/>
            <w:shd w:fill="FFF2CC" w:val="clear"/>
            <w:tcMar>
              <w:top w:type="dxa" w:w="60"/>
              <w:left w:type="dxa" w:w="90"/>
              <w:bottom w:type="dxa" w:w="60"/>
              <w:right w:type="dxa" w:w="90"/>
            </w:tcMar>
            <w:vAlign w:val="center"/>
          </w:tcPr>
          <w:p>
            <w:pPr>
              <w:jc w:val="left"/>
            </w:pPr>
            <w:r>
              <w:rPr>
                <w:b w:val="false"/>
                <w:bCs w:val="false"/>
                <w:color w:val="000000"/>
                <w:sz w:val="15"/>
                <w:szCs w:val="15"/>
              </w:rPr>
              <w:t xml:space="preserve">Même schéma, appliqué à Segment.</w:t>
            </w:r>
          </w:p>
        </w:tc>
      </w:tr>
      <w:tr>
        <w:tc>
          <w:tcPr>
            <w:tcW w:type="dxa" w:w="2400"/>
            <w:shd w:fill="FFF2CC" w:val="clear"/>
            <w:tcMar>
              <w:top w:type="dxa" w:w="60"/>
              <w:left w:type="dxa" w:w="90"/>
              <w:bottom w:type="dxa" w:w="60"/>
              <w:right w:type="dxa" w:w="90"/>
            </w:tcMar>
            <w:vAlign w:val="center"/>
          </w:tcPr>
          <w:p>
            <w:pPr>
              <w:jc w:val="left"/>
            </w:pPr>
            <w:r>
              <w:rPr>
                <w:b w:val="false"/>
                <w:bCs w:val="false"/>
                <w:color w:val="000000"/>
                <w:sz w:val="15"/>
                <w:szCs w:val="15"/>
              </w:rPr>
              <w:t xml:space="preserve">% CA Top 3 Segments_Pays</w:t>
            </w:r>
          </w:p>
        </w:tc>
        <w:tc>
          <w:tcPr>
            <w:tcW w:type="dxa" w:w="1500"/>
            <w:shd w:fill="FFF2CC" w:val="clear"/>
            <w:tcMar>
              <w:top w:type="dxa" w:w="60"/>
              <w:left w:type="dxa" w:w="90"/>
              <w:bottom w:type="dxa" w:w="60"/>
              <w:right w:type="dxa" w:w="90"/>
            </w:tcMar>
            <w:vAlign w:val="center"/>
          </w:tcPr>
          <w:p>
            <w:pPr>
              <w:jc w:val="left"/>
            </w:pPr>
            <w:r>
              <w:rPr>
                <w:b w:val="false"/>
                <w:bCs w:val="false"/>
                <w:color w:val="000000"/>
                <w:sz w:val="15"/>
                <w:szCs w:val="15"/>
              </w:rPr>
              <w:t xml:space="preserve">À vérifier</w:t>
            </w:r>
          </w:p>
        </w:tc>
        <w:tc>
          <w:tcPr>
            <w:tcW w:type="dxa" w:w="5500"/>
            <w:shd w:fill="FFF2CC" w:val="clear"/>
            <w:tcMar>
              <w:top w:type="dxa" w:w="60"/>
              <w:left w:type="dxa" w:w="90"/>
              <w:bottom w:type="dxa" w:w="60"/>
              <w:right w:type="dxa" w:w="90"/>
            </w:tcMar>
            <w:vAlign w:val="center"/>
          </w:tcPr>
          <w:p>
            <w:pPr>
              <w:jc w:val="left"/>
            </w:pPr>
            <w:r>
              <w:rPr>
                <w:b w:val="false"/>
                <w:bCs w:val="false"/>
                <w:color w:val="000000"/>
                <w:sz w:val="15"/>
                <w:szCs w:val="15"/>
              </w:rPr>
              <w:t xml:space="preserve">Même schéma, appliqué à Segment_Pays.</w:t>
            </w:r>
          </w:p>
        </w:tc>
      </w:tr>
      <w:tr>
        <w:tc>
          <w:tcPr>
            <w:tcW w:type="dxa" w:w="2400"/>
            <w:shd w:fill="E2EFDA" w:val="clear"/>
            <w:tcMar>
              <w:top w:type="dxa" w:w="60"/>
              <w:left w:type="dxa" w:w="90"/>
              <w:bottom w:type="dxa" w:w="60"/>
              <w:right w:type="dxa" w:w="90"/>
            </w:tcMar>
            <w:vAlign w:val="center"/>
          </w:tcPr>
          <w:p>
            <w:pPr>
              <w:jc w:val="left"/>
            </w:pPr>
            <w:r>
              <w:rPr>
                <w:b w:val="false"/>
                <w:bCs w:val="false"/>
                <w:color w:val="000000"/>
                <w:sz w:val="15"/>
                <w:szCs w:val="15"/>
              </w:rPr>
              <w:t xml:space="preserve">% Marge de Profits</w:t>
            </w:r>
          </w:p>
        </w:tc>
        <w:tc>
          <w:tcPr>
            <w:tcW w:type="dxa" w:w="1500"/>
            <w:shd w:fill="E2EFDA" w:val="clear"/>
            <w:tcMar>
              <w:top w:type="dxa" w:w="60"/>
              <w:left w:type="dxa" w:w="90"/>
              <w:bottom w:type="dxa" w:w="60"/>
              <w:right w:type="dxa" w:w="90"/>
            </w:tcMar>
            <w:vAlign w:val="center"/>
          </w:tcPr>
          <w:p>
            <w:pPr>
              <w:jc w:val="left"/>
            </w:pPr>
            <w:r>
              <w:rPr>
                <w:b w:val="false"/>
                <w:bCs w:val="false"/>
                <w:color w:val="000000"/>
                <w:sz w:val="15"/>
                <w:szCs w:val="15"/>
              </w:rPr>
              <w:t xml:space="preserve">Correct</w:t>
            </w:r>
          </w:p>
        </w:tc>
        <w:tc>
          <w:tcPr>
            <w:tcW w:type="dxa" w:w="5500"/>
            <w:shd w:fill="E2EFDA" w:val="clear"/>
            <w:tcMar>
              <w:top w:type="dxa" w:w="60"/>
              <w:left w:type="dxa" w:w="90"/>
              <w:bottom w:type="dxa" w:w="60"/>
              <w:right w:type="dxa" w:w="90"/>
            </w:tcMar>
            <w:vAlign w:val="center"/>
          </w:tcPr>
          <w:p>
            <w:pPr>
              <w:jc w:val="left"/>
            </w:pPr>
            <w:r>
              <w:rPr>
                <w:b w:val="false"/>
                <w:bCs w:val="false"/>
                <w:color w:val="000000"/>
                <w:sz w:val="15"/>
                <w:szCs w:val="15"/>
              </w:rPr>
              <w:t xml:space="preserve">DIVIDE bien utilisé avec repli à 0.</w:t>
            </w:r>
          </w:p>
        </w:tc>
      </w:tr>
      <w:tr>
        <w:tc>
          <w:tcPr>
            <w:tcW w:type="dxa" w:w="2400"/>
            <w:shd w:fill="E2EFDA" w:val="clear"/>
            <w:tcMar>
              <w:top w:type="dxa" w:w="60"/>
              <w:left w:type="dxa" w:w="90"/>
              <w:bottom w:type="dxa" w:w="60"/>
              <w:right w:type="dxa" w:w="90"/>
            </w:tcMar>
            <w:vAlign w:val="center"/>
          </w:tcPr>
          <w:p>
            <w:pPr>
              <w:jc w:val="left"/>
            </w:pPr>
            <w:r>
              <w:rPr>
                <w:b w:val="false"/>
                <w:bCs w:val="false"/>
                <w:color w:val="000000"/>
                <w:sz w:val="15"/>
                <w:szCs w:val="15"/>
              </w:rPr>
              <w:t xml:space="preserve">% Marge Produits</w:t>
            </w:r>
          </w:p>
        </w:tc>
        <w:tc>
          <w:tcPr>
            <w:tcW w:type="dxa" w:w="1500"/>
            <w:shd w:fill="E2EFDA" w:val="clear"/>
            <w:tcMar>
              <w:top w:type="dxa" w:w="60"/>
              <w:left w:type="dxa" w:w="90"/>
              <w:bottom w:type="dxa" w:w="60"/>
              <w:right w:type="dxa" w:w="90"/>
            </w:tcMar>
            <w:vAlign w:val="center"/>
          </w:tcPr>
          <w:p>
            <w:pPr>
              <w:jc w:val="left"/>
            </w:pPr>
            <w:r>
              <w:rPr>
                <w:b w:val="false"/>
                <w:bCs w:val="false"/>
                <w:color w:val="000000"/>
                <w:sz w:val="15"/>
                <w:szCs w:val="15"/>
              </w:rPr>
              <w:t xml:space="preserve">Correct</w:t>
            </w:r>
          </w:p>
        </w:tc>
        <w:tc>
          <w:tcPr>
            <w:tcW w:type="dxa" w:w="5500"/>
            <w:shd w:fill="E2EFDA" w:val="clear"/>
            <w:tcMar>
              <w:top w:type="dxa" w:w="60"/>
              <w:left w:type="dxa" w:w="90"/>
              <w:bottom w:type="dxa" w:w="60"/>
              <w:right w:type="dxa" w:w="90"/>
            </w:tcMar>
            <w:vAlign w:val="center"/>
          </w:tcPr>
          <w:p>
            <w:pPr>
              <w:jc w:val="left"/>
            </w:pPr>
            <w:r>
              <w:rPr>
                <w:b w:val="false"/>
                <w:bCs w:val="false"/>
                <w:color w:val="000000"/>
                <w:sz w:val="15"/>
                <w:szCs w:val="15"/>
              </w:rPr>
              <w:t xml:space="preserve">Marge brute correctement isolée via variables.</w:t>
            </w:r>
          </w:p>
        </w:tc>
      </w:tr>
      <w:tr>
        <w:tc>
          <w:tcPr>
            <w:tcW w:type="dxa" w:w="2400"/>
            <w:shd w:fill="FFF2CC" w:val="clear"/>
            <w:tcMar>
              <w:top w:type="dxa" w:w="60"/>
              <w:left w:type="dxa" w:w="90"/>
              <w:bottom w:type="dxa" w:w="60"/>
              <w:right w:type="dxa" w:w="90"/>
            </w:tcMar>
            <w:vAlign w:val="center"/>
          </w:tcPr>
          <w:p>
            <w:pPr>
              <w:jc w:val="left"/>
            </w:pPr>
            <w:r>
              <w:rPr>
                <w:b w:val="false"/>
                <w:bCs w:val="false"/>
                <w:color w:val="000000"/>
                <w:sz w:val="15"/>
                <w:szCs w:val="15"/>
              </w:rPr>
              <w:t xml:space="preserve">Annnee Prévisionnelle 2013</w:t>
            </w:r>
          </w:p>
        </w:tc>
        <w:tc>
          <w:tcPr>
            <w:tcW w:type="dxa" w:w="1500"/>
            <w:shd w:fill="FFF2CC" w:val="clear"/>
            <w:tcMar>
              <w:top w:type="dxa" w:w="60"/>
              <w:left w:type="dxa" w:w="90"/>
              <w:bottom w:type="dxa" w:w="60"/>
              <w:right w:type="dxa" w:w="90"/>
            </w:tcMar>
            <w:vAlign w:val="center"/>
          </w:tcPr>
          <w:p>
            <w:pPr>
              <w:jc w:val="left"/>
            </w:pPr>
            <w:r>
              <w:rPr>
                <w:b w:val="false"/>
                <w:bCs w:val="false"/>
                <w:color w:val="000000"/>
                <w:sz w:val="15"/>
                <w:szCs w:val="15"/>
              </w:rPr>
              <w:t xml:space="preserve">À vérifier</w:t>
            </w:r>
          </w:p>
        </w:tc>
        <w:tc>
          <w:tcPr>
            <w:tcW w:type="dxa" w:w="5500"/>
            <w:shd w:fill="FFF2CC" w:val="clear"/>
            <w:tcMar>
              <w:top w:type="dxa" w:w="60"/>
              <w:left w:type="dxa" w:w="90"/>
              <w:bottom w:type="dxa" w:w="60"/>
              <w:right w:type="dxa" w:w="90"/>
            </w:tcMar>
            <w:vAlign w:val="center"/>
          </w:tcPr>
          <w:p>
            <w:pPr>
              <w:jc w:val="left"/>
            </w:pPr>
            <w:r>
              <w:rPr>
                <w:b w:val="false"/>
                <w:bCs w:val="false"/>
                <w:color w:val="000000"/>
                <w:sz w:val="15"/>
                <w:szCs w:val="15"/>
              </w:rPr>
              <w:t xml:space="preserve">Faute de frappe dans le nom ("Annnee") ; logique de moyenne Sept–Déc correcte.</w:t>
            </w:r>
          </w:p>
        </w:tc>
      </w:tr>
      <w:tr>
        <w:tc>
          <w:tcPr>
            <w:tcW w:type="dxa" w:w="2400"/>
            <w:shd w:fill="E2EFDA" w:val="clear"/>
            <w:tcMar>
              <w:top w:type="dxa" w:w="60"/>
              <w:left w:type="dxa" w:w="90"/>
              <w:bottom w:type="dxa" w:w="60"/>
              <w:right w:type="dxa" w:w="90"/>
            </w:tcMar>
            <w:vAlign w:val="center"/>
          </w:tcPr>
          <w:p>
            <w:pPr>
              <w:jc w:val="left"/>
            </w:pPr>
            <w:r>
              <w:rPr>
                <w:b w:val="false"/>
                <w:bCs w:val="false"/>
                <w:color w:val="000000"/>
                <w:sz w:val="15"/>
                <w:szCs w:val="15"/>
              </w:rPr>
              <w:t xml:space="preserve">Cash Flow Mensuel</w:t>
            </w:r>
          </w:p>
        </w:tc>
        <w:tc>
          <w:tcPr>
            <w:tcW w:type="dxa" w:w="1500"/>
            <w:shd w:fill="E2EFDA" w:val="clear"/>
            <w:tcMar>
              <w:top w:type="dxa" w:w="60"/>
              <w:left w:type="dxa" w:w="90"/>
              <w:bottom w:type="dxa" w:w="60"/>
              <w:right w:type="dxa" w:w="90"/>
            </w:tcMar>
            <w:vAlign w:val="center"/>
          </w:tcPr>
          <w:p>
            <w:pPr>
              <w:jc w:val="left"/>
            </w:pPr>
            <w:r>
              <w:rPr>
                <w:b w:val="false"/>
                <w:bCs w:val="false"/>
                <w:color w:val="000000"/>
                <w:sz w:val="15"/>
                <w:szCs w:val="15"/>
              </w:rPr>
              <w:t xml:space="preserve">Correct</w:t>
            </w:r>
          </w:p>
        </w:tc>
        <w:tc>
          <w:tcPr>
            <w:tcW w:type="dxa" w:w="5500"/>
            <w:shd w:fill="E2EFDA" w:val="clear"/>
            <w:tcMar>
              <w:top w:type="dxa" w:w="60"/>
              <w:left w:type="dxa" w:w="90"/>
              <w:bottom w:type="dxa" w:w="60"/>
              <w:right w:type="dxa" w:w="90"/>
            </w:tcMar>
            <w:vAlign w:val="center"/>
          </w:tcPr>
          <w:p>
            <w:pPr>
              <w:jc w:val="left"/>
            </w:pPr>
            <w:r>
              <w:rPr>
                <w:b w:val="false"/>
                <w:bCs w:val="false"/>
                <w:color w:val="000000"/>
                <w:sz w:val="15"/>
                <w:szCs w:val="15"/>
              </w:rPr>
              <w:t xml:space="preserve">DIVIDE protégé, dénominateur basé sur SUMMARIZE Année/Mois — logique saine.</w:t>
            </w:r>
          </w:p>
        </w:tc>
      </w:tr>
      <w:tr>
        <w:tc>
          <w:tcPr>
            <w:tcW w:type="dxa" w:w="2400"/>
            <w:shd w:fill="FFF2CC" w:val="clear"/>
            <w:tcMar>
              <w:top w:type="dxa" w:w="60"/>
              <w:left w:type="dxa" w:w="90"/>
              <w:bottom w:type="dxa" w:w="60"/>
              <w:right w:type="dxa" w:w="90"/>
            </w:tcMar>
            <w:vAlign w:val="center"/>
          </w:tcPr>
          <w:p>
            <w:pPr>
              <w:jc w:val="left"/>
            </w:pPr>
            <w:r>
              <w:rPr>
                <w:b w:val="false"/>
                <w:bCs w:val="false"/>
                <w:color w:val="000000"/>
                <w:sz w:val="15"/>
                <w:szCs w:val="15"/>
              </w:rPr>
              <w:t xml:space="preserve">Cash Flow Moyen Brut Mensuel</w:t>
            </w:r>
          </w:p>
        </w:tc>
        <w:tc>
          <w:tcPr>
            <w:tcW w:type="dxa" w:w="1500"/>
            <w:shd w:fill="FFF2CC" w:val="clear"/>
            <w:tcMar>
              <w:top w:type="dxa" w:w="60"/>
              <w:left w:type="dxa" w:w="90"/>
              <w:bottom w:type="dxa" w:w="60"/>
              <w:right w:type="dxa" w:w="90"/>
            </w:tcMar>
            <w:vAlign w:val="center"/>
          </w:tcPr>
          <w:p>
            <w:pPr>
              <w:jc w:val="left"/>
            </w:pPr>
            <w:r>
              <w:rPr>
                <w:b w:val="false"/>
                <w:bCs w:val="false"/>
                <w:color w:val="000000"/>
                <w:sz w:val="15"/>
                <w:szCs w:val="15"/>
              </w:rPr>
              <w:t xml:space="preserve">À vérifier</w:t>
            </w:r>
          </w:p>
        </w:tc>
        <w:tc>
          <w:tcPr>
            <w:tcW w:type="dxa" w:w="5500"/>
            <w:shd w:fill="FFF2CC" w:val="clear"/>
            <w:tcMar>
              <w:top w:type="dxa" w:w="60"/>
              <w:left w:type="dxa" w:w="90"/>
              <w:bottom w:type="dxa" w:w="60"/>
              <w:right w:type="dxa" w:w="90"/>
            </w:tcMar>
            <w:vAlign w:val="center"/>
          </w:tcPr>
          <w:p>
            <w:pPr>
              <w:jc w:val="left"/>
            </w:pPr>
            <w:r>
              <w:rPr>
                <w:b w:val="false"/>
                <w:bCs w:val="false"/>
                <w:color w:val="000000"/>
                <w:sz w:val="15"/>
                <w:szCs w:val="15"/>
              </w:rPr>
              <w:t xml:space="preserve">Dépend de [Profit Cumule], qui n'est pas un vrai cumul (voir 4.2).</w:t>
            </w:r>
          </w:p>
        </w:tc>
      </w:tr>
      <w:tr>
        <w:tc>
          <w:tcPr>
            <w:tcW w:type="dxa" w:w="2400"/>
            <w:shd w:fill="FCE4E4" w:val="clear"/>
            <w:tcMar>
              <w:top w:type="dxa" w:w="60"/>
              <w:left w:type="dxa" w:w="90"/>
              <w:bottom w:type="dxa" w:w="60"/>
              <w:right w:type="dxa" w:w="90"/>
            </w:tcMar>
            <w:vAlign w:val="center"/>
          </w:tcPr>
          <w:p>
            <w:pPr>
              <w:jc w:val="left"/>
            </w:pPr>
            <w:r>
              <w:rPr>
                <w:b w:val="false"/>
                <w:bCs w:val="false"/>
                <w:color w:val="000000"/>
                <w:sz w:val="15"/>
                <w:szCs w:val="15"/>
              </w:rPr>
              <w:t xml:space="preserve">Couleur Barre du Leader</w:t>
            </w:r>
          </w:p>
        </w:tc>
        <w:tc>
          <w:tcPr>
            <w:tcW w:type="dxa" w:w="1500"/>
            <w:shd w:fill="FCE4E4" w:val="clear"/>
            <w:tcMar>
              <w:top w:type="dxa" w:w="60"/>
              <w:left w:type="dxa" w:w="90"/>
              <w:bottom w:type="dxa" w:w="60"/>
              <w:right w:type="dxa" w:w="90"/>
            </w:tcMar>
            <w:vAlign w:val="center"/>
          </w:tcPr>
          <w:p>
            <w:pPr>
              <w:jc w:val="left"/>
            </w:pPr>
            <w:r>
              <w:rPr>
                <w:b w:val="false"/>
                <w:bCs w:val="false"/>
                <w:color w:val="000000"/>
                <w:sz w:val="15"/>
                <w:szCs w:val="15"/>
              </w:rPr>
              <w:t xml:space="preserve">Bug confirmé</w:t>
            </w:r>
          </w:p>
        </w:tc>
        <w:tc>
          <w:tcPr>
            <w:tcW w:type="dxa" w:w="5500"/>
            <w:shd w:fill="FCE4E4" w:val="clear"/>
            <w:tcMar>
              <w:top w:type="dxa" w:w="60"/>
              <w:left w:type="dxa" w:w="90"/>
              <w:bottom w:type="dxa" w:w="60"/>
              <w:right w:type="dxa" w:w="90"/>
            </w:tcMar>
            <w:vAlign w:val="center"/>
          </w:tcPr>
          <w:p>
            <w:pPr>
              <w:jc w:val="left"/>
            </w:pPr>
            <w:r>
              <w:rPr>
                <w:b w:val="false"/>
                <w:bCs w:val="false"/>
                <w:color w:val="000000"/>
                <w:sz w:val="15"/>
                <w:szCs w:val="15"/>
              </w:rPr>
              <w:t xml:space="preserve">Code couleur "#FFB8000" invalide (7 caractères) — voir 4.2.</w:t>
            </w:r>
          </w:p>
        </w:tc>
      </w:tr>
      <w:tr>
        <w:tc>
          <w:tcPr>
            <w:tcW w:type="dxa" w:w="2400"/>
            <w:shd w:fill="FCE4E4" w:val="clear"/>
            <w:tcMar>
              <w:top w:type="dxa" w:w="60"/>
              <w:left w:type="dxa" w:w="90"/>
              <w:bottom w:type="dxa" w:w="60"/>
              <w:right w:type="dxa" w:w="90"/>
            </w:tcMar>
            <w:vAlign w:val="center"/>
          </w:tcPr>
          <w:p>
            <w:pPr>
              <w:jc w:val="left"/>
            </w:pPr>
            <w:r>
              <w:rPr>
                <w:b w:val="false"/>
                <w:bCs w:val="false"/>
                <w:color w:val="000000"/>
                <w:sz w:val="15"/>
                <w:szCs w:val="15"/>
              </w:rPr>
              <w:t xml:space="preserve">Couleur Cash Flow</w:t>
            </w:r>
          </w:p>
        </w:tc>
        <w:tc>
          <w:tcPr>
            <w:tcW w:type="dxa" w:w="1500"/>
            <w:shd w:fill="FCE4E4" w:val="clear"/>
            <w:tcMar>
              <w:top w:type="dxa" w:w="60"/>
              <w:left w:type="dxa" w:w="90"/>
              <w:bottom w:type="dxa" w:w="60"/>
              <w:right w:type="dxa" w:w="90"/>
            </w:tcMar>
            <w:vAlign w:val="center"/>
          </w:tcPr>
          <w:p>
            <w:pPr>
              <w:jc w:val="left"/>
            </w:pPr>
            <w:r>
              <w:rPr>
                <w:b w:val="false"/>
                <w:bCs w:val="false"/>
                <w:color w:val="000000"/>
                <w:sz w:val="15"/>
                <w:szCs w:val="15"/>
              </w:rPr>
              <w:t xml:space="preserve">Bug confirmé</w:t>
            </w:r>
          </w:p>
        </w:tc>
        <w:tc>
          <w:tcPr>
            <w:tcW w:type="dxa" w:w="5500"/>
            <w:shd w:fill="FCE4E4" w:val="clear"/>
            <w:tcMar>
              <w:top w:type="dxa" w:w="60"/>
              <w:left w:type="dxa" w:w="90"/>
              <w:bottom w:type="dxa" w:w="60"/>
              <w:right w:type="dxa" w:w="90"/>
            </w:tcMar>
            <w:vAlign w:val="center"/>
          </w:tcPr>
          <w:p>
            <w:pPr>
              <w:jc w:val="left"/>
            </w:pPr>
            <w:r>
              <w:rPr>
                <w:b w:val="false"/>
                <w:bCs w:val="false"/>
                <w:color w:val="000000"/>
                <w:sz w:val="15"/>
                <w:szCs w:val="15"/>
              </w:rPr>
              <w:t xml:space="preserve">Compare un flux de trésorerie à un objectif de vente (échelle incohérente) — voir 4.2.</w:t>
            </w:r>
          </w:p>
        </w:tc>
      </w:tr>
      <w:tr>
        <w:tc>
          <w:tcPr>
            <w:tcW w:type="dxa" w:w="2400"/>
            <w:shd w:fill="E2EFDA" w:val="clear"/>
            <w:tcMar>
              <w:top w:type="dxa" w:w="60"/>
              <w:left w:type="dxa" w:w="90"/>
              <w:bottom w:type="dxa" w:w="60"/>
              <w:right w:type="dxa" w:w="90"/>
            </w:tcMar>
            <w:vAlign w:val="center"/>
          </w:tcPr>
          <w:p>
            <w:pPr>
              <w:jc w:val="left"/>
            </w:pPr>
            <w:r>
              <w:rPr>
                <w:b w:val="false"/>
                <w:bCs w:val="false"/>
                <w:color w:val="000000"/>
                <w:sz w:val="15"/>
                <w:szCs w:val="15"/>
              </w:rPr>
              <w:t xml:space="preserve">Couleur Indice Solvabilite</w:t>
            </w:r>
          </w:p>
        </w:tc>
        <w:tc>
          <w:tcPr>
            <w:tcW w:type="dxa" w:w="1500"/>
            <w:shd w:fill="E2EFDA" w:val="clear"/>
            <w:tcMar>
              <w:top w:type="dxa" w:w="60"/>
              <w:left w:type="dxa" w:w="90"/>
              <w:bottom w:type="dxa" w:w="60"/>
              <w:right w:type="dxa" w:w="90"/>
            </w:tcMar>
            <w:vAlign w:val="center"/>
          </w:tcPr>
          <w:p>
            <w:pPr>
              <w:jc w:val="left"/>
            </w:pPr>
            <w:r>
              <w:rPr>
                <w:b w:val="false"/>
                <w:bCs w:val="false"/>
                <w:color w:val="000000"/>
                <w:sz w:val="15"/>
                <w:szCs w:val="15"/>
              </w:rPr>
              <w:t xml:space="preserve">Correct</w:t>
            </w:r>
          </w:p>
        </w:tc>
        <w:tc>
          <w:tcPr>
            <w:tcW w:type="dxa" w:w="5500"/>
            <w:shd w:fill="E2EFDA" w:val="clear"/>
            <w:tcMar>
              <w:top w:type="dxa" w:w="60"/>
              <w:left w:type="dxa" w:w="90"/>
              <w:bottom w:type="dxa" w:w="60"/>
              <w:right w:type="dxa" w:w="90"/>
            </w:tcMar>
            <w:vAlign w:val="center"/>
          </w:tcPr>
          <w:p>
            <w:pPr>
              <w:jc w:val="left"/>
            </w:pPr>
            <w:r>
              <w:rPr>
                <w:b w:val="false"/>
                <w:bCs w:val="false"/>
                <w:color w:val="000000"/>
                <w:sz w:val="15"/>
                <w:szCs w:val="15"/>
              </w:rPr>
              <w:t xml:space="preserve">Seuil binaire simple et cohérent (&gt;=1).</w:t>
            </w:r>
          </w:p>
        </w:tc>
      </w:tr>
      <w:tr>
        <w:tc>
          <w:tcPr>
            <w:tcW w:type="dxa" w:w="2400"/>
            <w:shd w:fill="E2EFDA" w:val="clear"/>
            <w:tcMar>
              <w:top w:type="dxa" w:w="60"/>
              <w:left w:type="dxa" w:w="90"/>
              <w:bottom w:type="dxa" w:w="60"/>
              <w:right w:type="dxa" w:w="90"/>
            </w:tcMar>
            <w:vAlign w:val="center"/>
          </w:tcPr>
          <w:p>
            <w:pPr>
              <w:jc w:val="left"/>
            </w:pPr>
            <w:r>
              <w:rPr>
                <w:b w:val="false"/>
                <w:bCs w:val="false"/>
                <w:color w:val="000000"/>
                <w:sz w:val="15"/>
                <w:szCs w:val="15"/>
              </w:rPr>
              <w:t xml:space="preserve">Couleur Marge Tooltip</w:t>
            </w:r>
          </w:p>
        </w:tc>
        <w:tc>
          <w:tcPr>
            <w:tcW w:type="dxa" w:w="1500"/>
            <w:shd w:fill="E2EFDA" w:val="clear"/>
            <w:tcMar>
              <w:top w:type="dxa" w:w="60"/>
              <w:left w:type="dxa" w:w="90"/>
              <w:bottom w:type="dxa" w:w="60"/>
              <w:right w:type="dxa" w:w="90"/>
            </w:tcMar>
            <w:vAlign w:val="center"/>
          </w:tcPr>
          <w:p>
            <w:pPr>
              <w:jc w:val="left"/>
            </w:pPr>
            <w:r>
              <w:rPr>
                <w:b w:val="false"/>
                <w:bCs w:val="false"/>
                <w:color w:val="000000"/>
                <w:sz w:val="15"/>
                <w:szCs w:val="15"/>
              </w:rPr>
              <w:t xml:space="preserve">Correct</w:t>
            </w:r>
          </w:p>
        </w:tc>
        <w:tc>
          <w:tcPr>
            <w:tcW w:type="dxa" w:w="5500"/>
            <w:shd w:fill="E2EFDA" w:val="clear"/>
            <w:tcMar>
              <w:top w:type="dxa" w:w="60"/>
              <w:left w:type="dxa" w:w="90"/>
              <w:bottom w:type="dxa" w:w="60"/>
              <w:right w:type="dxa" w:w="90"/>
            </w:tcMar>
            <w:vAlign w:val="center"/>
          </w:tcPr>
          <w:p>
            <w:pPr>
              <w:jc w:val="left"/>
            </w:pPr>
            <w:r>
              <w:rPr>
                <w:b w:val="false"/>
                <w:bCs w:val="false"/>
                <w:color w:val="000000"/>
                <w:sz w:val="15"/>
                <w:szCs w:val="15"/>
              </w:rPr>
              <w:t xml:space="preserve">Seuils de marge cohérents (10 % / 25 %).</w:t>
            </w:r>
          </w:p>
        </w:tc>
      </w:tr>
      <w:tr>
        <w:tc>
          <w:tcPr>
            <w:tcW w:type="dxa" w:w="2400"/>
            <w:shd w:fill="E2EFDA" w:val="clear"/>
            <w:tcMar>
              <w:top w:type="dxa" w:w="60"/>
              <w:left w:type="dxa" w:w="90"/>
              <w:bottom w:type="dxa" w:w="60"/>
              <w:right w:type="dxa" w:w="90"/>
            </w:tcMar>
            <w:vAlign w:val="center"/>
          </w:tcPr>
          <w:p>
            <w:pPr>
              <w:jc w:val="left"/>
            </w:pPr>
            <w:r>
              <w:rPr>
                <w:b w:val="false"/>
                <w:bCs w:val="false"/>
                <w:color w:val="000000"/>
                <w:sz w:val="15"/>
                <w:szCs w:val="15"/>
              </w:rPr>
              <w:t xml:space="preserve">Couleur Periode de Survie</w:t>
            </w:r>
          </w:p>
        </w:tc>
        <w:tc>
          <w:tcPr>
            <w:tcW w:type="dxa" w:w="1500"/>
            <w:shd w:fill="E2EFDA" w:val="clear"/>
            <w:tcMar>
              <w:top w:type="dxa" w:w="60"/>
              <w:left w:type="dxa" w:w="90"/>
              <w:bottom w:type="dxa" w:w="60"/>
              <w:right w:type="dxa" w:w="90"/>
            </w:tcMar>
            <w:vAlign w:val="center"/>
          </w:tcPr>
          <w:p>
            <w:pPr>
              <w:jc w:val="left"/>
            </w:pPr>
            <w:r>
              <w:rPr>
                <w:b w:val="false"/>
                <w:bCs w:val="false"/>
                <w:color w:val="000000"/>
                <w:sz w:val="15"/>
                <w:szCs w:val="15"/>
              </w:rPr>
              <w:t xml:space="preserve">Correct</w:t>
            </w:r>
          </w:p>
        </w:tc>
        <w:tc>
          <w:tcPr>
            <w:tcW w:type="dxa" w:w="5500"/>
            <w:shd w:fill="E2EFDA" w:val="clear"/>
            <w:tcMar>
              <w:top w:type="dxa" w:w="60"/>
              <w:left w:type="dxa" w:w="90"/>
              <w:bottom w:type="dxa" w:w="60"/>
              <w:right w:type="dxa" w:w="90"/>
            </w:tcMar>
            <w:vAlign w:val="center"/>
          </w:tcPr>
          <w:p>
            <w:pPr>
              <w:jc w:val="left"/>
            </w:pPr>
            <w:r>
              <w:rPr>
                <w:b w:val="false"/>
                <w:bCs w:val="false"/>
                <w:color w:val="000000"/>
                <w:sz w:val="15"/>
                <w:szCs w:val="15"/>
              </w:rPr>
              <w:t xml:space="preserve">Logique simple et cohérente.</w:t>
            </w:r>
          </w:p>
        </w:tc>
      </w:tr>
      <w:tr>
        <w:tc>
          <w:tcPr>
            <w:tcW w:type="dxa" w:w="2400"/>
            <w:shd w:fill="E2EFDA" w:val="clear"/>
            <w:tcMar>
              <w:top w:type="dxa" w:w="60"/>
              <w:left w:type="dxa" w:w="90"/>
              <w:bottom w:type="dxa" w:w="60"/>
              <w:right w:type="dxa" w:w="90"/>
            </w:tcMar>
            <w:vAlign w:val="center"/>
          </w:tcPr>
          <w:p>
            <w:pPr>
              <w:jc w:val="left"/>
            </w:pPr>
            <w:r>
              <w:rPr>
                <w:b w:val="false"/>
                <w:bCs w:val="false"/>
                <w:color w:val="000000"/>
                <w:sz w:val="15"/>
                <w:szCs w:val="15"/>
              </w:rPr>
              <w:t xml:space="preserve">Couleur Prediction Survie 2015</w:t>
            </w:r>
          </w:p>
        </w:tc>
        <w:tc>
          <w:tcPr>
            <w:tcW w:type="dxa" w:w="1500"/>
            <w:shd w:fill="E2EFDA" w:val="clear"/>
            <w:tcMar>
              <w:top w:type="dxa" w:w="60"/>
              <w:left w:type="dxa" w:w="90"/>
              <w:bottom w:type="dxa" w:w="60"/>
              <w:right w:type="dxa" w:w="90"/>
            </w:tcMar>
            <w:vAlign w:val="center"/>
          </w:tcPr>
          <w:p>
            <w:pPr>
              <w:jc w:val="left"/>
            </w:pPr>
            <w:r>
              <w:rPr>
                <w:b w:val="false"/>
                <w:bCs w:val="false"/>
                <w:color w:val="000000"/>
                <w:sz w:val="15"/>
                <w:szCs w:val="15"/>
              </w:rPr>
              <w:t xml:space="preserve">Correct</w:t>
            </w:r>
          </w:p>
        </w:tc>
        <w:tc>
          <w:tcPr>
            <w:tcW w:type="dxa" w:w="5500"/>
            <w:shd w:fill="E2EFDA" w:val="clear"/>
            <w:tcMar>
              <w:top w:type="dxa" w:w="60"/>
              <w:left w:type="dxa" w:w="90"/>
              <w:bottom w:type="dxa" w:w="60"/>
              <w:right w:type="dxa" w:w="90"/>
            </w:tcMar>
            <w:vAlign w:val="center"/>
          </w:tcPr>
          <w:p>
            <w:pPr>
              <w:jc w:val="left"/>
            </w:pPr>
            <w:r>
              <w:rPr>
                <w:b w:val="false"/>
                <w:bCs w:val="false"/>
                <w:color w:val="000000"/>
                <w:sz w:val="15"/>
                <w:szCs w:val="15"/>
              </w:rPr>
              <w:t xml:space="preserve">Logique simple et cohérente.</w:t>
            </w:r>
          </w:p>
        </w:tc>
      </w:tr>
      <w:tr>
        <w:tc>
          <w:tcPr>
            <w:tcW w:type="dxa" w:w="2400"/>
            <w:shd w:fill="FCE4E4" w:val="clear"/>
            <w:tcMar>
              <w:top w:type="dxa" w:w="60"/>
              <w:left w:type="dxa" w:w="90"/>
              <w:bottom w:type="dxa" w:w="60"/>
              <w:right w:type="dxa" w:w="90"/>
            </w:tcMar>
            <w:vAlign w:val="center"/>
          </w:tcPr>
          <w:p>
            <w:pPr>
              <w:jc w:val="left"/>
            </w:pPr>
            <w:r>
              <w:rPr>
                <w:b w:val="false"/>
                <w:bCs w:val="false"/>
                <w:color w:val="000000"/>
                <w:sz w:val="15"/>
                <w:szCs w:val="15"/>
              </w:rPr>
              <w:t xml:space="preserve">Depenses cumulees</w:t>
            </w:r>
          </w:p>
        </w:tc>
        <w:tc>
          <w:tcPr>
            <w:tcW w:type="dxa" w:w="1500"/>
            <w:shd w:fill="FCE4E4" w:val="clear"/>
            <w:tcMar>
              <w:top w:type="dxa" w:w="60"/>
              <w:left w:type="dxa" w:w="90"/>
              <w:bottom w:type="dxa" w:w="60"/>
              <w:right w:type="dxa" w:w="90"/>
            </w:tcMar>
            <w:vAlign w:val="center"/>
          </w:tcPr>
          <w:p>
            <w:pPr>
              <w:jc w:val="left"/>
            </w:pPr>
            <w:r>
              <w:rPr>
                <w:b w:val="false"/>
                <w:bCs w:val="false"/>
                <w:color w:val="000000"/>
                <w:sz w:val="15"/>
                <w:szCs w:val="15"/>
              </w:rPr>
              <w:t xml:space="preserve">Bug confirmé</w:t>
            </w:r>
          </w:p>
        </w:tc>
        <w:tc>
          <w:tcPr>
            <w:tcW w:type="dxa" w:w="5500"/>
            <w:shd w:fill="FCE4E4" w:val="clear"/>
            <w:tcMar>
              <w:top w:type="dxa" w:w="60"/>
              <w:left w:type="dxa" w:w="90"/>
              <w:bottom w:type="dxa" w:w="60"/>
              <w:right w:type="dxa" w:w="90"/>
            </w:tcMar>
            <w:vAlign w:val="center"/>
          </w:tcPr>
          <w:p>
            <w:pPr>
              <w:jc w:val="left"/>
            </w:pPr>
            <w:r>
              <w:rPr>
                <w:b w:val="false"/>
                <w:bCs w:val="false"/>
                <w:color w:val="000000"/>
                <w:sz w:val="15"/>
                <w:szCs w:val="15"/>
              </w:rPr>
              <w:t xml:space="preserve">N'est pas un cumul temporel malgré son nom — simple somme du contexte (voir 4.2).</w:t>
            </w:r>
          </w:p>
        </w:tc>
      </w:tr>
      <w:tr>
        <w:tc>
          <w:tcPr>
            <w:tcW w:type="dxa" w:w="2400"/>
            <w:shd w:fill="E2EFDA" w:val="clear"/>
            <w:tcMar>
              <w:top w:type="dxa" w:w="60"/>
              <w:left w:type="dxa" w:w="90"/>
              <w:bottom w:type="dxa" w:w="60"/>
              <w:right w:type="dxa" w:w="90"/>
            </w:tcMar>
            <w:vAlign w:val="center"/>
          </w:tcPr>
          <w:p>
            <w:pPr>
              <w:jc w:val="left"/>
            </w:pPr>
            <w:r>
              <w:rPr>
                <w:b w:val="false"/>
                <w:bCs w:val="false"/>
                <w:color w:val="000000"/>
                <w:sz w:val="15"/>
                <w:szCs w:val="15"/>
              </w:rPr>
              <w:t xml:space="preserve">Dépenses moyennes mensuelles</w:t>
            </w:r>
          </w:p>
        </w:tc>
        <w:tc>
          <w:tcPr>
            <w:tcW w:type="dxa" w:w="1500"/>
            <w:shd w:fill="E2EFDA" w:val="clear"/>
            <w:tcMar>
              <w:top w:type="dxa" w:w="60"/>
              <w:left w:type="dxa" w:w="90"/>
              <w:bottom w:type="dxa" w:w="60"/>
              <w:right w:type="dxa" w:w="90"/>
            </w:tcMar>
            <w:vAlign w:val="center"/>
          </w:tcPr>
          <w:p>
            <w:pPr>
              <w:jc w:val="left"/>
            </w:pPr>
            <w:r>
              <w:rPr>
                <w:b w:val="false"/>
                <w:bCs w:val="false"/>
                <w:color w:val="000000"/>
                <w:sz w:val="15"/>
                <w:szCs w:val="15"/>
              </w:rPr>
              <w:t xml:space="preserve">Correct</w:t>
            </w:r>
          </w:p>
        </w:tc>
        <w:tc>
          <w:tcPr>
            <w:tcW w:type="dxa" w:w="5500"/>
            <w:shd w:fill="E2EFDA" w:val="clear"/>
            <w:tcMar>
              <w:top w:type="dxa" w:w="60"/>
              <w:left w:type="dxa" w:w="90"/>
              <w:bottom w:type="dxa" w:w="60"/>
              <w:right w:type="dxa" w:w="90"/>
            </w:tcMar>
            <w:vAlign w:val="center"/>
          </w:tcPr>
          <w:p>
            <w:pPr>
              <w:jc w:val="left"/>
            </w:pPr>
            <w:r>
              <w:rPr>
                <w:b w:val="false"/>
                <w:bCs w:val="false"/>
                <w:color w:val="000000"/>
                <w:sz w:val="15"/>
                <w:szCs w:val="15"/>
              </w:rPr>
              <w:t xml:space="preserve">DIVIDE protégé, dénominateur cohérent.</w:t>
            </w:r>
          </w:p>
        </w:tc>
      </w:tr>
      <w:tr>
        <w:tc>
          <w:tcPr>
            <w:tcW w:type="dxa" w:w="2400"/>
            <w:shd w:fill="FCE4E4" w:val="clear"/>
            <w:tcMar>
              <w:top w:type="dxa" w:w="60"/>
              <w:left w:type="dxa" w:w="90"/>
              <w:bottom w:type="dxa" w:w="60"/>
              <w:right w:type="dxa" w:w="90"/>
            </w:tcMar>
            <w:vAlign w:val="center"/>
          </w:tcPr>
          <w:p>
            <w:pPr>
              <w:jc w:val="left"/>
            </w:pPr>
            <w:r>
              <w:rPr>
                <w:b w:val="false"/>
                <w:bCs w:val="false"/>
                <w:color w:val="000000"/>
                <w:sz w:val="15"/>
                <w:szCs w:val="15"/>
              </w:rPr>
              <w:t xml:space="preserve">Ecart Profit vs Objectif</w:t>
            </w:r>
          </w:p>
        </w:tc>
        <w:tc>
          <w:tcPr>
            <w:tcW w:type="dxa" w:w="1500"/>
            <w:shd w:fill="FCE4E4" w:val="clear"/>
            <w:tcMar>
              <w:top w:type="dxa" w:w="60"/>
              <w:left w:type="dxa" w:w="90"/>
              <w:bottom w:type="dxa" w:w="60"/>
              <w:right w:type="dxa" w:w="90"/>
            </w:tcMar>
            <w:vAlign w:val="center"/>
          </w:tcPr>
          <w:p>
            <w:pPr>
              <w:jc w:val="left"/>
            </w:pPr>
            <w:r>
              <w:rPr>
                <w:b w:val="false"/>
                <w:bCs w:val="false"/>
                <w:color w:val="000000"/>
                <w:sz w:val="15"/>
                <w:szCs w:val="15"/>
              </w:rPr>
              <w:t xml:space="preserve">Bug confirmé</w:t>
            </w:r>
          </w:p>
        </w:tc>
        <w:tc>
          <w:tcPr>
            <w:tcW w:type="dxa" w:w="5500"/>
            <w:shd w:fill="FCE4E4" w:val="clear"/>
            <w:tcMar>
              <w:top w:type="dxa" w:w="60"/>
              <w:left w:type="dxa" w:w="90"/>
              <w:bottom w:type="dxa" w:w="60"/>
              <w:right w:type="dxa" w:w="90"/>
            </w:tcMar>
            <w:vAlign w:val="center"/>
          </w:tcPr>
          <w:p>
            <w:pPr>
              <w:jc w:val="left"/>
            </w:pPr>
            <w:r>
              <w:rPr>
                <w:b w:val="false"/>
                <w:bCs w:val="false"/>
                <w:color w:val="000000"/>
                <w:sz w:val="15"/>
                <w:szCs w:val="15"/>
              </w:rPr>
              <w:t xml:space="preserve">Chiffres 3 880 000 et 13 020 000 codés en dur — voir 4.2.</w:t>
            </w:r>
          </w:p>
        </w:tc>
      </w:tr>
      <w:tr>
        <w:tc>
          <w:tcPr>
            <w:tcW w:type="dxa" w:w="2400"/>
            <w:shd w:fill="FFF2CC" w:val="clear"/>
            <w:tcMar>
              <w:top w:type="dxa" w:w="60"/>
              <w:left w:type="dxa" w:w="90"/>
              <w:bottom w:type="dxa" w:w="60"/>
              <w:right w:type="dxa" w:w="90"/>
            </w:tcMar>
            <w:vAlign w:val="center"/>
          </w:tcPr>
          <w:p>
            <w:pPr>
              <w:jc w:val="left"/>
            </w:pPr>
            <w:r>
              <w:rPr>
                <w:b w:val="false"/>
                <w:bCs w:val="false"/>
                <w:color w:val="000000"/>
                <w:sz w:val="15"/>
                <w:szCs w:val="15"/>
              </w:rPr>
              <w:t xml:space="preserve">Free Cash Flow Estime</w:t>
            </w:r>
          </w:p>
        </w:tc>
        <w:tc>
          <w:tcPr>
            <w:tcW w:type="dxa" w:w="1500"/>
            <w:shd w:fill="FFF2CC" w:val="clear"/>
            <w:tcMar>
              <w:top w:type="dxa" w:w="60"/>
              <w:left w:type="dxa" w:w="90"/>
              <w:bottom w:type="dxa" w:w="60"/>
              <w:right w:type="dxa" w:w="90"/>
            </w:tcMar>
            <w:vAlign w:val="center"/>
          </w:tcPr>
          <w:p>
            <w:pPr>
              <w:jc w:val="left"/>
            </w:pPr>
            <w:r>
              <w:rPr>
                <w:b w:val="false"/>
                <w:bCs w:val="false"/>
                <w:color w:val="000000"/>
                <w:sz w:val="15"/>
                <w:szCs w:val="15"/>
              </w:rPr>
              <w:t xml:space="preserve">À vérifier</w:t>
            </w:r>
          </w:p>
        </w:tc>
        <w:tc>
          <w:tcPr>
            <w:tcW w:type="dxa" w:w="5500"/>
            <w:shd w:fill="FFF2CC" w:val="clear"/>
            <w:tcMar>
              <w:top w:type="dxa" w:w="60"/>
              <w:left w:type="dxa" w:w="90"/>
              <w:bottom w:type="dxa" w:w="60"/>
              <w:right w:type="dxa" w:w="90"/>
            </w:tcMar>
            <w:vAlign w:val="center"/>
          </w:tcPr>
          <w:p>
            <w:pPr>
              <w:jc w:val="left"/>
            </w:pPr>
            <w:r>
              <w:rPr>
                <w:b w:val="false"/>
                <w:bCs w:val="false"/>
                <w:color w:val="000000"/>
                <w:sz w:val="15"/>
                <w:szCs w:val="15"/>
              </w:rPr>
              <w:t xml:space="preserve">Taux d'impôt 25 % codé en dur, dupliqué dans Variation FCF.</w:t>
            </w:r>
          </w:p>
        </w:tc>
      </w:tr>
      <w:tr>
        <w:tc>
          <w:tcPr>
            <w:tcW w:type="dxa" w:w="2400"/>
            <w:shd w:fill="E2EFDA" w:val="clear"/>
            <w:tcMar>
              <w:top w:type="dxa" w:w="60"/>
              <w:left w:type="dxa" w:w="90"/>
              <w:bottom w:type="dxa" w:w="60"/>
              <w:right w:type="dxa" w:w="90"/>
            </w:tcMar>
            <w:vAlign w:val="center"/>
          </w:tcPr>
          <w:p>
            <w:pPr>
              <w:jc w:val="left"/>
            </w:pPr>
            <w:r>
              <w:rPr>
                <w:b w:val="false"/>
                <w:bCs w:val="false"/>
                <w:color w:val="000000"/>
                <w:sz w:val="15"/>
                <w:szCs w:val="15"/>
              </w:rPr>
              <w:t xml:space="preserve">Impact sur le Profit</w:t>
            </w:r>
          </w:p>
        </w:tc>
        <w:tc>
          <w:tcPr>
            <w:tcW w:type="dxa" w:w="1500"/>
            <w:shd w:fill="E2EFDA" w:val="clear"/>
            <w:tcMar>
              <w:top w:type="dxa" w:w="60"/>
              <w:left w:type="dxa" w:w="90"/>
              <w:bottom w:type="dxa" w:w="60"/>
              <w:right w:type="dxa" w:w="90"/>
            </w:tcMar>
            <w:vAlign w:val="center"/>
          </w:tcPr>
          <w:p>
            <w:pPr>
              <w:jc w:val="left"/>
            </w:pPr>
            <w:r>
              <w:rPr>
                <w:b w:val="false"/>
                <w:bCs w:val="false"/>
                <w:color w:val="000000"/>
                <w:sz w:val="15"/>
                <w:szCs w:val="15"/>
              </w:rPr>
              <w:t xml:space="preserve">Correct</w:t>
            </w:r>
          </w:p>
        </w:tc>
        <w:tc>
          <w:tcPr>
            <w:tcW w:type="dxa" w:w="5500"/>
            <w:shd w:fill="E2EFDA" w:val="clear"/>
            <w:tcMar>
              <w:top w:type="dxa" w:w="60"/>
              <w:left w:type="dxa" w:w="90"/>
              <w:bottom w:type="dxa" w:w="60"/>
              <w:right w:type="dxa" w:w="90"/>
            </w:tcMar>
            <w:vAlign w:val="center"/>
          </w:tcPr>
          <w:p>
            <w:pPr>
              <w:jc w:val="left"/>
            </w:pPr>
            <w:r>
              <w:rPr>
                <w:b w:val="false"/>
                <w:bCs w:val="false"/>
                <w:color w:val="000000"/>
                <w:sz w:val="15"/>
                <w:szCs w:val="15"/>
              </w:rPr>
              <w:t xml:space="preserve">Simulation cohérente, bien construite avec des variables.</w:t>
            </w:r>
          </w:p>
        </w:tc>
      </w:tr>
      <w:tr>
        <w:tc>
          <w:tcPr>
            <w:tcW w:type="dxa" w:w="2400"/>
            <w:shd w:fill="E2EFDA" w:val="clear"/>
            <w:tcMar>
              <w:top w:type="dxa" w:w="60"/>
              <w:left w:type="dxa" w:w="90"/>
              <w:bottom w:type="dxa" w:w="60"/>
              <w:right w:type="dxa" w:w="90"/>
            </w:tcMar>
            <w:vAlign w:val="center"/>
          </w:tcPr>
          <w:p>
            <w:pPr>
              <w:jc w:val="left"/>
            </w:pPr>
            <w:r>
              <w:rPr>
                <w:b w:val="false"/>
                <w:bCs w:val="false"/>
                <w:color w:val="000000"/>
                <w:sz w:val="15"/>
                <w:szCs w:val="15"/>
              </w:rPr>
              <w:t xml:space="preserve">Indice de solvabilité</w:t>
            </w:r>
          </w:p>
        </w:tc>
        <w:tc>
          <w:tcPr>
            <w:tcW w:type="dxa" w:w="1500"/>
            <w:shd w:fill="E2EFDA" w:val="clear"/>
            <w:tcMar>
              <w:top w:type="dxa" w:w="60"/>
              <w:left w:type="dxa" w:w="90"/>
              <w:bottom w:type="dxa" w:w="60"/>
              <w:right w:type="dxa" w:w="90"/>
            </w:tcMar>
            <w:vAlign w:val="center"/>
          </w:tcPr>
          <w:p>
            <w:pPr>
              <w:jc w:val="left"/>
            </w:pPr>
            <w:r>
              <w:rPr>
                <w:b w:val="false"/>
                <w:bCs w:val="false"/>
                <w:color w:val="000000"/>
                <w:sz w:val="15"/>
                <w:szCs w:val="15"/>
              </w:rPr>
              <w:t xml:space="preserve">Correct</w:t>
            </w:r>
          </w:p>
        </w:tc>
        <w:tc>
          <w:tcPr>
            <w:tcW w:type="dxa" w:w="5500"/>
            <w:shd w:fill="E2EFDA" w:val="clear"/>
            <w:tcMar>
              <w:top w:type="dxa" w:w="60"/>
              <w:left w:type="dxa" w:w="90"/>
              <w:bottom w:type="dxa" w:w="60"/>
              <w:right w:type="dxa" w:w="90"/>
            </w:tcMar>
            <w:vAlign w:val="center"/>
          </w:tcPr>
          <w:p>
            <w:pPr>
              <w:jc w:val="left"/>
            </w:pPr>
            <w:r>
              <w:rPr>
                <w:b w:val="false"/>
                <w:bCs w:val="false"/>
                <w:color w:val="000000"/>
                <w:sz w:val="15"/>
                <w:szCs w:val="15"/>
              </w:rPr>
              <w:t xml:space="preserve">DIVIDE protégé, formule cohérente.</w:t>
            </w:r>
          </w:p>
        </w:tc>
      </w:tr>
      <w:tr>
        <w:tc>
          <w:tcPr>
            <w:tcW w:type="dxa" w:w="2400"/>
            <w:shd w:fill="FCE4E4" w:val="clear"/>
            <w:tcMar>
              <w:top w:type="dxa" w:w="60"/>
              <w:left w:type="dxa" w:w="90"/>
              <w:bottom w:type="dxa" w:w="60"/>
              <w:right w:type="dxa" w:w="90"/>
            </w:tcMar>
            <w:vAlign w:val="center"/>
          </w:tcPr>
          <w:p>
            <w:pPr>
              <w:jc w:val="left"/>
            </w:pPr>
            <w:r>
              <w:rPr>
                <w:b w:val="false"/>
                <w:bCs w:val="false"/>
                <w:color w:val="000000"/>
                <w:sz w:val="15"/>
                <w:szCs w:val="15"/>
              </w:rPr>
              <w:t xml:space="preserve">Marge de securité</w:t>
            </w:r>
          </w:p>
        </w:tc>
        <w:tc>
          <w:tcPr>
            <w:tcW w:type="dxa" w:w="1500"/>
            <w:shd w:fill="FCE4E4" w:val="clear"/>
            <w:tcMar>
              <w:top w:type="dxa" w:w="60"/>
              <w:left w:type="dxa" w:w="90"/>
              <w:bottom w:type="dxa" w:w="60"/>
              <w:right w:type="dxa" w:w="90"/>
            </w:tcMar>
            <w:vAlign w:val="center"/>
          </w:tcPr>
          <w:p>
            <w:pPr>
              <w:jc w:val="left"/>
            </w:pPr>
            <w:r>
              <w:rPr>
                <w:b w:val="false"/>
                <w:bCs w:val="false"/>
                <w:color w:val="000000"/>
                <w:sz w:val="15"/>
                <w:szCs w:val="15"/>
              </w:rPr>
              <w:t xml:space="preserve">Bug confirmé</w:t>
            </w:r>
          </w:p>
        </w:tc>
        <w:tc>
          <w:tcPr>
            <w:tcW w:type="dxa" w:w="5500"/>
            <w:shd w:fill="FCE4E4" w:val="clear"/>
            <w:tcMar>
              <w:top w:type="dxa" w:w="60"/>
              <w:left w:type="dxa" w:w="90"/>
              <w:bottom w:type="dxa" w:w="60"/>
              <w:right w:type="dxa" w:w="90"/>
            </w:tcMar>
            <w:vAlign w:val="center"/>
          </w:tcPr>
          <w:p>
            <w:pPr>
              <w:jc w:val="left"/>
            </w:pPr>
            <w:r>
              <w:rPr>
                <w:b w:val="false"/>
                <w:bCs w:val="false"/>
                <w:color w:val="000000"/>
                <w:sz w:val="15"/>
                <w:szCs w:val="15"/>
              </w:rPr>
              <w:t xml:space="preserve">Formule incohérente avec la définition standard de marge de sécurité — voir 4.2.</w:t>
            </w:r>
          </w:p>
        </w:tc>
      </w:tr>
      <w:tr>
        <w:tc>
          <w:tcPr>
            <w:tcW w:type="dxa" w:w="2400"/>
            <w:shd w:fill="FCE4E4" w:val="clear"/>
            <w:tcMar>
              <w:top w:type="dxa" w:w="60"/>
              <w:left w:type="dxa" w:w="90"/>
              <w:bottom w:type="dxa" w:w="60"/>
              <w:right w:type="dxa" w:w="90"/>
            </w:tcMar>
            <w:vAlign w:val="center"/>
          </w:tcPr>
          <w:p>
            <w:pPr>
              <w:jc w:val="left"/>
            </w:pPr>
            <w:r>
              <w:rPr>
                <w:b w:val="false"/>
                <w:bCs w:val="false"/>
                <w:color w:val="000000"/>
                <w:sz w:val="15"/>
                <w:szCs w:val="15"/>
              </w:rPr>
              <w:t xml:space="preserve">Marge de securite moyenne mensuelle</w:t>
            </w:r>
          </w:p>
        </w:tc>
        <w:tc>
          <w:tcPr>
            <w:tcW w:type="dxa" w:w="1500"/>
            <w:shd w:fill="FCE4E4" w:val="clear"/>
            <w:tcMar>
              <w:top w:type="dxa" w:w="60"/>
              <w:left w:type="dxa" w:w="90"/>
              <w:bottom w:type="dxa" w:w="60"/>
              <w:right w:type="dxa" w:w="90"/>
            </w:tcMar>
            <w:vAlign w:val="center"/>
          </w:tcPr>
          <w:p>
            <w:pPr>
              <w:jc w:val="left"/>
            </w:pPr>
            <w:r>
              <w:rPr>
                <w:b w:val="false"/>
                <w:bCs w:val="false"/>
                <w:color w:val="000000"/>
                <w:sz w:val="15"/>
                <w:szCs w:val="15"/>
              </w:rPr>
              <w:t xml:space="preserve">Bug confirmé</w:t>
            </w:r>
          </w:p>
        </w:tc>
        <w:tc>
          <w:tcPr>
            <w:tcW w:type="dxa" w:w="5500"/>
            <w:shd w:fill="FCE4E4" w:val="clear"/>
            <w:tcMar>
              <w:top w:type="dxa" w:w="60"/>
              <w:left w:type="dxa" w:w="90"/>
              <w:bottom w:type="dxa" w:w="60"/>
              <w:right w:type="dxa" w:w="90"/>
            </w:tcMar>
            <w:vAlign w:val="center"/>
          </w:tcPr>
          <w:p>
            <w:pPr>
              <w:jc w:val="left"/>
            </w:pPr>
            <w:r>
              <w:rPr>
                <w:b w:val="false"/>
                <w:bCs w:val="false"/>
                <w:color w:val="000000"/>
                <w:sz w:val="15"/>
                <w:szCs w:val="15"/>
              </w:rPr>
              <w:t xml:space="preserve">Dépenses - Ventes au lieu de Ventes - Seuil ; signe probablement inversé — voir 4.2.</w:t>
            </w:r>
          </w:p>
        </w:tc>
      </w:tr>
      <w:tr>
        <w:tc>
          <w:tcPr>
            <w:tcW w:type="dxa" w:w="2400"/>
            <w:shd w:fill="E2EFDA" w:val="clear"/>
            <w:tcMar>
              <w:top w:type="dxa" w:w="60"/>
              <w:left w:type="dxa" w:w="90"/>
              <w:bottom w:type="dxa" w:w="60"/>
              <w:right w:type="dxa" w:w="90"/>
            </w:tcMar>
            <w:vAlign w:val="center"/>
          </w:tcPr>
          <w:p>
            <w:pPr>
              <w:jc w:val="left"/>
            </w:pPr>
            <w:r>
              <w:rPr>
                <w:b w:val="false"/>
                <w:bCs w:val="false"/>
                <w:color w:val="000000"/>
                <w:sz w:val="15"/>
                <w:szCs w:val="15"/>
              </w:rPr>
              <w:t xml:space="preserve">Marge d'impact sur le profit</w:t>
            </w:r>
          </w:p>
        </w:tc>
        <w:tc>
          <w:tcPr>
            <w:tcW w:type="dxa" w:w="1500"/>
            <w:shd w:fill="E2EFDA" w:val="clear"/>
            <w:tcMar>
              <w:top w:type="dxa" w:w="60"/>
              <w:left w:type="dxa" w:w="90"/>
              <w:bottom w:type="dxa" w:w="60"/>
              <w:right w:type="dxa" w:w="90"/>
            </w:tcMar>
            <w:vAlign w:val="center"/>
          </w:tcPr>
          <w:p>
            <w:pPr>
              <w:jc w:val="left"/>
            </w:pPr>
            <w:r>
              <w:rPr>
                <w:b w:val="false"/>
                <w:bCs w:val="false"/>
                <w:color w:val="000000"/>
                <w:sz w:val="15"/>
                <w:szCs w:val="15"/>
              </w:rPr>
              <w:t xml:space="preserve">Correct</w:t>
            </w:r>
          </w:p>
        </w:tc>
        <w:tc>
          <w:tcPr>
            <w:tcW w:type="dxa" w:w="5500"/>
            <w:shd w:fill="E2EFDA" w:val="clear"/>
            <w:tcMar>
              <w:top w:type="dxa" w:w="60"/>
              <w:left w:type="dxa" w:w="90"/>
              <w:bottom w:type="dxa" w:w="60"/>
              <w:right w:type="dxa" w:w="90"/>
            </w:tcMar>
            <w:vAlign w:val="center"/>
          </w:tcPr>
          <w:p>
            <w:pPr>
              <w:jc w:val="left"/>
            </w:pPr>
            <w:r>
              <w:rPr>
                <w:b w:val="false"/>
                <w:bCs w:val="false"/>
                <w:color w:val="000000"/>
                <w:sz w:val="15"/>
                <w:szCs w:val="15"/>
              </w:rPr>
              <w:t xml:space="preserve">Comparaison marge avec/sans remise bien construite.</w:t>
            </w:r>
          </w:p>
        </w:tc>
      </w:tr>
      <w:tr>
        <w:tc>
          <w:tcPr>
            <w:tcW w:type="dxa" w:w="2400"/>
            <w:shd w:fill="FFF2CC" w:val="clear"/>
            <w:tcMar>
              <w:top w:type="dxa" w:w="60"/>
              <w:left w:type="dxa" w:w="90"/>
              <w:bottom w:type="dxa" w:w="60"/>
              <w:right w:type="dxa" w:w="90"/>
            </w:tcMar>
            <w:vAlign w:val="center"/>
          </w:tcPr>
          <w:p>
            <w:pPr>
              <w:jc w:val="left"/>
            </w:pPr>
            <w:r>
              <w:rPr>
                <w:b w:val="false"/>
                <w:bCs w:val="false"/>
                <w:color w:val="000000"/>
                <w:sz w:val="15"/>
                <w:szCs w:val="15"/>
              </w:rPr>
              <w:t xml:space="preserve">Mois de rentabilité</w:t>
            </w:r>
          </w:p>
        </w:tc>
        <w:tc>
          <w:tcPr>
            <w:tcW w:type="dxa" w:w="1500"/>
            <w:shd w:fill="FFF2CC" w:val="clear"/>
            <w:tcMar>
              <w:top w:type="dxa" w:w="60"/>
              <w:left w:type="dxa" w:w="90"/>
              <w:bottom w:type="dxa" w:w="60"/>
              <w:right w:type="dxa" w:w="90"/>
            </w:tcMar>
            <w:vAlign w:val="center"/>
          </w:tcPr>
          <w:p>
            <w:pPr>
              <w:jc w:val="left"/>
            </w:pPr>
            <w:r>
              <w:rPr>
                <w:b w:val="false"/>
                <w:bCs w:val="false"/>
                <w:color w:val="000000"/>
                <w:sz w:val="15"/>
                <w:szCs w:val="15"/>
              </w:rPr>
              <w:t xml:space="preserve">À vérifier</w:t>
            </w:r>
          </w:p>
        </w:tc>
        <w:tc>
          <w:tcPr>
            <w:tcW w:type="dxa" w:w="5500"/>
            <w:shd w:fill="FFF2CC" w:val="clear"/>
            <w:tcMar>
              <w:top w:type="dxa" w:w="60"/>
              <w:left w:type="dxa" w:w="90"/>
              <w:bottom w:type="dxa" w:w="60"/>
              <w:right w:type="dxa" w:w="90"/>
            </w:tcMar>
            <w:vAlign w:val="center"/>
          </w:tcPr>
          <w:p>
            <w:pPr>
              <w:jc w:val="left"/>
            </w:pPr>
            <w:r>
              <w:rPr>
                <w:b w:val="false"/>
                <w:bCs w:val="false"/>
                <w:color w:val="000000"/>
                <w:sz w:val="15"/>
                <w:szCs w:val="15"/>
              </w:rPr>
              <w:t xml:space="preserve">FIRSTNONBLANK sur un texte de mois nécessite un tri explicite par Numéro du Mois — voir 4.2.</w:t>
            </w:r>
          </w:p>
        </w:tc>
      </w:tr>
      <w:tr>
        <w:tc>
          <w:tcPr>
            <w:tcW w:type="dxa" w:w="2400"/>
            <w:shd w:fill="FFF2CC" w:val="clear"/>
            <w:tcMar>
              <w:top w:type="dxa" w:w="60"/>
              <w:left w:type="dxa" w:w="90"/>
              <w:bottom w:type="dxa" w:w="60"/>
              <w:right w:type="dxa" w:w="90"/>
            </w:tcMar>
            <w:vAlign w:val="center"/>
          </w:tcPr>
          <w:p>
            <w:pPr>
              <w:jc w:val="left"/>
            </w:pPr>
            <w:r>
              <w:rPr>
                <w:b w:val="false"/>
                <w:bCs w:val="false"/>
                <w:color w:val="000000"/>
                <w:sz w:val="15"/>
                <w:szCs w:val="15"/>
              </w:rPr>
              <w:t xml:space="preserve">Moyenne de  Vente par Transaction</w:t>
            </w:r>
          </w:p>
        </w:tc>
        <w:tc>
          <w:tcPr>
            <w:tcW w:type="dxa" w:w="1500"/>
            <w:shd w:fill="FFF2CC" w:val="clear"/>
            <w:tcMar>
              <w:top w:type="dxa" w:w="60"/>
              <w:left w:type="dxa" w:w="90"/>
              <w:bottom w:type="dxa" w:w="60"/>
              <w:right w:type="dxa" w:w="90"/>
            </w:tcMar>
            <w:vAlign w:val="center"/>
          </w:tcPr>
          <w:p>
            <w:pPr>
              <w:jc w:val="left"/>
            </w:pPr>
            <w:r>
              <w:rPr>
                <w:b w:val="false"/>
                <w:bCs w:val="false"/>
                <w:color w:val="000000"/>
                <w:sz w:val="15"/>
                <w:szCs w:val="15"/>
              </w:rPr>
              <w:t xml:space="preserve">À vérifier</w:t>
            </w:r>
          </w:p>
        </w:tc>
        <w:tc>
          <w:tcPr>
            <w:tcW w:type="dxa" w:w="5500"/>
            <w:shd w:fill="FFF2CC" w:val="clear"/>
            <w:tcMar>
              <w:top w:type="dxa" w:w="60"/>
              <w:left w:type="dxa" w:w="90"/>
              <w:bottom w:type="dxa" w:w="60"/>
              <w:right w:type="dxa" w:w="90"/>
            </w:tcMar>
            <w:vAlign w:val="center"/>
          </w:tcPr>
          <w:p>
            <w:pPr>
              <w:jc w:val="left"/>
            </w:pPr>
            <w:r>
              <w:rPr>
                <w:b w:val="false"/>
                <w:bCs w:val="false"/>
                <w:color w:val="000000"/>
                <w:sz w:val="15"/>
                <w:szCs w:val="15"/>
              </w:rPr>
              <w:t xml:space="preserve">Nom trompeur : c'est une moyenne par ligne, pas par transaction (aucune granularité "transaction" dans les données).</w:t>
            </w:r>
          </w:p>
        </w:tc>
      </w:tr>
      <w:tr>
        <w:tc>
          <w:tcPr>
            <w:tcW w:type="dxa" w:w="2400"/>
            <w:shd w:fill="E2EFDA" w:val="clear"/>
            <w:tcMar>
              <w:top w:type="dxa" w:w="60"/>
              <w:left w:type="dxa" w:w="90"/>
              <w:bottom w:type="dxa" w:w="60"/>
              <w:right w:type="dxa" w:w="90"/>
            </w:tcMar>
            <w:vAlign w:val="center"/>
          </w:tcPr>
          <w:p>
            <w:pPr>
              <w:jc w:val="left"/>
            </w:pPr>
            <w:r>
              <w:rPr>
                <w:b w:val="false"/>
                <w:bCs w:val="false"/>
                <w:color w:val="000000"/>
                <w:sz w:val="15"/>
                <w:szCs w:val="15"/>
              </w:rPr>
              <w:t xml:space="preserve">Moyenne Mensuelle Cout Usine</w:t>
            </w:r>
          </w:p>
        </w:tc>
        <w:tc>
          <w:tcPr>
            <w:tcW w:type="dxa" w:w="1500"/>
            <w:shd w:fill="E2EFDA" w:val="clear"/>
            <w:tcMar>
              <w:top w:type="dxa" w:w="60"/>
              <w:left w:type="dxa" w:w="90"/>
              <w:bottom w:type="dxa" w:w="60"/>
              <w:right w:type="dxa" w:w="90"/>
            </w:tcMar>
            <w:vAlign w:val="center"/>
          </w:tcPr>
          <w:p>
            <w:pPr>
              <w:jc w:val="left"/>
            </w:pPr>
            <w:r>
              <w:rPr>
                <w:b w:val="false"/>
                <w:bCs w:val="false"/>
                <w:color w:val="000000"/>
                <w:sz w:val="15"/>
                <w:szCs w:val="15"/>
              </w:rPr>
              <w:t xml:space="preserve">Correct</w:t>
            </w:r>
          </w:p>
        </w:tc>
        <w:tc>
          <w:tcPr>
            <w:tcW w:type="dxa" w:w="5500"/>
            <w:shd w:fill="E2EFDA" w:val="clear"/>
            <w:tcMar>
              <w:top w:type="dxa" w:w="60"/>
              <w:left w:type="dxa" w:w="90"/>
              <w:bottom w:type="dxa" w:w="60"/>
              <w:right w:type="dxa" w:w="90"/>
            </w:tcMar>
            <w:vAlign w:val="center"/>
          </w:tcPr>
          <w:p>
            <w:pPr>
              <w:jc w:val="left"/>
            </w:pPr>
            <w:r>
              <w:rPr>
                <w:b w:val="false"/>
                <w:bCs w:val="false"/>
                <w:color w:val="000000"/>
                <w:sz w:val="15"/>
                <w:szCs w:val="15"/>
              </w:rPr>
              <w:t xml:space="preserve">DIVIDE protégé, dénominateur cohérent.</w:t>
            </w:r>
          </w:p>
        </w:tc>
      </w:tr>
      <w:tr>
        <w:tc>
          <w:tcPr>
            <w:tcW w:type="dxa" w:w="2400"/>
            <w:shd w:fill="E2EFDA" w:val="clear"/>
            <w:tcMar>
              <w:top w:type="dxa" w:w="60"/>
              <w:left w:type="dxa" w:w="90"/>
              <w:bottom w:type="dxa" w:w="60"/>
              <w:right w:type="dxa" w:w="90"/>
            </w:tcMar>
            <w:vAlign w:val="center"/>
          </w:tcPr>
          <w:p>
            <w:pPr>
              <w:jc w:val="left"/>
            </w:pPr>
            <w:r>
              <w:rPr>
                <w:b w:val="false"/>
                <w:bCs w:val="false"/>
                <w:color w:val="000000"/>
                <w:sz w:val="15"/>
                <w:szCs w:val="15"/>
              </w:rPr>
              <w:t xml:space="preserve">Moyenne Mensuelle Profit</w:t>
            </w:r>
          </w:p>
        </w:tc>
        <w:tc>
          <w:tcPr>
            <w:tcW w:type="dxa" w:w="1500"/>
            <w:shd w:fill="E2EFDA" w:val="clear"/>
            <w:tcMar>
              <w:top w:type="dxa" w:w="60"/>
              <w:left w:type="dxa" w:w="90"/>
              <w:bottom w:type="dxa" w:w="60"/>
              <w:right w:type="dxa" w:w="90"/>
            </w:tcMar>
            <w:vAlign w:val="center"/>
          </w:tcPr>
          <w:p>
            <w:pPr>
              <w:jc w:val="left"/>
            </w:pPr>
            <w:r>
              <w:rPr>
                <w:b w:val="false"/>
                <w:bCs w:val="false"/>
                <w:color w:val="000000"/>
                <w:sz w:val="15"/>
                <w:szCs w:val="15"/>
              </w:rPr>
              <w:t xml:space="preserve">Correct</w:t>
            </w:r>
          </w:p>
        </w:tc>
        <w:tc>
          <w:tcPr>
            <w:tcW w:type="dxa" w:w="5500"/>
            <w:shd w:fill="E2EFDA" w:val="clear"/>
            <w:tcMar>
              <w:top w:type="dxa" w:w="60"/>
              <w:left w:type="dxa" w:w="90"/>
              <w:bottom w:type="dxa" w:w="60"/>
              <w:right w:type="dxa" w:w="90"/>
            </w:tcMar>
            <w:vAlign w:val="center"/>
          </w:tcPr>
          <w:p>
            <w:pPr>
              <w:jc w:val="left"/>
            </w:pPr>
            <w:r>
              <w:rPr>
                <w:b w:val="false"/>
                <w:bCs w:val="false"/>
                <w:color w:val="000000"/>
                <w:sz w:val="15"/>
                <w:szCs w:val="15"/>
              </w:rPr>
              <w:t xml:space="preserve">DIVIDE protégé, dénominateur cohérent.</w:t>
            </w:r>
          </w:p>
        </w:tc>
      </w:tr>
      <w:tr>
        <w:tc>
          <w:tcPr>
            <w:tcW w:type="dxa" w:w="2400"/>
            <w:shd w:fill="E2EFDA" w:val="clear"/>
            <w:tcMar>
              <w:top w:type="dxa" w:w="60"/>
              <w:left w:type="dxa" w:w="90"/>
              <w:bottom w:type="dxa" w:w="60"/>
              <w:right w:type="dxa" w:w="90"/>
            </w:tcMar>
            <w:vAlign w:val="center"/>
          </w:tcPr>
          <w:p>
            <w:pPr>
              <w:jc w:val="left"/>
            </w:pPr>
            <w:r>
              <w:rPr>
                <w:b w:val="false"/>
                <w:bCs w:val="false"/>
                <w:color w:val="000000"/>
                <w:sz w:val="15"/>
                <w:szCs w:val="15"/>
              </w:rPr>
              <w:t xml:space="preserve">Moyenne Mensuelle Vente 2013</w:t>
            </w:r>
          </w:p>
        </w:tc>
        <w:tc>
          <w:tcPr>
            <w:tcW w:type="dxa" w:w="1500"/>
            <w:shd w:fill="E2EFDA" w:val="clear"/>
            <w:tcMar>
              <w:top w:type="dxa" w:w="60"/>
              <w:left w:type="dxa" w:w="90"/>
              <w:bottom w:type="dxa" w:w="60"/>
              <w:right w:type="dxa" w:w="90"/>
            </w:tcMar>
            <w:vAlign w:val="center"/>
          </w:tcPr>
          <w:p>
            <w:pPr>
              <w:jc w:val="left"/>
            </w:pPr>
            <w:r>
              <w:rPr>
                <w:b w:val="false"/>
                <w:bCs w:val="false"/>
                <w:color w:val="000000"/>
                <w:sz w:val="15"/>
                <w:szCs w:val="15"/>
              </w:rPr>
              <w:t xml:space="preserve">Correct</w:t>
            </w:r>
          </w:p>
        </w:tc>
        <w:tc>
          <w:tcPr>
            <w:tcW w:type="dxa" w:w="5500"/>
            <w:shd w:fill="E2EFDA" w:val="clear"/>
            <w:tcMar>
              <w:top w:type="dxa" w:w="60"/>
              <w:left w:type="dxa" w:w="90"/>
              <w:bottom w:type="dxa" w:w="60"/>
              <w:right w:type="dxa" w:w="90"/>
            </w:tcMar>
            <w:vAlign w:val="center"/>
          </w:tcPr>
          <w:p>
            <w:pPr>
              <w:jc w:val="left"/>
            </w:pPr>
            <w:r>
              <w:rPr>
                <w:b w:val="false"/>
                <w:bCs w:val="false"/>
                <w:color w:val="000000"/>
                <w:sz w:val="15"/>
                <w:szCs w:val="15"/>
              </w:rPr>
              <w:t xml:space="preserve">Filtre direct sur Année cohérent avec l'usage attendu.</w:t>
            </w:r>
          </w:p>
        </w:tc>
      </w:tr>
      <w:tr>
        <w:tc>
          <w:tcPr>
            <w:tcW w:type="dxa" w:w="2400"/>
            <w:shd w:fill="E2EFDA" w:val="clear"/>
            <w:tcMar>
              <w:top w:type="dxa" w:w="60"/>
              <w:left w:type="dxa" w:w="90"/>
              <w:bottom w:type="dxa" w:w="60"/>
              <w:right w:type="dxa" w:w="90"/>
            </w:tcMar>
            <w:vAlign w:val="center"/>
          </w:tcPr>
          <w:p>
            <w:pPr>
              <w:jc w:val="left"/>
            </w:pPr>
            <w:r>
              <w:rPr>
                <w:b w:val="false"/>
                <w:bCs w:val="false"/>
                <w:color w:val="000000"/>
                <w:sz w:val="15"/>
                <w:szCs w:val="15"/>
              </w:rPr>
              <w:t xml:space="preserve">Moyenne Mensuelle Ventes 2014</w:t>
            </w:r>
          </w:p>
        </w:tc>
        <w:tc>
          <w:tcPr>
            <w:tcW w:type="dxa" w:w="1500"/>
            <w:shd w:fill="E2EFDA" w:val="clear"/>
            <w:tcMar>
              <w:top w:type="dxa" w:w="60"/>
              <w:left w:type="dxa" w:w="90"/>
              <w:bottom w:type="dxa" w:w="60"/>
              <w:right w:type="dxa" w:w="90"/>
            </w:tcMar>
            <w:vAlign w:val="center"/>
          </w:tcPr>
          <w:p>
            <w:pPr>
              <w:jc w:val="left"/>
            </w:pPr>
            <w:r>
              <w:rPr>
                <w:b w:val="false"/>
                <w:bCs w:val="false"/>
                <w:color w:val="000000"/>
                <w:sz w:val="15"/>
                <w:szCs w:val="15"/>
              </w:rPr>
              <w:t xml:space="preserve">Correct</w:t>
            </w:r>
          </w:p>
        </w:tc>
        <w:tc>
          <w:tcPr>
            <w:tcW w:type="dxa" w:w="5500"/>
            <w:shd w:fill="E2EFDA" w:val="clear"/>
            <w:tcMar>
              <w:top w:type="dxa" w:w="60"/>
              <w:left w:type="dxa" w:w="90"/>
              <w:bottom w:type="dxa" w:w="60"/>
              <w:right w:type="dxa" w:w="90"/>
            </w:tcMar>
            <w:vAlign w:val="center"/>
          </w:tcPr>
          <w:p>
            <w:pPr>
              <w:jc w:val="left"/>
            </w:pPr>
            <w:r>
              <w:rPr>
                <w:b w:val="false"/>
                <w:bCs w:val="false"/>
                <w:color w:val="000000"/>
                <w:sz w:val="15"/>
                <w:szCs w:val="15"/>
              </w:rPr>
              <w:t xml:space="preserve">Idem pour 2014.</w:t>
            </w:r>
          </w:p>
        </w:tc>
      </w:tr>
      <w:tr>
        <w:tc>
          <w:tcPr>
            <w:tcW w:type="dxa" w:w="2400"/>
            <w:shd w:fill="FCE4E4" w:val="clear"/>
            <w:tcMar>
              <w:top w:type="dxa" w:w="60"/>
              <w:left w:type="dxa" w:w="90"/>
              <w:bottom w:type="dxa" w:w="60"/>
              <w:right w:type="dxa" w:w="90"/>
            </w:tcMar>
            <w:vAlign w:val="center"/>
          </w:tcPr>
          <w:p>
            <w:pPr>
              <w:jc w:val="left"/>
            </w:pPr>
            <w:r>
              <w:rPr>
                <w:b w:val="false"/>
                <w:bCs w:val="false"/>
                <w:color w:val="000000"/>
                <w:sz w:val="15"/>
                <w:szCs w:val="15"/>
              </w:rPr>
              <w:t xml:space="preserve">Objectif Profit 2013</w:t>
            </w:r>
          </w:p>
        </w:tc>
        <w:tc>
          <w:tcPr>
            <w:tcW w:type="dxa" w:w="1500"/>
            <w:shd w:fill="FCE4E4" w:val="clear"/>
            <w:tcMar>
              <w:top w:type="dxa" w:w="60"/>
              <w:left w:type="dxa" w:w="90"/>
              <w:bottom w:type="dxa" w:w="60"/>
              <w:right w:type="dxa" w:w="90"/>
            </w:tcMar>
            <w:vAlign w:val="center"/>
          </w:tcPr>
          <w:p>
            <w:pPr>
              <w:jc w:val="left"/>
            </w:pPr>
            <w:r>
              <w:rPr>
                <w:b w:val="false"/>
                <w:bCs w:val="false"/>
                <w:color w:val="000000"/>
                <w:sz w:val="15"/>
                <w:szCs w:val="15"/>
              </w:rPr>
              <w:t xml:space="preserve">Bug confirmé</w:t>
            </w:r>
          </w:p>
        </w:tc>
        <w:tc>
          <w:tcPr>
            <w:tcW w:type="dxa" w:w="5500"/>
            <w:shd w:fill="FCE4E4" w:val="clear"/>
            <w:tcMar>
              <w:top w:type="dxa" w:w="60"/>
              <w:left w:type="dxa" w:w="90"/>
              <w:bottom w:type="dxa" w:w="60"/>
              <w:right w:type="dxa" w:w="90"/>
            </w:tcMar>
            <w:vAlign w:val="center"/>
          </w:tcPr>
          <w:p>
            <w:pPr>
              <w:jc w:val="left"/>
            </w:pPr>
            <w:r>
              <w:rPr>
                <w:b w:val="false"/>
                <w:bCs w:val="false"/>
                <w:color w:val="000000"/>
                <w:sz w:val="15"/>
                <w:szCs w:val="15"/>
              </w:rPr>
              <w:t xml:space="preserve">Formule strictement identique à Profit Reel 2013 — duplication, pas un objectif — voir 4.2.</w:t>
            </w:r>
          </w:p>
        </w:tc>
      </w:tr>
      <w:tr>
        <w:tc>
          <w:tcPr>
            <w:tcW w:type="dxa" w:w="2400"/>
            <w:shd w:fill="FFF2CC" w:val="clear"/>
            <w:tcMar>
              <w:top w:type="dxa" w:w="60"/>
              <w:left w:type="dxa" w:w="90"/>
              <w:bottom w:type="dxa" w:w="60"/>
              <w:right w:type="dxa" w:w="90"/>
            </w:tcMar>
            <w:vAlign w:val="center"/>
          </w:tcPr>
          <w:p>
            <w:pPr>
              <w:jc w:val="left"/>
            </w:pPr>
            <w:r>
              <w:rPr>
                <w:b w:val="false"/>
                <w:bCs w:val="false"/>
                <w:color w:val="000000"/>
                <w:sz w:val="15"/>
                <w:szCs w:val="15"/>
              </w:rPr>
              <w:t xml:space="preserve">Objectif Profit 2014</w:t>
            </w:r>
          </w:p>
        </w:tc>
        <w:tc>
          <w:tcPr>
            <w:tcW w:type="dxa" w:w="1500"/>
            <w:shd w:fill="FFF2CC" w:val="clear"/>
            <w:tcMar>
              <w:top w:type="dxa" w:w="60"/>
              <w:left w:type="dxa" w:w="90"/>
              <w:bottom w:type="dxa" w:w="60"/>
              <w:right w:type="dxa" w:w="90"/>
            </w:tcMar>
            <w:vAlign w:val="center"/>
          </w:tcPr>
          <w:p>
            <w:pPr>
              <w:jc w:val="left"/>
            </w:pPr>
            <w:r>
              <w:rPr>
                <w:b w:val="false"/>
                <w:bCs w:val="false"/>
                <w:color w:val="000000"/>
                <w:sz w:val="15"/>
                <w:szCs w:val="15"/>
              </w:rPr>
              <w:t xml:space="preserve">À vérifier</w:t>
            </w:r>
          </w:p>
        </w:tc>
        <w:tc>
          <w:tcPr>
            <w:tcW w:type="dxa" w:w="5500"/>
            <w:shd w:fill="FFF2CC" w:val="clear"/>
            <w:tcMar>
              <w:top w:type="dxa" w:w="60"/>
              <w:left w:type="dxa" w:w="90"/>
              <w:bottom w:type="dxa" w:w="60"/>
              <w:right w:type="dxa" w:w="90"/>
            </w:tcMar>
            <w:vAlign w:val="center"/>
          </w:tcPr>
          <w:p>
            <w:pPr>
              <w:jc w:val="left"/>
            </w:pPr>
            <w:r>
              <w:rPr>
                <w:b w:val="false"/>
                <w:bCs w:val="false"/>
                <w:color w:val="000000"/>
                <w:sz w:val="15"/>
                <w:szCs w:val="15"/>
              </w:rPr>
              <w:t xml:space="preserve">Recalcule une 3e fois le profit 2013 au lieu de réutiliser une mesure existante (DRY).</w:t>
            </w:r>
          </w:p>
        </w:tc>
      </w:tr>
      <w:tr>
        <w:tc>
          <w:tcPr>
            <w:tcW w:type="dxa" w:w="2400"/>
            <w:shd w:fill="E2EFDA" w:val="clear"/>
            <w:tcMar>
              <w:top w:type="dxa" w:w="60"/>
              <w:left w:type="dxa" w:w="90"/>
              <w:bottom w:type="dxa" w:w="60"/>
              <w:right w:type="dxa" w:w="90"/>
            </w:tcMar>
            <w:vAlign w:val="center"/>
          </w:tcPr>
          <w:p>
            <w:pPr>
              <w:jc w:val="left"/>
            </w:pPr>
            <w:r>
              <w:rPr>
                <w:b w:val="false"/>
                <w:bCs w:val="false"/>
                <w:color w:val="000000"/>
                <w:sz w:val="15"/>
                <w:szCs w:val="15"/>
              </w:rPr>
              <w:t xml:space="preserve">Objectif Profit mensuel</w:t>
            </w:r>
          </w:p>
        </w:tc>
        <w:tc>
          <w:tcPr>
            <w:tcW w:type="dxa" w:w="1500"/>
            <w:shd w:fill="E2EFDA" w:val="clear"/>
            <w:tcMar>
              <w:top w:type="dxa" w:w="60"/>
              <w:left w:type="dxa" w:w="90"/>
              <w:bottom w:type="dxa" w:w="60"/>
              <w:right w:type="dxa" w:w="90"/>
            </w:tcMar>
            <w:vAlign w:val="center"/>
          </w:tcPr>
          <w:p>
            <w:pPr>
              <w:jc w:val="left"/>
            </w:pPr>
            <w:r>
              <w:rPr>
                <w:b w:val="false"/>
                <w:bCs w:val="false"/>
                <w:color w:val="000000"/>
                <w:sz w:val="15"/>
                <w:szCs w:val="15"/>
              </w:rPr>
              <w:t xml:space="preserve">Correct</w:t>
            </w:r>
          </w:p>
        </w:tc>
        <w:tc>
          <w:tcPr>
            <w:tcW w:type="dxa" w:w="5500"/>
            <w:shd w:fill="E2EFDA" w:val="clear"/>
            <w:tcMar>
              <w:top w:type="dxa" w:w="60"/>
              <w:left w:type="dxa" w:w="90"/>
              <w:bottom w:type="dxa" w:w="60"/>
              <w:right w:type="dxa" w:w="90"/>
            </w:tcMar>
            <w:vAlign w:val="center"/>
          </w:tcPr>
          <w:p>
            <w:pPr>
              <w:jc w:val="left"/>
            </w:pPr>
            <w:r>
              <w:rPr>
                <w:b w:val="false"/>
                <w:bCs w:val="false"/>
                <w:color w:val="000000"/>
                <w:sz w:val="15"/>
                <w:szCs w:val="15"/>
              </w:rPr>
              <w:t xml:space="preserve">DIVIDE protégé, cohérent avec Objectif Profit 2014.</w:t>
            </w:r>
          </w:p>
        </w:tc>
      </w:tr>
      <w:tr>
        <w:tc>
          <w:tcPr>
            <w:tcW w:type="dxa" w:w="2400"/>
            <w:shd w:fill="E2EFDA" w:val="clear"/>
            <w:tcMar>
              <w:top w:type="dxa" w:w="60"/>
              <w:left w:type="dxa" w:w="90"/>
              <w:bottom w:type="dxa" w:w="60"/>
              <w:right w:type="dxa" w:w="90"/>
            </w:tcMar>
            <w:vAlign w:val="center"/>
          </w:tcPr>
          <w:p>
            <w:pPr>
              <w:jc w:val="left"/>
            </w:pPr>
            <w:r>
              <w:rPr>
                <w:b w:val="false"/>
                <w:bCs w:val="false"/>
                <w:color w:val="000000"/>
                <w:sz w:val="15"/>
                <w:szCs w:val="15"/>
              </w:rPr>
              <w:t xml:space="preserve">Objectif Vente Mensuel</w:t>
            </w:r>
          </w:p>
        </w:tc>
        <w:tc>
          <w:tcPr>
            <w:tcW w:type="dxa" w:w="1500"/>
            <w:shd w:fill="E2EFDA" w:val="clear"/>
            <w:tcMar>
              <w:top w:type="dxa" w:w="60"/>
              <w:left w:type="dxa" w:w="90"/>
              <w:bottom w:type="dxa" w:w="60"/>
              <w:right w:type="dxa" w:w="90"/>
            </w:tcMar>
            <w:vAlign w:val="center"/>
          </w:tcPr>
          <w:p>
            <w:pPr>
              <w:jc w:val="left"/>
            </w:pPr>
            <w:r>
              <w:rPr>
                <w:b w:val="false"/>
                <w:bCs w:val="false"/>
                <w:color w:val="000000"/>
                <w:sz w:val="15"/>
                <w:szCs w:val="15"/>
              </w:rPr>
              <w:t xml:space="preserve">Correct</w:t>
            </w:r>
          </w:p>
        </w:tc>
        <w:tc>
          <w:tcPr>
            <w:tcW w:type="dxa" w:w="5500"/>
            <w:shd w:fill="E2EFDA" w:val="clear"/>
            <w:tcMar>
              <w:top w:type="dxa" w:w="60"/>
              <w:left w:type="dxa" w:w="90"/>
              <w:bottom w:type="dxa" w:w="60"/>
              <w:right w:type="dxa" w:w="90"/>
            </w:tcMar>
            <w:vAlign w:val="center"/>
          </w:tcPr>
          <w:p>
            <w:pPr>
              <w:jc w:val="left"/>
            </w:pPr>
            <w:r>
              <w:rPr>
                <w:b w:val="false"/>
                <w:bCs w:val="false"/>
                <w:color w:val="000000"/>
                <w:sz w:val="15"/>
                <w:szCs w:val="15"/>
              </w:rPr>
              <w:t xml:space="preserve">ALL(Date) volontaire et cohérent pour une cible fixe de référence.</w:t>
            </w:r>
          </w:p>
        </w:tc>
      </w:tr>
      <w:tr>
        <w:tc>
          <w:tcPr>
            <w:tcW w:type="dxa" w:w="2400"/>
            <w:shd w:fill="FCE4E4" w:val="clear"/>
            <w:tcMar>
              <w:top w:type="dxa" w:w="60"/>
              <w:left w:type="dxa" w:w="90"/>
              <w:bottom w:type="dxa" w:w="60"/>
              <w:right w:type="dxa" w:w="90"/>
            </w:tcMar>
            <w:vAlign w:val="center"/>
          </w:tcPr>
          <w:p>
            <w:pPr>
              <w:jc w:val="left"/>
            </w:pPr>
            <w:r>
              <w:rPr>
                <w:b w:val="false"/>
                <w:bCs w:val="false"/>
                <w:color w:val="000000"/>
                <w:sz w:val="15"/>
                <w:szCs w:val="15"/>
              </w:rPr>
              <w:t xml:space="preserve">Panier Moyen</w:t>
            </w:r>
          </w:p>
        </w:tc>
        <w:tc>
          <w:tcPr>
            <w:tcW w:type="dxa" w:w="1500"/>
            <w:shd w:fill="FCE4E4" w:val="clear"/>
            <w:tcMar>
              <w:top w:type="dxa" w:w="60"/>
              <w:left w:type="dxa" w:w="90"/>
              <w:bottom w:type="dxa" w:w="60"/>
              <w:right w:type="dxa" w:w="90"/>
            </w:tcMar>
            <w:vAlign w:val="center"/>
          </w:tcPr>
          <w:p>
            <w:pPr>
              <w:jc w:val="left"/>
            </w:pPr>
            <w:r>
              <w:rPr>
                <w:b w:val="false"/>
                <w:bCs w:val="false"/>
                <w:color w:val="000000"/>
                <w:sz w:val="15"/>
                <w:szCs w:val="15"/>
              </w:rPr>
              <w:t xml:space="preserve">Bug confirmé</w:t>
            </w:r>
          </w:p>
        </w:tc>
        <w:tc>
          <w:tcPr>
            <w:tcW w:type="dxa" w:w="5500"/>
            <w:shd w:fill="FCE4E4" w:val="clear"/>
            <w:tcMar>
              <w:top w:type="dxa" w:w="60"/>
              <w:left w:type="dxa" w:w="90"/>
              <w:bottom w:type="dxa" w:w="60"/>
              <w:right w:type="dxa" w:w="90"/>
            </w:tcMar>
            <w:vAlign w:val="center"/>
          </w:tcPr>
          <w:p>
            <w:pPr>
              <w:jc w:val="left"/>
            </w:pPr>
            <w:r>
              <w:rPr>
                <w:b w:val="false"/>
                <w:bCs w:val="false"/>
                <w:color w:val="000000"/>
                <w:sz w:val="15"/>
                <w:szCs w:val="15"/>
              </w:rPr>
              <w:t xml:space="preserve">Utilise l'opérateur "/" au lieu de DIVIDE — voir 4.2.</w:t>
            </w:r>
          </w:p>
        </w:tc>
      </w:tr>
      <w:tr>
        <w:tc>
          <w:tcPr>
            <w:tcW w:type="dxa" w:w="2400"/>
            <w:shd w:fill="FFF2CC" w:val="clear"/>
            <w:tcMar>
              <w:top w:type="dxa" w:w="60"/>
              <w:left w:type="dxa" w:w="90"/>
              <w:bottom w:type="dxa" w:w="60"/>
              <w:right w:type="dxa" w:w="90"/>
            </w:tcMar>
            <w:vAlign w:val="center"/>
          </w:tcPr>
          <w:p>
            <w:pPr>
              <w:jc w:val="left"/>
            </w:pPr>
            <w:r>
              <w:rPr>
                <w:b w:val="false"/>
                <w:bCs w:val="false"/>
                <w:color w:val="000000"/>
                <w:sz w:val="15"/>
                <w:szCs w:val="15"/>
              </w:rPr>
              <w:t xml:space="preserve">PanierMoyenMensuel</w:t>
            </w:r>
          </w:p>
        </w:tc>
        <w:tc>
          <w:tcPr>
            <w:tcW w:type="dxa" w:w="1500"/>
            <w:shd w:fill="FFF2CC" w:val="clear"/>
            <w:tcMar>
              <w:top w:type="dxa" w:w="60"/>
              <w:left w:type="dxa" w:w="90"/>
              <w:bottom w:type="dxa" w:w="60"/>
              <w:right w:type="dxa" w:w="90"/>
            </w:tcMar>
            <w:vAlign w:val="center"/>
          </w:tcPr>
          <w:p>
            <w:pPr>
              <w:jc w:val="left"/>
            </w:pPr>
            <w:r>
              <w:rPr>
                <w:b w:val="false"/>
                <w:bCs w:val="false"/>
                <w:color w:val="000000"/>
                <w:sz w:val="15"/>
                <w:szCs w:val="15"/>
              </w:rPr>
              <w:t xml:space="preserve">À vérifier</w:t>
            </w:r>
          </w:p>
        </w:tc>
        <w:tc>
          <w:tcPr>
            <w:tcW w:type="dxa" w:w="5500"/>
            <w:shd w:fill="FFF2CC" w:val="clear"/>
            <w:tcMar>
              <w:top w:type="dxa" w:w="60"/>
              <w:left w:type="dxa" w:w="90"/>
              <w:bottom w:type="dxa" w:w="60"/>
              <w:right w:type="dxa" w:w="90"/>
            </w:tcMar>
            <w:vAlign w:val="center"/>
          </w:tcPr>
          <w:p>
            <w:pPr>
              <w:jc w:val="left"/>
            </w:pPr>
            <w:r>
              <w:rPr>
                <w:b w:val="false"/>
                <w:bCs w:val="false"/>
                <w:color w:val="000000"/>
                <w:sz w:val="15"/>
                <w:szCs w:val="15"/>
              </w:rPr>
              <w:t xml:space="preserve">Le nom suggère un panier par transaction ; c'est en réalité un revenu moyen par unité, par mois.</w:t>
            </w:r>
          </w:p>
        </w:tc>
      </w:tr>
      <w:tr>
        <w:tc>
          <w:tcPr>
            <w:tcW w:type="dxa" w:w="2400"/>
            <w:shd w:fill="E2EFDA" w:val="clear"/>
            <w:tcMar>
              <w:top w:type="dxa" w:w="60"/>
              <w:left w:type="dxa" w:w="90"/>
              <w:bottom w:type="dxa" w:w="60"/>
              <w:right w:type="dxa" w:w="90"/>
            </w:tcMar>
            <w:vAlign w:val="center"/>
          </w:tcPr>
          <w:p>
            <w:pPr>
              <w:jc w:val="left"/>
            </w:pPr>
            <w:r>
              <w:rPr>
                <w:b w:val="false"/>
                <w:bCs w:val="false"/>
                <w:color w:val="000000"/>
                <w:sz w:val="15"/>
                <w:szCs w:val="15"/>
              </w:rPr>
              <w:t xml:space="preserve">Performance moyenne vente</w:t>
            </w:r>
          </w:p>
        </w:tc>
        <w:tc>
          <w:tcPr>
            <w:tcW w:type="dxa" w:w="1500"/>
            <w:shd w:fill="E2EFDA" w:val="clear"/>
            <w:tcMar>
              <w:top w:type="dxa" w:w="60"/>
              <w:left w:type="dxa" w:w="90"/>
              <w:bottom w:type="dxa" w:w="60"/>
              <w:right w:type="dxa" w:w="90"/>
            </w:tcMar>
            <w:vAlign w:val="center"/>
          </w:tcPr>
          <w:p>
            <w:pPr>
              <w:jc w:val="left"/>
            </w:pPr>
            <w:r>
              <w:rPr>
                <w:b w:val="false"/>
                <w:bCs w:val="false"/>
                <w:color w:val="000000"/>
                <w:sz w:val="15"/>
                <w:szCs w:val="15"/>
              </w:rPr>
              <w:t xml:space="preserve">Correct</w:t>
            </w:r>
          </w:p>
        </w:tc>
        <w:tc>
          <w:tcPr>
            <w:tcW w:type="dxa" w:w="5500"/>
            <w:shd w:fill="E2EFDA" w:val="clear"/>
            <w:tcMar>
              <w:top w:type="dxa" w:w="60"/>
              <w:left w:type="dxa" w:w="90"/>
              <w:bottom w:type="dxa" w:w="60"/>
              <w:right w:type="dxa" w:w="90"/>
            </w:tcMar>
            <w:vAlign w:val="center"/>
          </w:tcPr>
          <w:p>
            <w:pPr>
              <w:jc w:val="left"/>
            </w:pPr>
            <w:r>
              <w:rPr>
                <w:b w:val="false"/>
                <w:bCs w:val="false"/>
                <w:color w:val="000000"/>
                <w:sz w:val="15"/>
                <w:szCs w:val="15"/>
              </w:rPr>
              <w:t xml:space="preserve">DIVIDE protégé, dénominateur cohérent.</w:t>
            </w:r>
          </w:p>
        </w:tc>
      </w:tr>
      <w:tr>
        <w:tc>
          <w:tcPr>
            <w:tcW w:type="dxa" w:w="2400"/>
            <w:shd w:fill="FFF2CC" w:val="clear"/>
            <w:tcMar>
              <w:top w:type="dxa" w:w="60"/>
              <w:left w:type="dxa" w:w="90"/>
              <w:bottom w:type="dxa" w:w="60"/>
              <w:right w:type="dxa" w:w="90"/>
            </w:tcMar>
            <w:vAlign w:val="center"/>
          </w:tcPr>
          <w:p>
            <w:pPr>
              <w:jc w:val="left"/>
            </w:pPr>
            <w:r>
              <w:rPr>
                <w:b w:val="false"/>
                <w:bCs w:val="false"/>
                <w:color w:val="000000"/>
                <w:sz w:val="15"/>
                <w:szCs w:val="15"/>
              </w:rPr>
              <w:t xml:space="preserve">Période de survie (Mois)</w:t>
            </w:r>
          </w:p>
        </w:tc>
        <w:tc>
          <w:tcPr>
            <w:tcW w:type="dxa" w:w="1500"/>
            <w:shd w:fill="FFF2CC" w:val="clear"/>
            <w:tcMar>
              <w:top w:type="dxa" w:w="60"/>
              <w:left w:type="dxa" w:w="90"/>
              <w:bottom w:type="dxa" w:w="60"/>
              <w:right w:type="dxa" w:w="90"/>
            </w:tcMar>
            <w:vAlign w:val="center"/>
          </w:tcPr>
          <w:p>
            <w:pPr>
              <w:jc w:val="left"/>
            </w:pPr>
            <w:r>
              <w:rPr>
                <w:b w:val="false"/>
                <w:bCs w:val="false"/>
                <w:color w:val="000000"/>
                <w:sz w:val="15"/>
                <w:szCs w:val="15"/>
              </w:rPr>
              <w:t xml:space="preserve">À vérifier</w:t>
            </w:r>
          </w:p>
        </w:tc>
        <w:tc>
          <w:tcPr>
            <w:tcW w:type="dxa" w:w="5500"/>
            <w:shd w:fill="FFF2CC" w:val="clear"/>
            <w:tcMar>
              <w:top w:type="dxa" w:w="60"/>
              <w:left w:type="dxa" w:w="90"/>
              <w:bottom w:type="dxa" w:w="60"/>
              <w:right w:type="dxa" w:w="90"/>
            </w:tcMar>
            <w:vAlign w:val="center"/>
          </w:tcPr>
          <w:p>
            <w:pPr>
              <w:jc w:val="left"/>
            </w:pPr>
            <w:r>
              <w:rPr>
                <w:b w:val="false"/>
                <w:bCs w:val="false"/>
                <w:color w:val="000000"/>
                <w:sz w:val="15"/>
                <w:szCs w:val="15"/>
              </w:rPr>
              <w:t xml:space="preserve">Dépend de [Profit Cumule] (voir 4.2) comme proxy de trésorerie disponible.</w:t>
            </w:r>
          </w:p>
        </w:tc>
      </w:tr>
      <w:tr>
        <w:tc>
          <w:tcPr>
            <w:tcW w:type="dxa" w:w="2400"/>
            <w:shd w:fill="FCE4E4" w:val="clear"/>
            <w:tcMar>
              <w:top w:type="dxa" w:w="60"/>
              <w:left w:type="dxa" w:w="90"/>
              <w:bottom w:type="dxa" w:w="60"/>
              <w:right w:type="dxa" w:w="90"/>
            </w:tcMar>
            <w:vAlign w:val="center"/>
          </w:tcPr>
          <w:p>
            <w:pPr>
              <w:jc w:val="left"/>
            </w:pPr>
            <w:r>
              <w:rPr>
                <w:b w:val="false"/>
                <w:bCs w:val="false"/>
                <w:color w:val="000000"/>
                <w:sz w:val="15"/>
                <w:szCs w:val="15"/>
              </w:rPr>
              <w:t xml:space="preserve">Prédiction Profit 2015</w:t>
            </w:r>
          </w:p>
        </w:tc>
        <w:tc>
          <w:tcPr>
            <w:tcW w:type="dxa" w:w="1500"/>
            <w:shd w:fill="FCE4E4" w:val="clear"/>
            <w:tcMar>
              <w:top w:type="dxa" w:w="60"/>
              <w:left w:type="dxa" w:w="90"/>
              <w:bottom w:type="dxa" w:w="60"/>
              <w:right w:type="dxa" w:w="90"/>
            </w:tcMar>
            <w:vAlign w:val="center"/>
          </w:tcPr>
          <w:p>
            <w:pPr>
              <w:jc w:val="left"/>
            </w:pPr>
            <w:r>
              <w:rPr>
                <w:b w:val="false"/>
                <w:bCs w:val="false"/>
                <w:color w:val="000000"/>
                <w:sz w:val="15"/>
                <w:szCs w:val="15"/>
              </w:rPr>
              <w:t xml:space="preserve">Bug confirmé</w:t>
            </w:r>
          </w:p>
        </w:tc>
        <w:tc>
          <w:tcPr>
            <w:tcW w:type="dxa" w:w="5500"/>
            <w:shd w:fill="FCE4E4" w:val="clear"/>
            <w:tcMar>
              <w:top w:type="dxa" w:w="60"/>
              <w:left w:type="dxa" w:w="90"/>
              <w:bottom w:type="dxa" w:w="60"/>
              <w:right w:type="dxa" w:w="90"/>
            </w:tcMar>
            <w:vAlign w:val="center"/>
          </w:tcPr>
          <w:p>
            <w:pPr>
              <w:jc w:val="left"/>
            </w:pPr>
            <w:r>
              <w:rPr>
                <w:b w:val="false"/>
                <w:bCs w:val="false"/>
                <w:color w:val="000000"/>
                <w:sz w:val="15"/>
                <w:szCs w:val="15"/>
              </w:rPr>
              <w:t xml:space="preserve">Dépend de [Taux de croissance], qui retourne toujours BLANK — voir 4.1.</w:t>
            </w:r>
          </w:p>
        </w:tc>
      </w:tr>
      <w:tr>
        <w:tc>
          <w:tcPr>
            <w:tcW w:type="dxa" w:w="2400"/>
            <w:shd w:fill="FCE4E4" w:val="clear"/>
            <w:tcMar>
              <w:top w:type="dxa" w:w="60"/>
              <w:left w:type="dxa" w:w="90"/>
              <w:bottom w:type="dxa" w:w="60"/>
              <w:right w:type="dxa" w:w="90"/>
            </w:tcMar>
            <w:vAlign w:val="center"/>
          </w:tcPr>
          <w:p>
            <w:pPr>
              <w:jc w:val="left"/>
            </w:pPr>
            <w:r>
              <w:rPr>
                <w:b w:val="false"/>
                <w:bCs w:val="false"/>
                <w:color w:val="000000"/>
                <w:sz w:val="15"/>
                <w:szCs w:val="15"/>
              </w:rPr>
              <w:t xml:space="preserve">Prédiction Seuil 2015</w:t>
            </w:r>
          </w:p>
        </w:tc>
        <w:tc>
          <w:tcPr>
            <w:tcW w:type="dxa" w:w="1500"/>
            <w:shd w:fill="FCE4E4" w:val="clear"/>
            <w:tcMar>
              <w:top w:type="dxa" w:w="60"/>
              <w:left w:type="dxa" w:w="90"/>
              <w:bottom w:type="dxa" w:w="60"/>
              <w:right w:type="dxa" w:w="90"/>
            </w:tcMar>
            <w:vAlign w:val="center"/>
          </w:tcPr>
          <w:p>
            <w:pPr>
              <w:jc w:val="left"/>
            </w:pPr>
            <w:r>
              <w:rPr>
                <w:b w:val="false"/>
                <w:bCs w:val="false"/>
                <w:color w:val="000000"/>
                <w:sz w:val="15"/>
                <w:szCs w:val="15"/>
              </w:rPr>
              <w:t xml:space="preserve">Bug confirmé</w:t>
            </w:r>
          </w:p>
        </w:tc>
        <w:tc>
          <w:tcPr>
            <w:tcW w:type="dxa" w:w="5500"/>
            <w:shd w:fill="FCE4E4" w:val="clear"/>
            <w:tcMar>
              <w:top w:type="dxa" w:w="60"/>
              <w:left w:type="dxa" w:w="90"/>
              <w:bottom w:type="dxa" w:w="60"/>
              <w:right w:type="dxa" w:w="90"/>
            </w:tcMar>
            <w:vAlign w:val="center"/>
          </w:tcPr>
          <w:p>
            <w:pPr>
              <w:jc w:val="left"/>
            </w:pPr>
            <w:r>
              <w:rPr>
                <w:b w:val="false"/>
                <w:bCs w:val="false"/>
                <w:color w:val="000000"/>
                <w:sz w:val="15"/>
                <w:szCs w:val="15"/>
              </w:rPr>
              <w:t xml:space="preserve">Même dépendance à [Taux de croissance] — voir 4.1.</w:t>
            </w:r>
          </w:p>
        </w:tc>
      </w:tr>
      <w:tr>
        <w:tc>
          <w:tcPr>
            <w:tcW w:type="dxa" w:w="2400"/>
            <w:shd w:fill="FCE4E4" w:val="clear"/>
            <w:tcMar>
              <w:top w:type="dxa" w:w="60"/>
              <w:left w:type="dxa" w:w="90"/>
              <w:bottom w:type="dxa" w:w="60"/>
              <w:right w:type="dxa" w:w="90"/>
            </w:tcMar>
            <w:vAlign w:val="center"/>
          </w:tcPr>
          <w:p>
            <w:pPr>
              <w:jc w:val="left"/>
            </w:pPr>
            <w:r>
              <w:rPr>
                <w:b w:val="false"/>
                <w:bCs w:val="false"/>
                <w:color w:val="000000"/>
                <w:sz w:val="15"/>
                <w:szCs w:val="15"/>
              </w:rPr>
              <w:t xml:space="preserve">Prédiction Survie 2015</w:t>
            </w:r>
          </w:p>
        </w:tc>
        <w:tc>
          <w:tcPr>
            <w:tcW w:type="dxa" w:w="1500"/>
            <w:shd w:fill="FCE4E4" w:val="clear"/>
            <w:tcMar>
              <w:top w:type="dxa" w:w="60"/>
              <w:left w:type="dxa" w:w="90"/>
              <w:bottom w:type="dxa" w:w="60"/>
              <w:right w:type="dxa" w:w="90"/>
            </w:tcMar>
            <w:vAlign w:val="center"/>
          </w:tcPr>
          <w:p>
            <w:pPr>
              <w:jc w:val="left"/>
            </w:pPr>
            <w:r>
              <w:rPr>
                <w:b w:val="false"/>
                <w:bCs w:val="false"/>
                <w:color w:val="000000"/>
                <w:sz w:val="15"/>
                <w:szCs w:val="15"/>
              </w:rPr>
              <w:t xml:space="preserve">Bug confirmé</w:t>
            </w:r>
          </w:p>
        </w:tc>
        <w:tc>
          <w:tcPr>
            <w:tcW w:type="dxa" w:w="5500"/>
            <w:shd w:fill="FCE4E4" w:val="clear"/>
            <w:tcMar>
              <w:top w:type="dxa" w:w="60"/>
              <w:left w:type="dxa" w:w="90"/>
              <w:bottom w:type="dxa" w:w="60"/>
              <w:right w:type="dxa" w:w="90"/>
            </w:tcMar>
            <w:vAlign w:val="center"/>
          </w:tcPr>
          <w:p>
            <w:pPr>
              <w:jc w:val="left"/>
            </w:pPr>
            <w:r>
              <w:rPr>
                <w:b w:val="false"/>
                <w:bCs w:val="false"/>
                <w:color w:val="000000"/>
                <w:sz w:val="15"/>
                <w:szCs w:val="15"/>
              </w:rPr>
              <w:t xml:space="preserve">Même dépendance à [Taux de croissance] — voir 4.1.</w:t>
            </w:r>
          </w:p>
        </w:tc>
      </w:tr>
      <w:tr>
        <w:tc>
          <w:tcPr>
            <w:tcW w:type="dxa" w:w="2400"/>
            <w:shd w:fill="FCE4E4" w:val="clear"/>
            <w:tcMar>
              <w:top w:type="dxa" w:w="60"/>
              <w:left w:type="dxa" w:w="90"/>
              <w:bottom w:type="dxa" w:w="60"/>
              <w:right w:type="dxa" w:w="90"/>
            </w:tcMar>
            <w:vAlign w:val="center"/>
          </w:tcPr>
          <w:p>
            <w:pPr>
              <w:jc w:val="left"/>
            </w:pPr>
            <w:r>
              <w:rPr>
                <w:b w:val="false"/>
                <w:bCs w:val="false"/>
                <w:color w:val="000000"/>
                <w:sz w:val="15"/>
                <w:szCs w:val="15"/>
              </w:rPr>
              <w:t xml:space="preserve">Prédictions Ventes 2015</w:t>
            </w:r>
          </w:p>
        </w:tc>
        <w:tc>
          <w:tcPr>
            <w:tcW w:type="dxa" w:w="1500"/>
            <w:shd w:fill="FCE4E4" w:val="clear"/>
            <w:tcMar>
              <w:top w:type="dxa" w:w="60"/>
              <w:left w:type="dxa" w:w="90"/>
              <w:bottom w:type="dxa" w:w="60"/>
              <w:right w:type="dxa" w:w="90"/>
            </w:tcMar>
            <w:vAlign w:val="center"/>
          </w:tcPr>
          <w:p>
            <w:pPr>
              <w:jc w:val="left"/>
            </w:pPr>
            <w:r>
              <w:rPr>
                <w:b w:val="false"/>
                <w:bCs w:val="false"/>
                <w:color w:val="000000"/>
                <w:sz w:val="15"/>
                <w:szCs w:val="15"/>
              </w:rPr>
              <w:t xml:space="preserve">Bug confirmé</w:t>
            </w:r>
          </w:p>
        </w:tc>
        <w:tc>
          <w:tcPr>
            <w:tcW w:type="dxa" w:w="5500"/>
            <w:shd w:fill="FCE4E4" w:val="clear"/>
            <w:tcMar>
              <w:top w:type="dxa" w:w="60"/>
              <w:left w:type="dxa" w:w="90"/>
              <w:bottom w:type="dxa" w:w="60"/>
              <w:right w:type="dxa" w:w="90"/>
            </w:tcMar>
            <w:vAlign w:val="center"/>
          </w:tcPr>
          <w:p>
            <w:pPr>
              <w:jc w:val="left"/>
            </w:pPr>
            <w:r>
              <w:rPr>
                <w:b w:val="false"/>
                <w:bCs w:val="false"/>
                <w:color w:val="000000"/>
                <w:sz w:val="15"/>
                <w:szCs w:val="15"/>
              </w:rPr>
              <w:t xml:space="preserve">Même dépendance à [Taux de croissance] — voir 4.1.</w:t>
            </w:r>
          </w:p>
        </w:tc>
      </w:tr>
      <w:tr>
        <w:tc>
          <w:tcPr>
            <w:tcW w:type="dxa" w:w="2400"/>
            <w:shd w:fill="FCE4E4" w:val="clear"/>
            <w:tcMar>
              <w:top w:type="dxa" w:w="60"/>
              <w:left w:type="dxa" w:w="90"/>
              <w:bottom w:type="dxa" w:w="60"/>
              <w:right w:type="dxa" w:w="90"/>
            </w:tcMar>
            <w:vAlign w:val="center"/>
          </w:tcPr>
          <w:p>
            <w:pPr>
              <w:jc w:val="left"/>
            </w:pPr>
            <w:r>
              <w:rPr>
                <w:b w:val="false"/>
                <w:bCs w:val="false"/>
                <w:color w:val="000000"/>
                <w:sz w:val="15"/>
                <w:szCs w:val="15"/>
              </w:rPr>
              <w:t xml:space="preserve">Predictions Ventes 2015 par Pays</w:t>
            </w:r>
          </w:p>
        </w:tc>
        <w:tc>
          <w:tcPr>
            <w:tcW w:type="dxa" w:w="1500"/>
            <w:shd w:fill="FCE4E4" w:val="clear"/>
            <w:tcMar>
              <w:top w:type="dxa" w:w="60"/>
              <w:left w:type="dxa" w:w="90"/>
              <w:bottom w:type="dxa" w:w="60"/>
              <w:right w:type="dxa" w:w="90"/>
            </w:tcMar>
            <w:vAlign w:val="center"/>
          </w:tcPr>
          <w:p>
            <w:pPr>
              <w:jc w:val="left"/>
            </w:pPr>
            <w:r>
              <w:rPr>
                <w:b w:val="false"/>
                <w:bCs w:val="false"/>
                <w:color w:val="000000"/>
                <w:sz w:val="15"/>
                <w:szCs w:val="15"/>
              </w:rPr>
              <w:t xml:space="preserve">Bug confirmé</w:t>
            </w:r>
          </w:p>
        </w:tc>
        <w:tc>
          <w:tcPr>
            <w:tcW w:type="dxa" w:w="5500"/>
            <w:shd w:fill="FCE4E4" w:val="clear"/>
            <w:tcMar>
              <w:top w:type="dxa" w:w="60"/>
              <w:left w:type="dxa" w:w="90"/>
              <w:bottom w:type="dxa" w:w="60"/>
              <w:right w:type="dxa" w:w="90"/>
            </w:tcMar>
            <w:vAlign w:val="center"/>
          </w:tcPr>
          <w:p>
            <w:pPr>
              <w:jc w:val="left"/>
            </w:pPr>
            <w:r>
              <w:rPr>
                <w:b w:val="false"/>
                <w:bCs w:val="false"/>
                <w:color w:val="000000"/>
                <w:sz w:val="15"/>
                <w:szCs w:val="15"/>
              </w:rPr>
              <w:t xml:space="preserve">Ventes2013Pays filtre YEAR=2014 au lieu de 2013 (copier-coller non corrigé) — voir 4.2.</w:t>
            </w:r>
          </w:p>
        </w:tc>
      </w:tr>
      <w:tr>
        <w:tc>
          <w:tcPr>
            <w:tcW w:type="dxa" w:w="2400"/>
            <w:shd w:fill="E2EFDA" w:val="clear"/>
            <w:tcMar>
              <w:top w:type="dxa" w:w="60"/>
              <w:left w:type="dxa" w:w="90"/>
              <w:bottom w:type="dxa" w:w="60"/>
              <w:right w:type="dxa" w:w="90"/>
            </w:tcMar>
            <w:vAlign w:val="center"/>
          </w:tcPr>
          <w:p>
            <w:pPr>
              <w:jc w:val="left"/>
            </w:pPr>
            <w:r>
              <w:rPr>
                <w:b w:val="false"/>
                <w:bCs w:val="false"/>
                <w:color w:val="000000"/>
                <w:sz w:val="15"/>
                <w:szCs w:val="15"/>
              </w:rPr>
              <w:t xml:space="preserve">Predictions Ventes 2015 par Produit</w:t>
            </w:r>
          </w:p>
        </w:tc>
        <w:tc>
          <w:tcPr>
            <w:tcW w:type="dxa" w:w="1500"/>
            <w:shd w:fill="E2EFDA" w:val="clear"/>
            <w:tcMar>
              <w:top w:type="dxa" w:w="60"/>
              <w:left w:type="dxa" w:w="90"/>
              <w:bottom w:type="dxa" w:w="60"/>
              <w:right w:type="dxa" w:w="90"/>
            </w:tcMar>
            <w:vAlign w:val="center"/>
          </w:tcPr>
          <w:p>
            <w:pPr>
              <w:jc w:val="left"/>
            </w:pPr>
            <w:r>
              <w:rPr>
                <w:b w:val="false"/>
                <w:bCs w:val="false"/>
                <w:color w:val="000000"/>
                <w:sz w:val="15"/>
                <w:szCs w:val="15"/>
              </w:rPr>
              <w:t xml:space="preserve">Correct</w:t>
            </w:r>
          </w:p>
        </w:tc>
        <w:tc>
          <w:tcPr>
            <w:tcW w:type="dxa" w:w="5500"/>
            <w:shd w:fill="E2EFDA" w:val="clear"/>
            <w:tcMar>
              <w:top w:type="dxa" w:w="60"/>
              <w:left w:type="dxa" w:w="90"/>
              <w:bottom w:type="dxa" w:w="60"/>
              <w:right w:type="dxa" w:w="90"/>
            </w:tcMar>
            <w:vAlign w:val="center"/>
          </w:tcPr>
          <w:p>
            <w:pPr>
              <w:jc w:val="left"/>
            </w:pPr>
            <w:r>
              <w:rPr>
                <w:b w:val="false"/>
                <w:bCs w:val="false"/>
                <w:color w:val="000000"/>
                <w:sz w:val="15"/>
                <w:szCs w:val="15"/>
              </w:rPr>
              <w:t xml:space="preserve">Logique par variable propre, filtre 2013/2014 correct.</w:t>
            </w:r>
          </w:p>
        </w:tc>
      </w:tr>
      <w:tr>
        <w:tc>
          <w:tcPr>
            <w:tcW w:type="dxa" w:w="2400"/>
            <w:shd w:fill="E2EFDA" w:val="clear"/>
            <w:tcMar>
              <w:top w:type="dxa" w:w="60"/>
              <w:left w:type="dxa" w:w="90"/>
              <w:bottom w:type="dxa" w:w="60"/>
              <w:right w:type="dxa" w:w="90"/>
            </w:tcMar>
            <w:vAlign w:val="center"/>
          </w:tcPr>
          <w:p>
            <w:pPr>
              <w:jc w:val="left"/>
            </w:pPr>
            <w:r>
              <w:rPr>
                <w:b w:val="false"/>
                <w:bCs w:val="false"/>
                <w:color w:val="000000"/>
                <w:sz w:val="15"/>
                <w:szCs w:val="15"/>
              </w:rPr>
              <w:t xml:space="preserve">Prédictions Ventes 2015 par Segment</w:t>
            </w:r>
          </w:p>
        </w:tc>
        <w:tc>
          <w:tcPr>
            <w:tcW w:type="dxa" w:w="1500"/>
            <w:shd w:fill="E2EFDA" w:val="clear"/>
            <w:tcMar>
              <w:top w:type="dxa" w:w="60"/>
              <w:left w:type="dxa" w:w="90"/>
              <w:bottom w:type="dxa" w:w="60"/>
              <w:right w:type="dxa" w:w="90"/>
            </w:tcMar>
            <w:vAlign w:val="center"/>
          </w:tcPr>
          <w:p>
            <w:pPr>
              <w:jc w:val="left"/>
            </w:pPr>
            <w:r>
              <w:rPr>
                <w:b w:val="false"/>
                <w:bCs w:val="false"/>
                <w:color w:val="000000"/>
                <w:sz w:val="15"/>
                <w:szCs w:val="15"/>
              </w:rPr>
              <w:t xml:space="preserve">Correct</w:t>
            </w:r>
          </w:p>
        </w:tc>
        <w:tc>
          <w:tcPr>
            <w:tcW w:type="dxa" w:w="5500"/>
            <w:shd w:fill="E2EFDA" w:val="clear"/>
            <w:tcMar>
              <w:top w:type="dxa" w:w="60"/>
              <w:left w:type="dxa" w:w="90"/>
              <w:bottom w:type="dxa" w:w="60"/>
              <w:right w:type="dxa" w:w="90"/>
            </w:tcMar>
            <w:vAlign w:val="center"/>
          </w:tcPr>
          <w:p>
            <w:pPr>
              <w:jc w:val="left"/>
            </w:pPr>
            <w:r>
              <w:rPr>
                <w:b w:val="false"/>
                <w:bCs w:val="false"/>
                <w:color w:val="000000"/>
                <w:sz w:val="15"/>
                <w:szCs w:val="15"/>
              </w:rPr>
              <w:t xml:space="preserve">Logique par variable propre, filtre 2013/2014 correct.</w:t>
            </w:r>
          </w:p>
        </w:tc>
      </w:tr>
      <w:tr>
        <w:tc>
          <w:tcPr>
            <w:tcW w:type="dxa" w:w="2400"/>
            <w:shd w:fill="E2EFDA" w:val="clear"/>
            <w:tcMar>
              <w:top w:type="dxa" w:w="60"/>
              <w:left w:type="dxa" w:w="90"/>
              <w:bottom w:type="dxa" w:w="60"/>
              <w:right w:type="dxa" w:w="90"/>
            </w:tcMar>
            <w:vAlign w:val="center"/>
          </w:tcPr>
          <w:p>
            <w:pPr>
              <w:jc w:val="left"/>
            </w:pPr>
            <w:r>
              <w:rPr>
                <w:b w:val="false"/>
                <w:bCs w:val="false"/>
                <w:color w:val="000000"/>
                <w:sz w:val="15"/>
                <w:szCs w:val="15"/>
              </w:rPr>
              <w:t xml:space="preserve">Prix usine dynamique</w:t>
            </w:r>
          </w:p>
        </w:tc>
        <w:tc>
          <w:tcPr>
            <w:tcW w:type="dxa" w:w="1500"/>
            <w:shd w:fill="E2EFDA" w:val="clear"/>
            <w:tcMar>
              <w:top w:type="dxa" w:w="60"/>
              <w:left w:type="dxa" w:w="90"/>
              <w:bottom w:type="dxa" w:w="60"/>
              <w:right w:type="dxa" w:w="90"/>
            </w:tcMar>
            <w:vAlign w:val="center"/>
          </w:tcPr>
          <w:p>
            <w:pPr>
              <w:jc w:val="left"/>
            </w:pPr>
            <w:r>
              <w:rPr>
                <w:b w:val="false"/>
                <w:bCs w:val="false"/>
                <w:color w:val="000000"/>
                <w:sz w:val="15"/>
                <w:szCs w:val="15"/>
              </w:rPr>
              <w:t xml:space="preserve">Correct</w:t>
            </w:r>
          </w:p>
        </w:tc>
        <w:tc>
          <w:tcPr>
            <w:tcW w:type="dxa" w:w="5500"/>
            <w:shd w:fill="E2EFDA" w:val="clear"/>
            <w:tcMar>
              <w:top w:type="dxa" w:w="60"/>
              <w:left w:type="dxa" w:w="90"/>
              <w:bottom w:type="dxa" w:w="60"/>
              <w:right w:type="dxa" w:w="90"/>
            </w:tcMar>
            <w:vAlign w:val="center"/>
          </w:tcPr>
          <w:p>
            <w:pPr>
              <w:jc w:val="left"/>
            </w:pPr>
            <w:r>
              <w:rPr>
                <w:b w:val="false"/>
                <w:bCs w:val="false"/>
                <w:color w:val="000000"/>
                <w:sz w:val="15"/>
                <w:szCs w:val="15"/>
              </w:rPr>
              <w:t xml:space="preserve">Référence bien la mesure de sélection du paramètre "Quoi si ?".</w:t>
            </w:r>
          </w:p>
        </w:tc>
      </w:tr>
      <w:tr>
        <w:tc>
          <w:tcPr>
            <w:tcW w:type="dxa" w:w="2400"/>
            <w:shd w:fill="FCE4E4" w:val="clear"/>
            <w:tcMar>
              <w:top w:type="dxa" w:w="60"/>
              <w:left w:type="dxa" w:w="90"/>
              <w:bottom w:type="dxa" w:w="60"/>
              <w:right w:type="dxa" w:w="90"/>
            </w:tcMar>
            <w:vAlign w:val="center"/>
          </w:tcPr>
          <w:p>
            <w:pPr>
              <w:jc w:val="left"/>
            </w:pPr>
            <w:r>
              <w:rPr>
                <w:b w:val="false"/>
                <w:bCs w:val="false"/>
                <w:color w:val="000000"/>
                <w:sz w:val="15"/>
                <w:szCs w:val="15"/>
              </w:rPr>
              <w:t xml:space="preserve">Profit Cumule</w:t>
            </w:r>
          </w:p>
        </w:tc>
        <w:tc>
          <w:tcPr>
            <w:tcW w:type="dxa" w:w="1500"/>
            <w:shd w:fill="FCE4E4" w:val="clear"/>
            <w:tcMar>
              <w:top w:type="dxa" w:w="60"/>
              <w:left w:type="dxa" w:w="90"/>
              <w:bottom w:type="dxa" w:w="60"/>
              <w:right w:type="dxa" w:w="90"/>
            </w:tcMar>
            <w:vAlign w:val="center"/>
          </w:tcPr>
          <w:p>
            <w:pPr>
              <w:jc w:val="left"/>
            </w:pPr>
            <w:r>
              <w:rPr>
                <w:b w:val="false"/>
                <w:bCs w:val="false"/>
                <w:color w:val="000000"/>
                <w:sz w:val="15"/>
                <w:szCs w:val="15"/>
              </w:rPr>
              <w:t xml:space="preserve">Bug confirmé</w:t>
            </w:r>
          </w:p>
        </w:tc>
        <w:tc>
          <w:tcPr>
            <w:tcW w:type="dxa" w:w="5500"/>
            <w:shd w:fill="FCE4E4" w:val="clear"/>
            <w:tcMar>
              <w:top w:type="dxa" w:w="60"/>
              <w:left w:type="dxa" w:w="90"/>
              <w:bottom w:type="dxa" w:w="60"/>
              <w:right w:type="dxa" w:w="90"/>
            </w:tcMar>
            <w:vAlign w:val="center"/>
          </w:tcPr>
          <w:p>
            <w:pPr>
              <w:jc w:val="left"/>
            </w:pPr>
            <w:r>
              <w:rPr>
                <w:b w:val="false"/>
                <w:bCs w:val="false"/>
                <w:color w:val="000000"/>
                <w:sz w:val="15"/>
                <w:szCs w:val="15"/>
              </w:rPr>
              <w:t xml:space="preserve">N'est pas un cumul malgré son nom — simple SUM — voir 4.2.</w:t>
            </w:r>
          </w:p>
        </w:tc>
      </w:tr>
      <w:tr>
        <w:tc>
          <w:tcPr>
            <w:tcW w:type="dxa" w:w="2400"/>
            <w:shd w:fill="FCE4E4" w:val="clear"/>
            <w:tcMar>
              <w:top w:type="dxa" w:w="60"/>
              <w:left w:type="dxa" w:w="90"/>
              <w:bottom w:type="dxa" w:w="60"/>
              <w:right w:type="dxa" w:w="90"/>
            </w:tcMar>
            <w:vAlign w:val="center"/>
          </w:tcPr>
          <w:p>
            <w:pPr>
              <w:jc w:val="left"/>
            </w:pPr>
            <w:r>
              <w:rPr>
                <w:b w:val="false"/>
                <w:bCs w:val="false"/>
                <w:color w:val="000000"/>
                <w:sz w:val="15"/>
                <w:szCs w:val="15"/>
              </w:rPr>
              <w:t xml:space="preserve">Profit Reel 2013</w:t>
            </w:r>
          </w:p>
        </w:tc>
        <w:tc>
          <w:tcPr>
            <w:tcW w:type="dxa" w:w="1500"/>
            <w:shd w:fill="FCE4E4" w:val="clear"/>
            <w:tcMar>
              <w:top w:type="dxa" w:w="60"/>
              <w:left w:type="dxa" w:w="90"/>
              <w:bottom w:type="dxa" w:w="60"/>
              <w:right w:type="dxa" w:w="90"/>
            </w:tcMar>
            <w:vAlign w:val="center"/>
          </w:tcPr>
          <w:p>
            <w:pPr>
              <w:jc w:val="left"/>
            </w:pPr>
            <w:r>
              <w:rPr>
                <w:b w:val="false"/>
                <w:bCs w:val="false"/>
                <w:color w:val="000000"/>
                <w:sz w:val="15"/>
                <w:szCs w:val="15"/>
              </w:rPr>
              <w:t xml:space="preserve">Bug confirmé</w:t>
            </w:r>
          </w:p>
        </w:tc>
        <w:tc>
          <w:tcPr>
            <w:tcW w:type="dxa" w:w="5500"/>
            <w:shd w:fill="FCE4E4" w:val="clear"/>
            <w:tcMar>
              <w:top w:type="dxa" w:w="60"/>
              <w:left w:type="dxa" w:w="90"/>
              <w:bottom w:type="dxa" w:w="60"/>
              <w:right w:type="dxa" w:w="90"/>
            </w:tcMar>
            <w:vAlign w:val="center"/>
          </w:tcPr>
          <w:p>
            <w:pPr>
              <w:jc w:val="left"/>
            </w:pPr>
            <w:r>
              <w:rPr>
                <w:b w:val="false"/>
                <w:bCs w:val="false"/>
                <w:color w:val="000000"/>
                <w:sz w:val="15"/>
                <w:szCs w:val="15"/>
              </w:rPr>
              <w:t xml:space="preserve">Doublon exact d'Objectif Profit 2013 — voir 4.2.</w:t>
            </w:r>
          </w:p>
        </w:tc>
      </w:tr>
      <w:tr>
        <w:tc>
          <w:tcPr>
            <w:tcW w:type="dxa" w:w="2400"/>
            <w:shd w:fill="E2EFDA" w:val="clear"/>
            <w:tcMar>
              <w:top w:type="dxa" w:w="60"/>
              <w:left w:type="dxa" w:w="90"/>
              <w:bottom w:type="dxa" w:w="60"/>
              <w:right w:type="dxa" w:w="90"/>
            </w:tcMar>
            <w:vAlign w:val="center"/>
          </w:tcPr>
          <w:p>
            <w:pPr>
              <w:jc w:val="left"/>
            </w:pPr>
            <w:r>
              <w:rPr>
                <w:b w:val="false"/>
                <w:bCs w:val="false"/>
                <w:color w:val="000000"/>
                <w:sz w:val="15"/>
                <w:szCs w:val="15"/>
              </w:rPr>
              <w:t xml:space="preserve">Seuil de rentabilite annuel</w:t>
            </w:r>
          </w:p>
        </w:tc>
        <w:tc>
          <w:tcPr>
            <w:tcW w:type="dxa" w:w="1500"/>
            <w:shd w:fill="E2EFDA" w:val="clear"/>
            <w:tcMar>
              <w:top w:type="dxa" w:w="60"/>
              <w:left w:type="dxa" w:w="90"/>
              <w:bottom w:type="dxa" w:w="60"/>
              <w:right w:type="dxa" w:w="90"/>
            </w:tcMar>
            <w:vAlign w:val="center"/>
          </w:tcPr>
          <w:p>
            <w:pPr>
              <w:jc w:val="left"/>
            </w:pPr>
            <w:r>
              <w:rPr>
                <w:b w:val="false"/>
                <w:bCs w:val="false"/>
                <w:color w:val="000000"/>
                <w:sz w:val="15"/>
                <w:szCs w:val="15"/>
              </w:rPr>
              <w:t xml:space="preserve">Correct</w:t>
            </w:r>
          </w:p>
        </w:tc>
        <w:tc>
          <w:tcPr>
            <w:tcW w:type="dxa" w:w="5500"/>
            <w:shd w:fill="E2EFDA" w:val="clear"/>
            <w:tcMar>
              <w:top w:type="dxa" w:w="60"/>
              <w:left w:type="dxa" w:w="90"/>
              <w:bottom w:type="dxa" w:w="60"/>
              <w:right w:type="dxa" w:w="90"/>
            </w:tcMar>
            <w:vAlign w:val="center"/>
          </w:tcPr>
          <w:p>
            <w:pPr>
              <w:jc w:val="left"/>
            </w:pPr>
            <w:r>
              <w:rPr>
                <w:b w:val="false"/>
                <w:bCs w:val="false"/>
                <w:color w:val="000000"/>
                <w:sz w:val="15"/>
                <w:szCs w:val="15"/>
              </w:rPr>
              <w:t xml:space="preserve">Formule de seuil de rentabilité standard, bien construite.</w:t>
            </w:r>
          </w:p>
        </w:tc>
      </w:tr>
      <w:tr>
        <w:tc>
          <w:tcPr>
            <w:tcW w:type="dxa" w:w="2400"/>
            <w:shd w:fill="E2EFDA" w:val="clear"/>
            <w:tcMar>
              <w:top w:type="dxa" w:w="60"/>
              <w:left w:type="dxa" w:w="90"/>
              <w:bottom w:type="dxa" w:w="60"/>
              <w:right w:type="dxa" w:w="90"/>
            </w:tcMar>
            <w:vAlign w:val="center"/>
          </w:tcPr>
          <w:p>
            <w:pPr>
              <w:jc w:val="left"/>
            </w:pPr>
            <w:r>
              <w:rPr>
                <w:b w:val="false"/>
                <w:bCs w:val="false"/>
                <w:color w:val="000000"/>
                <w:sz w:val="15"/>
                <w:szCs w:val="15"/>
              </w:rPr>
              <w:t xml:space="preserve">Seuil Min Top 2 Pays</w:t>
            </w:r>
          </w:p>
        </w:tc>
        <w:tc>
          <w:tcPr>
            <w:tcW w:type="dxa" w:w="1500"/>
            <w:shd w:fill="E2EFDA" w:val="clear"/>
            <w:tcMar>
              <w:top w:type="dxa" w:w="60"/>
              <w:left w:type="dxa" w:w="90"/>
              <w:bottom w:type="dxa" w:w="60"/>
              <w:right w:type="dxa" w:w="90"/>
            </w:tcMar>
            <w:vAlign w:val="center"/>
          </w:tcPr>
          <w:p>
            <w:pPr>
              <w:jc w:val="left"/>
            </w:pPr>
            <w:r>
              <w:rPr>
                <w:b w:val="false"/>
                <w:bCs w:val="false"/>
                <w:color w:val="000000"/>
                <w:sz w:val="15"/>
                <w:szCs w:val="15"/>
              </w:rPr>
              <w:t xml:space="preserve">Correct</w:t>
            </w:r>
          </w:p>
        </w:tc>
        <w:tc>
          <w:tcPr>
            <w:tcW w:type="dxa" w:w="5500"/>
            <w:shd w:fill="E2EFDA" w:val="clear"/>
            <w:tcMar>
              <w:top w:type="dxa" w:w="60"/>
              <w:left w:type="dxa" w:w="90"/>
              <w:bottom w:type="dxa" w:w="60"/>
              <w:right w:type="dxa" w:w="90"/>
            </w:tcMar>
            <w:vAlign w:val="center"/>
          </w:tcPr>
          <w:p>
            <w:pPr>
              <w:jc w:val="left"/>
            </w:pPr>
            <w:r>
              <w:rPr>
                <w:b w:val="false"/>
                <w:bCs w:val="false"/>
                <w:color w:val="000000"/>
                <w:sz w:val="15"/>
                <w:szCs w:val="15"/>
              </w:rPr>
              <w:t xml:space="preserve">Pattern ADDCOLUMNS + TOPN + MINX correct et idiomatique.</w:t>
            </w:r>
          </w:p>
        </w:tc>
      </w:tr>
      <w:tr>
        <w:tc>
          <w:tcPr>
            <w:tcW w:type="dxa" w:w="2400"/>
            <w:shd w:fill="E2EFDA" w:val="clear"/>
            <w:tcMar>
              <w:top w:type="dxa" w:w="60"/>
              <w:left w:type="dxa" w:w="90"/>
              <w:bottom w:type="dxa" w:w="60"/>
              <w:right w:type="dxa" w:w="90"/>
            </w:tcMar>
            <w:vAlign w:val="center"/>
          </w:tcPr>
          <w:p>
            <w:pPr>
              <w:jc w:val="left"/>
            </w:pPr>
            <w:r>
              <w:rPr>
                <w:b w:val="false"/>
                <w:bCs w:val="false"/>
                <w:color w:val="000000"/>
                <w:sz w:val="15"/>
                <w:szCs w:val="15"/>
              </w:rPr>
              <w:t xml:space="preserve">Seuil Min Top 3 Produit</w:t>
            </w:r>
          </w:p>
        </w:tc>
        <w:tc>
          <w:tcPr>
            <w:tcW w:type="dxa" w:w="1500"/>
            <w:shd w:fill="E2EFDA" w:val="clear"/>
            <w:tcMar>
              <w:top w:type="dxa" w:w="60"/>
              <w:left w:type="dxa" w:w="90"/>
              <w:bottom w:type="dxa" w:w="60"/>
              <w:right w:type="dxa" w:w="90"/>
            </w:tcMar>
            <w:vAlign w:val="center"/>
          </w:tcPr>
          <w:p>
            <w:pPr>
              <w:jc w:val="left"/>
            </w:pPr>
            <w:r>
              <w:rPr>
                <w:b w:val="false"/>
                <w:bCs w:val="false"/>
                <w:color w:val="000000"/>
                <w:sz w:val="15"/>
                <w:szCs w:val="15"/>
              </w:rPr>
              <w:t xml:space="preserve">Correct</w:t>
            </w:r>
          </w:p>
        </w:tc>
        <w:tc>
          <w:tcPr>
            <w:tcW w:type="dxa" w:w="5500"/>
            <w:shd w:fill="E2EFDA" w:val="clear"/>
            <w:tcMar>
              <w:top w:type="dxa" w:w="60"/>
              <w:left w:type="dxa" w:w="90"/>
              <w:bottom w:type="dxa" w:w="60"/>
              <w:right w:type="dxa" w:w="90"/>
            </w:tcMar>
            <w:vAlign w:val="center"/>
          </w:tcPr>
          <w:p>
            <w:pPr>
              <w:jc w:val="left"/>
            </w:pPr>
            <w:r>
              <w:rPr>
                <w:b w:val="false"/>
                <w:bCs w:val="false"/>
                <w:color w:val="000000"/>
                <w:sz w:val="15"/>
                <w:szCs w:val="15"/>
              </w:rPr>
              <w:t xml:space="preserve">Idem, correct.</w:t>
            </w:r>
          </w:p>
        </w:tc>
      </w:tr>
      <w:tr>
        <w:tc>
          <w:tcPr>
            <w:tcW w:type="dxa" w:w="2400"/>
            <w:shd w:fill="E2EFDA" w:val="clear"/>
            <w:tcMar>
              <w:top w:type="dxa" w:w="60"/>
              <w:left w:type="dxa" w:w="90"/>
              <w:bottom w:type="dxa" w:w="60"/>
              <w:right w:type="dxa" w:w="90"/>
            </w:tcMar>
            <w:vAlign w:val="center"/>
          </w:tcPr>
          <w:p>
            <w:pPr>
              <w:jc w:val="left"/>
            </w:pPr>
            <w:r>
              <w:rPr>
                <w:b w:val="false"/>
                <w:bCs w:val="false"/>
                <w:color w:val="000000"/>
                <w:sz w:val="15"/>
                <w:szCs w:val="15"/>
              </w:rPr>
              <w:t xml:space="preserve">Seuil Min Top 3 Segment</w:t>
            </w:r>
          </w:p>
        </w:tc>
        <w:tc>
          <w:tcPr>
            <w:tcW w:type="dxa" w:w="1500"/>
            <w:shd w:fill="E2EFDA" w:val="clear"/>
            <w:tcMar>
              <w:top w:type="dxa" w:w="60"/>
              <w:left w:type="dxa" w:w="90"/>
              <w:bottom w:type="dxa" w:w="60"/>
              <w:right w:type="dxa" w:w="90"/>
            </w:tcMar>
            <w:vAlign w:val="center"/>
          </w:tcPr>
          <w:p>
            <w:pPr>
              <w:jc w:val="left"/>
            </w:pPr>
            <w:r>
              <w:rPr>
                <w:b w:val="false"/>
                <w:bCs w:val="false"/>
                <w:color w:val="000000"/>
                <w:sz w:val="15"/>
                <w:szCs w:val="15"/>
              </w:rPr>
              <w:t xml:space="preserve">Correct</w:t>
            </w:r>
          </w:p>
        </w:tc>
        <w:tc>
          <w:tcPr>
            <w:tcW w:type="dxa" w:w="5500"/>
            <w:shd w:fill="E2EFDA" w:val="clear"/>
            <w:tcMar>
              <w:top w:type="dxa" w:w="60"/>
              <w:left w:type="dxa" w:w="90"/>
              <w:bottom w:type="dxa" w:w="60"/>
              <w:right w:type="dxa" w:w="90"/>
            </w:tcMar>
            <w:vAlign w:val="center"/>
          </w:tcPr>
          <w:p>
            <w:pPr>
              <w:jc w:val="left"/>
            </w:pPr>
            <w:r>
              <w:rPr>
                <w:b w:val="false"/>
                <w:bCs w:val="false"/>
                <w:color w:val="000000"/>
                <w:sz w:val="15"/>
                <w:szCs w:val="15"/>
              </w:rPr>
              <w:t xml:space="preserve">Idem, correct.</w:t>
            </w:r>
          </w:p>
        </w:tc>
      </w:tr>
      <w:tr>
        <w:tc>
          <w:tcPr>
            <w:tcW w:type="dxa" w:w="2400"/>
            <w:shd w:fill="FCE4E4" w:val="clear"/>
            <w:tcMar>
              <w:top w:type="dxa" w:w="60"/>
              <w:left w:type="dxa" w:w="90"/>
              <w:bottom w:type="dxa" w:w="60"/>
              <w:right w:type="dxa" w:w="90"/>
            </w:tcMar>
            <w:vAlign w:val="center"/>
          </w:tcPr>
          <w:p>
            <w:pPr>
              <w:jc w:val="left"/>
            </w:pPr>
            <w:r>
              <w:rPr>
                <w:b w:val="false"/>
                <w:bCs w:val="false"/>
                <w:color w:val="000000"/>
                <w:sz w:val="15"/>
                <w:szCs w:val="15"/>
              </w:rPr>
              <w:t xml:space="preserve">Taux de croissance</w:t>
            </w:r>
          </w:p>
        </w:tc>
        <w:tc>
          <w:tcPr>
            <w:tcW w:type="dxa" w:w="1500"/>
            <w:shd w:fill="FCE4E4" w:val="clear"/>
            <w:tcMar>
              <w:top w:type="dxa" w:w="60"/>
              <w:left w:type="dxa" w:w="90"/>
              <w:bottom w:type="dxa" w:w="60"/>
              <w:right w:type="dxa" w:w="90"/>
            </w:tcMar>
            <w:vAlign w:val="center"/>
          </w:tcPr>
          <w:p>
            <w:pPr>
              <w:jc w:val="left"/>
            </w:pPr>
            <w:r>
              <w:rPr>
                <w:b w:val="false"/>
                <w:bCs w:val="false"/>
                <w:color w:val="000000"/>
                <w:sz w:val="15"/>
                <w:szCs w:val="15"/>
              </w:rPr>
              <w:t xml:space="preserve">Bug confirmé</w:t>
            </w:r>
          </w:p>
        </w:tc>
        <w:tc>
          <w:tcPr>
            <w:tcW w:type="dxa" w:w="5500"/>
            <w:shd w:fill="FCE4E4" w:val="clear"/>
            <w:tcMar>
              <w:top w:type="dxa" w:w="60"/>
              <w:left w:type="dxa" w:w="90"/>
              <w:bottom w:type="dxa" w:w="60"/>
              <w:right w:type="dxa" w:w="90"/>
            </w:tcMar>
            <w:vAlign w:val="center"/>
          </w:tcPr>
          <w:p>
            <w:pPr>
              <w:jc w:val="left"/>
            </w:pPr>
            <w:r>
              <w:rPr>
                <w:b w:val="false"/>
                <w:bCs w:val="false"/>
                <w:color w:val="000000"/>
                <w:sz w:val="15"/>
                <w:szCs w:val="15"/>
              </w:rPr>
              <w:t xml:space="preserve">DIVIDE(...,0) : renvoie toujours BLANK — voir 4.1 (bug le plus critique du modèle).</w:t>
            </w:r>
          </w:p>
        </w:tc>
      </w:tr>
      <w:tr>
        <w:tc>
          <w:tcPr>
            <w:tcW w:type="dxa" w:w="2400"/>
            <w:shd w:fill="E2EFDA" w:val="clear"/>
            <w:tcMar>
              <w:top w:type="dxa" w:w="60"/>
              <w:left w:type="dxa" w:w="90"/>
              <w:bottom w:type="dxa" w:w="60"/>
              <w:right w:type="dxa" w:w="90"/>
            </w:tcMar>
            <w:vAlign w:val="center"/>
          </w:tcPr>
          <w:p>
            <w:pPr>
              <w:jc w:val="left"/>
            </w:pPr>
            <w:r>
              <w:rPr>
                <w:b w:val="false"/>
                <w:bCs w:val="false"/>
                <w:color w:val="000000"/>
                <w:sz w:val="15"/>
                <w:szCs w:val="15"/>
              </w:rPr>
              <w:t xml:space="preserve">Taux de remise %</w:t>
            </w:r>
          </w:p>
        </w:tc>
        <w:tc>
          <w:tcPr>
            <w:tcW w:type="dxa" w:w="1500"/>
            <w:shd w:fill="E2EFDA" w:val="clear"/>
            <w:tcMar>
              <w:top w:type="dxa" w:w="60"/>
              <w:left w:type="dxa" w:w="90"/>
              <w:bottom w:type="dxa" w:w="60"/>
              <w:right w:type="dxa" w:w="90"/>
            </w:tcMar>
            <w:vAlign w:val="center"/>
          </w:tcPr>
          <w:p>
            <w:pPr>
              <w:jc w:val="left"/>
            </w:pPr>
            <w:r>
              <w:rPr>
                <w:b w:val="false"/>
                <w:bCs w:val="false"/>
                <w:color w:val="000000"/>
                <w:sz w:val="15"/>
                <w:szCs w:val="15"/>
              </w:rPr>
              <w:t xml:space="preserve">Correct</w:t>
            </w:r>
          </w:p>
        </w:tc>
        <w:tc>
          <w:tcPr>
            <w:tcW w:type="dxa" w:w="5500"/>
            <w:shd w:fill="E2EFDA" w:val="clear"/>
            <w:tcMar>
              <w:top w:type="dxa" w:w="60"/>
              <w:left w:type="dxa" w:w="90"/>
              <w:bottom w:type="dxa" w:w="60"/>
              <w:right w:type="dxa" w:w="90"/>
            </w:tcMar>
            <w:vAlign w:val="center"/>
          </w:tcPr>
          <w:p>
            <w:pPr>
              <w:jc w:val="left"/>
            </w:pPr>
            <w:r>
              <w:rPr>
                <w:b w:val="false"/>
                <w:bCs w:val="false"/>
                <w:color w:val="000000"/>
                <w:sz w:val="15"/>
                <w:szCs w:val="15"/>
              </w:rPr>
              <w:t xml:space="preserve">DIVIDE protégé, base Ventes brutes cohérente avec la définition standard.</w:t>
            </w:r>
          </w:p>
        </w:tc>
      </w:tr>
      <w:tr>
        <w:tc>
          <w:tcPr>
            <w:tcW w:type="dxa" w:w="2400"/>
            <w:shd w:fill="FFF2CC" w:val="clear"/>
            <w:tcMar>
              <w:top w:type="dxa" w:w="60"/>
              <w:left w:type="dxa" w:w="90"/>
              <w:bottom w:type="dxa" w:w="60"/>
              <w:right w:type="dxa" w:w="90"/>
            </w:tcMar>
            <w:vAlign w:val="center"/>
          </w:tcPr>
          <w:p>
            <w:pPr>
              <w:jc w:val="left"/>
            </w:pPr>
            <w:r>
              <w:rPr>
                <w:b w:val="false"/>
                <w:bCs w:val="false"/>
                <w:color w:val="000000"/>
                <w:sz w:val="15"/>
                <w:szCs w:val="15"/>
              </w:rPr>
              <w:t xml:space="preserve">Test NbMois</w:t>
            </w:r>
          </w:p>
        </w:tc>
        <w:tc>
          <w:tcPr>
            <w:tcW w:type="dxa" w:w="1500"/>
            <w:shd w:fill="FFF2CC" w:val="clear"/>
            <w:tcMar>
              <w:top w:type="dxa" w:w="60"/>
              <w:left w:type="dxa" w:w="90"/>
              <w:bottom w:type="dxa" w:w="60"/>
              <w:right w:type="dxa" w:w="90"/>
            </w:tcMar>
            <w:vAlign w:val="center"/>
          </w:tcPr>
          <w:p>
            <w:pPr>
              <w:jc w:val="left"/>
            </w:pPr>
            <w:r>
              <w:rPr>
                <w:b w:val="false"/>
                <w:bCs w:val="false"/>
                <w:color w:val="000000"/>
                <w:sz w:val="15"/>
                <w:szCs w:val="15"/>
              </w:rPr>
              <w:t xml:space="preserve">À vérifier</w:t>
            </w:r>
          </w:p>
        </w:tc>
        <w:tc>
          <w:tcPr>
            <w:tcW w:type="dxa" w:w="5500"/>
            <w:shd w:fill="FFF2CC" w:val="clear"/>
            <w:tcMar>
              <w:top w:type="dxa" w:w="60"/>
              <w:left w:type="dxa" w:w="90"/>
              <w:bottom w:type="dxa" w:w="60"/>
              <w:right w:type="dxa" w:w="90"/>
            </w:tcMar>
            <w:vAlign w:val="center"/>
          </w:tcPr>
          <w:p>
            <w:pPr>
              <w:jc w:val="left"/>
            </w:pPr>
            <w:r>
              <w:rPr>
                <w:b w:val="false"/>
                <w:bCs w:val="false"/>
                <w:color w:val="000000"/>
                <w:sz w:val="15"/>
                <w:szCs w:val="15"/>
              </w:rPr>
              <w:t xml:space="preserve">Mesure de test/debug à retirer du modèle final — voir 4.2.</w:t>
            </w:r>
          </w:p>
        </w:tc>
      </w:tr>
      <w:tr>
        <w:tc>
          <w:tcPr>
            <w:tcW w:type="dxa" w:w="2400"/>
            <w:shd w:fill="FFF2CC" w:val="clear"/>
            <w:tcMar>
              <w:top w:type="dxa" w:w="60"/>
              <w:left w:type="dxa" w:w="90"/>
              <w:bottom w:type="dxa" w:w="60"/>
              <w:right w:type="dxa" w:w="90"/>
            </w:tcMar>
            <w:vAlign w:val="center"/>
          </w:tcPr>
          <w:p>
            <w:pPr>
              <w:jc w:val="left"/>
            </w:pPr>
            <w:r>
              <w:rPr>
                <w:b w:val="false"/>
                <w:bCs w:val="false"/>
                <w:color w:val="000000"/>
                <w:sz w:val="15"/>
                <w:szCs w:val="15"/>
              </w:rPr>
              <w:t xml:space="preserve">Test Profit 2013</w:t>
            </w:r>
          </w:p>
        </w:tc>
        <w:tc>
          <w:tcPr>
            <w:tcW w:type="dxa" w:w="1500"/>
            <w:shd w:fill="FFF2CC" w:val="clear"/>
            <w:tcMar>
              <w:top w:type="dxa" w:w="60"/>
              <w:left w:type="dxa" w:w="90"/>
              <w:bottom w:type="dxa" w:w="60"/>
              <w:right w:type="dxa" w:w="90"/>
            </w:tcMar>
            <w:vAlign w:val="center"/>
          </w:tcPr>
          <w:p>
            <w:pPr>
              <w:jc w:val="left"/>
            </w:pPr>
            <w:r>
              <w:rPr>
                <w:b w:val="false"/>
                <w:bCs w:val="false"/>
                <w:color w:val="000000"/>
                <w:sz w:val="15"/>
                <w:szCs w:val="15"/>
              </w:rPr>
              <w:t xml:space="preserve">À vérifier</w:t>
            </w:r>
          </w:p>
        </w:tc>
        <w:tc>
          <w:tcPr>
            <w:tcW w:type="dxa" w:w="5500"/>
            <w:shd w:fill="FFF2CC" w:val="clear"/>
            <w:tcMar>
              <w:top w:type="dxa" w:w="60"/>
              <w:left w:type="dxa" w:w="90"/>
              <w:bottom w:type="dxa" w:w="60"/>
              <w:right w:type="dxa" w:w="90"/>
            </w:tcMar>
            <w:vAlign w:val="center"/>
          </w:tcPr>
          <w:p>
            <w:pPr>
              <w:jc w:val="left"/>
            </w:pPr>
            <w:r>
              <w:rPr>
                <w:b w:val="false"/>
                <w:bCs w:val="false"/>
                <w:color w:val="000000"/>
                <w:sz w:val="15"/>
                <w:szCs w:val="15"/>
              </w:rPr>
              <w:t xml:space="preserve">Mesure de test/debug à retirer du modèle final.</w:t>
            </w:r>
          </w:p>
        </w:tc>
      </w:tr>
      <w:tr>
        <w:tc>
          <w:tcPr>
            <w:tcW w:type="dxa" w:w="2400"/>
            <w:shd w:fill="FFF2CC" w:val="clear"/>
            <w:tcMar>
              <w:top w:type="dxa" w:w="60"/>
              <w:left w:type="dxa" w:w="90"/>
              <w:bottom w:type="dxa" w:w="60"/>
              <w:right w:type="dxa" w:w="90"/>
            </w:tcMar>
            <w:vAlign w:val="center"/>
          </w:tcPr>
          <w:p>
            <w:pPr>
              <w:jc w:val="left"/>
            </w:pPr>
            <w:r>
              <w:rPr>
                <w:b w:val="false"/>
                <w:bCs w:val="false"/>
                <w:color w:val="000000"/>
                <w:sz w:val="15"/>
                <w:szCs w:val="15"/>
              </w:rPr>
              <w:t xml:space="preserve">Test Profit 2014</w:t>
            </w:r>
          </w:p>
        </w:tc>
        <w:tc>
          <w:tcPr>
            <w:tcW w:type="dxa" w:w="1500"/>
            <w:shd w:fill="FFF2CC" w:val="clear"/>
            <w:tcMar>
              <w:top w:type="dxa" w:w="60"/>
              <w:left w:type="dxa" w:w="90"/>
              <w:bottom w:type="dxa" w:w="60"/>
              <w:right w:type="dxa" w:w="90"/>
            </w:tcMar>
            <w:vAlign w:val="center"/>
          </w:tcPr>
          <w:p>
            <w:pPr>
              <w:jc w:val="left"/>
            </w:pPr>
            <w:r>
              <w:rPr>
                <w:b w:val="false"/>
                <w:bCs w:val="false"/>
                <w:color w:val="000000"/>
                <w:sz w:val="15"/>
                <w:szCs w:val="15"/>
              </w:rPr>
              <w:t xml:space="preserve">À vérifier</w:t>
            </w:r>
          </w:p>
        </w:tc>
        <w:tc>
          <w:tcPr>
            <w:tcW w:type="dxa" w:w="5500"/>
            <w:shd w:fill="FFF2CC" w:val="clear"/>
            <w:tcMar>
              <w:top w:type="dxa" w:w="60"/>
              <w:left w:type="dxa" w:w="90"/>
              <w:bottom w:type="dxa" w:w="60"/>
              <w:right w:type="dxa" w:w="90"/>
            </w:tcMar>
            <w:vAlign w:val="center"/>
          </w:tcPr>
          <w:p>
            <w:pPr>
              <w:jc w:val="left"/>
            </w:pPr>
            <w:r>
              <w:rPr>
                <w:b w:val="false"/>
                <w:bCs w:val="false"/>
                <w:color w:val="000000"/>
                <w:sz w:val="15"/>
                <w:szCs w:val="15"/>
              </w:rPr>
              <w:t xml:space="preserve">Mesure de test/debug à retirer du modèle final.</w:t>
            </w:r>
          </w:p>
        </w:tc>
      </w:tr>
      <w:tr>
        <w:tc>
          <w:tcPr>
            <w:tcW w:type="dxa" w:w="2400"/>
            <w:shd w:fill="E2EFDA" w:val="clear"/>
            <w:tcMar>
              <w:top w:type="dxa" w:w="60"/>
              <w:left w:type="dxa" w:w="90"/>
              <w:bottom w:type="dxa" w:w="60"/>
              <w:right w:type="dxa" w:w="90"/>
            </w:tcMar>
            <w:vAlign w:val="center"/>
          </w:tcPr>
          <w:p>
            <w:pPr>
              <w:jc w:val="left"/>
            </w:pPr>
            <w:r>
              <w:rPr>
                <w:b w:val="false"/>
                <w:bCs w:val="false"/>
                <w:color w:val="000000"/>
                <w:sz w:val="15"/>
                <w:szCs w:val="15"/>
              </w:rPr>
              <w:t xml:space="preserve">Titre Dynamique</w:t>
            </w:r>
          </w:p>
        </w:tc>
        <w:tc>
          <w:tcPr>
            <w:tcW w:type="dxa" w:w="1500"/>
            <w:shd w:fill="E2EFDA" w:val="clear"/>
            <w:tcMar>
              <w:top w:type="dxa" w:w="60"/>
              <w:left w:type="dxa" w:w="90"/>
              <w:bottom w:type="dxa" w:w="60"/>
              <w:right w:type="dxa" w:w="90"/>
            </w:tcMar>
            <w:vAlign w:val="center"/>
          </w:tcPr>
          <w:p>
            <w:pPr>
              <w:jc w:val="left"/>
            </w:pPr>
            <w:r>
              <w:rPr>
                <w:b w:val="false"/>
                <w:bCs w:val="false"/>
                <w:color w:val="000000"/>
                <w:sz w:val="15"/>
                <w:szCs w:val="15"/>
              </w:rPr>
              <w:t xml:space="preserve">Correct</w:t>
            </w:r>
          </w:p>
        </w:tc>
        <w:tc>
          <w:tcPr>
            <w:tcW w:type="dxa" w:w="5500"/>
            <w:shd w:fill="E2EFDA" w:val="clear"/>
            <w:tcMar>
              <w:top w:type="dxa" w:w="60"/>
              <w:left w:type="dxa" w:w="90"/>
              <w:bottom w:type="dxa" w:w="60"/>
              <w:right w:type="dxa" w:w="90"/>
            </w:tcMar>
            <w:vAlign w:val="center"/>
          </w:tcPr>
          <w:p>
            <w:pPr>
              <w:jc w:val="left"/>
            </w:pPr>
            <w:r>
              <w:rPr>
                <w:b w:val="false"/>
                <w:bCs w:val="false"/>
                <w:color w:val="000000"/>
                <w:sz w:val="15"/>
                <w:szCs w:val="15"/>
              </w:rPr>
              <w:t xml:space="preserve">Concaténation simple ; gagnerait un FORMAT() pour la robustesse d'affichage.</w:t>
            </w:r>
          </w:p>
        </w:tc>
      </w:tr>
      <w:tr>
        <w:tc>
          <w:tcPr>
            <w:tcW w:type="dxa" w:w="2400"/>
            <w:shd w:fill="FFF2CC" w:val="clear"/>
            <w:tcMar>
              <w:top w:type="dxa" w:w="60"/>
              <w:left w:type="dxa" w:w="90"/>
              <w:bottom w:type="dxa" w:w="60"/>
              <w:right w:type="dxa" w:w="90"/>
            </w:tcMar>
            <w:vAlign w:val="center"/>
          </w:tcPr>
          <w:p>
            <w:pPr>
              <w:jc w:val="left"/>
            </w:pPr>
            <w:r>
              <w:rPr>
                <w:b w:val="false"/>
                <w:bCs w:val="false"/>
                <w:color w:val="000000"/>
                <w:sz w:val="15"/>
                <w:szCs w:val="15"/>
              </w:rPr>
              <w:t xml:space="preserve">Titre Dynamique Alerte</w:t>
            </w:r>
          </w:p>
        </w:tc>
        <w:tc>
          <w:tcPr>
            <w:tcW w:type="dxa" w:w="1500"/>
            <w:shd w:fill="FFF2CC" w:val="clear"/>
            <w:tcMar>
              <w:top w:type="dxa" w:w="60"/>
              <w:left w:type="dxa" w:w="90"/>
              <w:bottom w:type="dxa" w:w="60"/>
              <w:right w:type="dxa" w:w="90"/>
            </w:tcMar>
            <w:vAlign w:val="center"/>
          </w:tcPr>
          <w:p>
            <w:pPr>
              <w:jc w:val="left"/>
            </w:pPr>
            <w:r>
              <w:rPr>
                <w:b w:val="false"/>
                <w:bCs w:val="false"/>
                <w:color w:val="000000"/>
                <w:sz w:val="15"/>
                <w:szCs w:val="15"/>
              </w:rPr>
              <w:t xml:space="preserve">À vérifier</w:t>
            </w:r>
          </w:p>
        </w:tc>
        <w:tc>
          <w:tcPr>
            <w:tcW w:type="dxa" w:w="5500"/>
            <w:shd w:fill="FFF2CC" w:val="clear"/>
            <w:tcMar>
              <w:top w:type="dxa" w:w="60"/>
              <w:left w:type="dxa" w:w="90"/>
              <w:bottom w:type="dxa" w:w="60"/>
              <w:right w:type="dxa" w:w="90"/>
            </w:tcMar>
            <w:vAlign w:val="center"/>
          </w:tcPr>
          <w:p>
            <w:pPr>
              <w:jc w:val="left"/>
            </w:pPr>
            <w:r>
              <w:rPr>
                <w:b w:val="false"/>
                <w:bCs w:val="false"/>
                <w:color w:val="000000"/>
                <w:sz w:val="15"/>
                <w:szCs w:val="15"/>
              </w:rPr>
              <w:t xml:space="preserve">UPPER() appliqué à une table TOPN(1,...) — coercition implicite fragile en cas d'égalité — voir 4.2.</w:t>
            </w:r>
          </w:p>
        </w:tc>
      </w:tr>
      <w:tr>
        <w:tc>
          <w:tcPr>
            <w:tcW w:type="dxa" w:w="2400"/>
            <w:shd w:fill="FCE4E4" w:val="clear"/>
            <w:tcMar>
              <w:top w:type="dxa" w:w="60"/>
              <w:left w:type="dxa" w:w="90"/>
              <w:bottom w:type="dxa" w:w="60"/>
              <w:right w:type="dxa" w:w="90"/>
            </w:tcMar>
            <w:vAlign w:val="center"/>
          </w:tcPr>
          <w:p>
            <w:pPr>
              <w:jc w:val="left"/>
            </w:pPr>
            <w:r>
              <w:rPr>
                <w:b w:val="false"/>
                <w:bCs w:val="false"/>
                <w:color w:val="000000"/>
                <w:sz w:val="15"/>
                <w:szCs w:val="15"/>
              </w:rPr>
              <w:t xml:space="preserve">Titre Dynamique Meilleur Segment</w:t>
            </w:r>
          </w:p>
        </w:tc>
        <w:tc>
          <w:tcPr>
            <w:tcW w:type="dxa" w:w="1500"/>
            <w:shd w:fill="FCE4E4" w:val="clear"/>
            <w:tcMar>
              <w:top w:type="dxa" w:w="60"/>
              <w:left w:type="dxa" w:w="90"/>
              <w:bottom w:type="dxa" w:w="60"/>
              <w:right w:type="dxa" w:w="90"/>
            </w:tcMar>
            <w:vAlign w:val="center"/>
          </w:tcPr>
          <w:p>
            <w:pPr>
              <w:jc w:val="left"/>
            </w:pPr>
            <w:r>
              <w:rPr>
                <w:b w:val="false"/>
                <w:bCs w:val="false"/>
                <w:color w:val="000000"/>
                <w:sz w:val="15"/>
                <w:szCs w:val="15"/>
              </w:rPr>
              <w:t xml:space="preserve">Bug confirmé</w:t>
            </w:r>
          </w:p>
        </w:tc>
        <w:tc>
          <w:tcPr>
            <w:tcW w:type="dxa" w:w="5500"/>
            <w:shd w:fill="FCE4E4" w:val="clear"/>
            <w:tcMar>
              <w:top w:type="dxa" w:w="60"/>
              <w:left w:type="dxa" w:w="90"/>
              <w:bottom w:type="dxa" w:w="60"/>
              <w:right w:type="dxa" w:w="90"/>
            </w:tcMar>
            <w:vAlign w:val="center"/>
          </w:tcPr>
          <w:p>
            <w:pPr>
              <w:jc w:val="left"/>
            </w:pPr>
            <w:r>
              <w:rPr>
                <w:b w:val="false"/>
                <w:bCs w:val="false"/>
                <w:color w:val="000000"/>
                <w:sz w:val="15"/>
                <w:szCs w:val="15"/>
              </w:rPr>
              <w:t xml:space="preserve">Format numérique "#,##OM" utilise la lettre O au lieu du chiffre 0 — voir 4.2.</w:t>
            </w:r>
          </w:p>
        </w:tc>
      </w:tr>
      <w:tr>
        <w:tc>
          <w:tcPr>
            <w:tcW w:type="dxa" w:w="2400"/>
            <w:shd w:fill="FCE4E4" w:val="clear"/>
            <w:tcMar>
              <w:top w:type="dxa" w:w="60"/>
              <w:left w:type="dxa" w:w="90"/>
              <w:bottom w:type="dxa" w:w="60"/>
              <w:right w:type="dxa" w:w="90"/>
            </w:tcMar>
            <w:vAlign w:val="center"/>
          </w:tcPr>
          <w:p>
            <w:pPr>
              <w:jc w:val="left"/>
            </w:pPr>
            <w:r>
              <w:rPr>
                <w:b w:val="false"/>
                <w:bCs w:val="false"/>
                <w:color w:val="000000"/>
                <w:sz w:val="15"/>
                <w:szCs w:val="15"/>
              </w:rPr>
              <w:t xml:space="preserve">Titre Graphique</w:t>
            </w:r>
          </w:p>
        </w:tc>
        <w:tc>
          <w:tcPr>
            <w:tcW w:type="dxa" w:w="1500"/>
            <w:shd w:fill="FCE4E4" w:val="clear"/>
            <w:tcMar>
              <w:top w:type="dxa" w:w="60"/>
              <w:left w:type="dxa" w:w="90"/>
              <w:bottom w:type="dxa" w:w="60"/>
              <w:right w:type="dxa" w:w="90"/>
            </w:tcMar>
            <w:vAlign w:val="center"/>
          </w:tcPr>
          <w:p>
            <w:pPr>
              <w:jc w:val="left"/>
            </w:pPr>
            <w:r>
              <w:rPr>
                <w:b w:val="false"/>
                <w:bCs w:val="false"/>
                <w:color w:val="000000"/>
                <w:sz w:val="15"/>
                <w:szCs w:val="15"/>
              </w:rPr>
              <w:t xml:space="preserve">Bug confirmé</w:t>
            </w:r>
          </w:p>
        </w:tc>
        <w:tc>
          <w:tcPr>
            <w:tcW w:type="dxa" w:w="5500"/>
            <w:shd w:fill="FCE4E4" w:val="clear"/>
            <w:tcMar>
              <w:top w:type="dxa" w:w="60"/>
              <w:left w:type="dxa" w:w="90"/>
              <w:bottom w:type="dxa" w:w="60"/>
              <w:right w:type="dxa" w:w="90"/>
            </w:tcMar>
            <w:vAlign w:val="center"/>
          </w:tcPr>
          <w:p>
            <w:pPr>
              <w:jc w:val="left"/>
            </w:pPr>
            <w:r>
              <w:rPr>
                <w:b w:val="false"/>
                <w:bCs w:val="false"/>
                <w:color w:val="000000"/>
                <w:sz w:val="15"/>
                <w:szCs w:val="15"/>
              </w:rPr>
              <w:t xml:space="preserve">Texte figé avec pourcentages codés en dur (+253 %, +18 %) — voir 4.2.</w:t>
            </w:r>
          </w:p>
        </w:tc>
      </w:tr>
      <w:tr>
        <w:tc>
          <w:tcPr>
            <w:tcW w:type="dxa" w:w="2400"/>
            <w:shd w:fill="E2EFDA" w:val="clear"/>
            <w:tcMar>
              <w:top w:type="dxa" w:w="60"/>
              <w:left w:type="dxa" w:w="90"/>
              <w:bottom w:type="dxa" w:w="60"/>
              <w:right w:type="dxa" w:w="90"/>
            </w:tcMar>
            <w:vAlign w:val="center"/>
          </w:tcPr>
          <w:p>
            <w:pPr>
              <w:jc w:val="left"/>
            </w:pPr>
            <w:r>
              <w:rPr>
                <w:b w:val="false"/>
                <w:bCs w:val="false"/>
                <w:color w:val="000000"/>
                <w:sz w:val="15"/>
                <w:szCs w:val="15"/>
              </w:rPr>
              <w:t xml:space="preserve">Total COGS</w:t>
            </w:r>
          </w:p>
        </w:tc>
        <w:tc>
          <w:tcPr>
            <w:tcW w:type="dxa" w:w="1500"/>
            <w:shd w:fill="E2EFDA" w:val="clear"/>
            <w:tcMar>
              <w:top w:type="dxa" w:w="60"/>
              <w:left w:type="dxa" w:w="90"/>
              <w:bottom w:type="dxa" w:w="60"/>
              <w:right w:type="dxa" w:w="90"/>
            </w:tcMar>
            <w:vAlign w:val="center"/>
          </w:tcPr>
          <w:p>
            <w:pPr>
              <w:jc w:val="left"/>
            </w:pPr>
            <w:r>
              <w:rPr>
                <w:b w:val="false"/>
                <w:bCs w:val="false"/>
                <w:color w:val="000000"/>
                <w:sz w:val="15"/>
                <w:szCs w:val="15"/>
              </w:rPr>
              <w:t xml:space="preserve">Correct</w:t>
            </w:r>
          </w:p>
        </w:tc>
        <w:tc>
          <w:tcPr>
            <w:tcW w:type="dxa" w:w="5500"/>
            <w:shd w:fill="E2EFDA" w:val="clear"/>
            <w:tcMar>
              <w:top w:type="dxa" w:w="60"/>
              <w:left w:type="dxa" w:w="90"/>
              <w:bottom w:type="dxa" w:w="60"/>
              <w:right w:type="dxa" w:w="90"/>
            </w:tcMar>
            <w:vAlign w:val="center"/>
          </w:tcPr>
          <w:p>
            <w:pPr>
              <w:jc w:val="left"/>
            </w:pPr>
            <w:r>
              <w:rPr>
                <w:b w:val="false"/>
                <w:bCs w:val="false"/>
                <w:color w:val="000000"/>
                <w:sz w:val="15"/>
                <w:szCs w:val="15"/>
              </w:rPr>
              <w:t xml:space="preserve">SUM simple, correct.</w:t>
            </w:r>
          </w:p>
        </w:tc>
      </w:tr>
      <w:tr>
        <w:tc>
          <w:tcPr>
            <w:tcW w:type="dxa" w:w="2400"/>
            <w:shd w:fill="E2EFDA" w:val="clear"/>
            <w:tcMar>
              <w:top w:type="dxa" w:w="60"/>
              <w:left w:type="dxa" w:w="90"/>
              <w:bottom w:type="dxa" w:w="60"/>
              <w:right w:type="dxa" w:w="90"/>
            </w:tcMar>
            <w:vAlign w:val="center"/>
          </w:tcPr>
          <w:p>
            <w:pPr>
              <w:jc w:val="left"/>
            </w:pPr>
            <w:r>
              <w:rPr>
                <w:b w:val="false"/>
                <w:bCs w:val="false"/>
                <w:color w:val="000000"/>
                <w:sz w:val="15"/>
                <w:szCs w:val="15"/>
              </w:rPr>
              <w:t xml:space="preserve">Total d articles vendus</w:t>
            </w:r>
          </w:p>
        </w:tc>
        <w:tc>
          <w:tcPr>
            <w:tcW w:type="dxa" w:w="1500"/>
            <w:shd w:fill="E2EFDA" w:val="clear"/>
            <w:tcMar>
              <w:top w:type="dxa" w:w="60"/>
              <w:left w:type="dxa" w:w="90"/>
              <w:bottom w:type="dxa" w:w="60"/>
              <w:right w:type="dxa" w:w="90"/>
            </w:tcMar>
            <w:vAlign w:val="center"/>
          </w:tcPr>
          <w:p>
            <w:pPr>
              <w:jc w:val="left"/>
            </w:pPr>
            <w:r>
              <w:rPr>
                <w:b w:val="false"/>
                <w:bCs w:val="false"/>
                <w:color w:val="000000"/>
                <w:sz w:val="15"/>
                <w:szCs w:val="15"/>
              </w:rPr>
              <w:t xml:space="preserve">Correct</w:t>
            </w:r>
          </w:p>
        </w:tc>
        <w:tc>
          <w:tcPr>
            <w:tcW w:type="dxa" w:w="5500"/>
            <w:shd w:fill="E2EFDA" w:val="clear"/>
            <w:tcMar>
              <w:top w:type="dxa" w:w="60"/>
              <w:left w:type="dxa" w:w="90"/>
              <w:bottom w:type="dxa" w:w="60"/>
              <w:right w:type="dxa" w:w="90"/>
            </w:tcMar>
            <w:vAlign w:val="center"/>
          </w:tcPr>
          <w:p>
            <w:pPr>
              <w:jc w:val="left"/>
            </w:pPr>
            <w:r>
              <w:rPr>
                <w:b w:val="false"/>
                <w:bCs w:val="false"/>
                <w:color w:val="000000"/>
                <w:sz w:val="15"/>
                <w:szCs w:val="15"/>
              </w:rPr>
              <w:t xml:space="preserve">SUM simple, correct.</w:t>
            </w:r>
          </w:p>
        </w:tc>
      </w:tr>
      <w:tr>
        <w:tc>
          <w:tcPr>
            <w:tcW w:type="dxa" w:w="2400"/>
            <w:shd w:fill="FCE4E4" w:val="clear"/>
            <w:tcMar>
              <w:top w:type="dxa" w:w="60"/>
              <w:left w:type="dxa" w:w="90"/>
              <w:bottom w:type="dxa" w:w="60"/>
              <w:right w:type="dxa" w:w="90"/>
            </w:tcMar>
            <w:vAlign w:val="center"/>
          </w:tcPr>
          <w:p>
            <w:pPr>
              <w:jc w:val="left"/>
            </w:pPr>
            <w:r>
              <w:rPr>
                <w:b w:val="false"/>
                <w:bCs w:val="false"/>
                <w:color w:val="000000"/>
                <w:sz w:val="15"/>
                <w:szCs w:val="15"/>
              </w:rPr>
              <w:t xml:space="preserve">Total de  Vente</w:t>
            </w:r>
          </w:p>
        </w:tc>
        <w:tc>
          <w:tcPr>
            <w:tcW w:type="dxa" w:w="1500"/>
            <w:shd w:fill="FCE4E4" w:val="clear"/>
            <w:tcMar>
              <w:top w:type="dxa" w:w="60"/>
              <w:left w:type="dxa" w:w="90"/>
              <w:bottom w:type="dxa" w:w="60"/>
              <w:right w:type="dxa" w:w="90"/>
            </w:tcMar>
            <w:vAlign w:val="center"/>
          </w:tcPr>
          <w:p>
            <w:pPr>
              <w:jc w:val="left"/>
            </w:pPr>
            <w:r>
              <w:rPr>
                <w:b w:val="false"/>
                <w:bCs w:val="false"/>
                <w:color w:val="000000"/>
                <w:sz w:val="15"/>
                <w:szCs w:val="15"/>
              </w:rPr>
              <w:t xml:space="preserve">Bug confirmé</w:t>
            </w:r>
          </w:p>
        </w:tc>
        <w:tc>
          <w:tcPr>
            <w:tcW w:type="dxa" w:w="5500"/>
            <w:shd w:fill="FCE4E4" w:val="clear"/>
            <w:tcMar>
              <w:top w:type="dxa" w:w="60"/>
              <w:left w:type="dxa" w:w="90"/>
              <w:bottom w:type="dxa" w:w="60"/>
              <w:right w:type="dxa" w:w="90"/>
            </w:tcMar>
            <w:vAlign w:val="center"/>
          </w:tcPr>
          <w:p>
            <w:pPr>
              <w:jc w:val="left"/>
            </w:pPr>
            <w:r>
              <w:rPr>
                <w:b w:val="false"/>
                <w:bCs w:val="false"/>
                <w:color w:val="000000"/>
                <w:sz w:val="15"/>
                <w:szCs w:val="15"/>
              </w:rPr>
              <w:t xml:space="preserve">ALL(financials[Année]) neutralise tout filtre direct sur la colonne Année — voir 4.1 (2e bug le plus critique).</w:t>
            </w:r>
          </w:p>
        </w:tc>
      </w:tr>
      <w:tr>
        <w:tc>
          <w:tcPr>
            <w:tcW w:type="dxa" w:w="2400"/>
            <w:shd w:fill="FFF2CC" w:val="clear"/>
            <w:tcMar>
              <w:top w:type="dxa" w:w="60"/>
              <w:left w:type="dxa" w:w="90"/>
              <w:bottom w:type="dxa" w:w="60"/>
              <w:right w:type="dxa" w:w="90"/>
            </w:tcMar>
            <w:vAlign w:val="center"/>
          </w:tcPr>
          <w:p>
            <w:pPr>
              <w:jc w:val="left"/>
            </w:pPr>
            <w:r>
              <w:rPr>
                <w:b w:val="false"/>
                <w:bCs w:val="false"/>
                <w:color w:val="000000"/>
                <w:sz w:val="15"/>
                <w:szCs w:val="15"/>
              </w:rPr>
              <w:t xml:space="preserve">Total pri usine +5%</w:t>
            </w:r>
          </w:p>
        </w:tc>
        <w:tc>
          <w:tcPr>
            <w:tcW w:type="dxa" w:w="1500"/>
            <w:shd w:fill="FFF2CC" w:val="clear"/>
            <w:tcMar>
              <w:top w:type="dxa" w:w="60"/>
              <w:left w:type="dxa" w:w="90"/>
              <w:bottom w:type="dxa" w:w="60"/>
              <w:right w:type="dxa" w:w="90"/>
            </w:tcMar>
            <w:vAlign w:val="center"/>
          </w:tcPr>
          <w:p>
            <w:pPr>
              <w:jc w:val="left"/>
            </w:pPr>
            <w:r>
              <w:rPr>
                <w:b w:val="false"/>
                <w:bCs w:val="false"/>
                <w:color w:val="000000"/>
                <w:sz w:val="15"/>
                <w:szCs w:val="15"/>
              </w:rPr>
              <w:t xml:space="preserve">À vérifier</w:t>
            </w:r>
          </w:p>
        </w:tc>
        <w:tc>
          <w:tcPr>
            <w:tcW w:type="dxa" w:w="5500"/>
            <w:shd w:fill="FFF2CC" w:val="clear"/>
            <w:tcMar>
              <w:top w:type="dxa" w:w="60"/>
              <w:left w:type="dxa" w:w="90"/>
              <w:bottom w:type="dxa" w:w="60"/>
              <w:right w:type="dxa" w:w="90"/>
            </w:tcMar>
            <w:vAlign w:val="center"/>
          </w:tcPr>
          <w:p>
            <w:pPr>
              <w:jc w:val="left"/>
            </w:pPr>
            <w:r>
              <w:rPr>
                <w:b w:val="false"/>
                <w:bCs w:val="false"/>
                <w:color w:val="000000"/>
                <w:sz w:val="15"/>
                <w:szCs w:val="15"/>
              </w:rPr>
              <w:t xml:space="preserve">Faute de frappe dans le nom ("pri") ; doublonne la colonne Power Query "Prix usine de 5% de +".</w:t>
            </w:r>
          </w:p>
        </w:tc>
      </w:tr>
      <w:tr>
        <w:tc>
          <w:tcPr>
            <w:tcW w:type="dxa" w:w="2400"/>
            <w:shd w:fill="E2EFDA" w:val="clear"/>
            <w:tcMar>
              <w:top w:type="dxa" w:w="60"/>
              <w:left w:type="dxa" w:w="90"/>
              <w:bottom w:type="dxa" w:w="60"/>
              <w:right w:type="dxa" w:w="90"/>
            </w:tcMar>
            <w:vAlign w:val="center"/>
          </w:tcPr>
          <w:p>
            <w:pPr>
              <w:jc w:val="left"/>
            </w:pPr>
            <w:r>
              <w:rPr>
                <w:b w:val="false"/>
                <w:bCs w:val="false"/>
                <w:color w:val="000000"/>
                <w:sz w:val="15"/>
                <w:szCs w:val="15"/>
              </w:rPr>
              <w:t xml:space="preserve">total remise</w:t>
            </w:r>
          </w:p>
        </w:tc>
        <w:tc>
          <w:tcPr>
            <w:tcW w:type="dxa" w:w="1500"/>
            <w:shd w:fill="E2EFDA" w:val="clear"/>
            <w:tcMar>
              <w:top w:type="dxa" w:w="60"/>
              <w:left w:type="dxa" w:w="90"/>
              <w:bottom w:type="dxa" w:w="60"/>
              <w:right w:type="dxa" w:w="90"/>
            </w:tcMar>
            <w:vAlign w:val="center"/>
          </w:tcPr>
          <w:p>
            <w:pPr>
              <w:jc w:val="left"/>
            </w:pPr>
            <w:r>
              <w:rPr>
                <w:b w:val="false"/>
                <w:bCs w:val="false"/>
                <w:color w:val="000000"/>
                <w:sz w:val="15"/>
                <w:szCs w:val="15"/>
              </w:rPr>
              <w:t xml:space="preserve">Correct</w:t>
            </w:r>
          </w:p>
        </w:tc>
        <w:tc>
          <w:tcPr>
            <w:tcW w:type="dxa" w:w="5500"/>
            <w:shd w:fill="E2EFDA" w:val="clear"/>
            <w:tcMar>
              <w:top w:type="dxa" w:w="60"/>
              <w:left w:type="dxa" w:w="90"/>
              <w:bottom w:type="dxa" w:w="60"/>
              <w:right w:type="dxa" w:w="90"/>
            </w:tcMar>
            <w:vAlign w:val="center"/>
          </w:tcPr>
          <w:p>
            <w:pPr>
              <w:jc w:val="left"/>
            </w:pPr>
            <w:r>
              <w:rPr>
                <w:b w:val="false"/>
                <w:bCs w:val="false"/>
                <w:color w:val="000000"/>
                <w:sz w:val="15"/>
                <w:szCs w:val="15"/>
              </w:rPr>
              <w:t xml:space="preserve">SUM simple, correct (nom à harmoniser en majuscule par cohérence).</w:t>
            </w:r>
          </w:p>
        </w:tc>
      </w:tr>
      <w:tr>
        <w:tc>
          <w:tcPr>
            <w:tcW w:type="dxa" w:w="2400"/>
            <w:shd w:fill="E2EFDA" w:val="clear"/>
            <w:tcMar>
              <w:top w:type="dxa" w:w="60"/>
              <w:left w:type="dxa" w:w="90"/>
              <w:bottom w:type="dxa" w:w="60"/>
              <w:right w:type="dxa" w:w="90"/>
            </w:tcMar>
            <w:vAlign w:val="center"/>
          </w:tcPr>
          <w:p>
            <w:pPr>
              <w:jc w:val="left"/>
            </w:pPr>
            <w:r>
              <w:rPr>
                <w:b w:val="false"/>
                <w:bCs w:val="false"/>
                <w:color w:val="000000"/>
                <w:sz w:val="15"/>
                <w:szCs w:val="15"/>
              </w:rPr>
              <w:t xml:space="preserve">Total Vente 2013</w:t>
            </w:r>
          </w:p>
        </w:tc>
        <w:tc>
          <w:tcPr>
            <w:tcW w:type="dxa" w:w="1500"/>
            <w:shd w:fill="E2EFDA" w:val="clear"/>
            <w:tcMar>
              <w:top w:type="dxa" w:w="60"/>
              <w:left w:type="dxa" w:w="90"/>
              <w:bottom w:type="dxa" w:w="60"/>
              <w:right w:type="dxa" w:w="90"/>
            </w:tcMar>
            <w:vAlign w:val="center"/>
          </w:tcPr>
          <w:p>
            <w:pPr>
              <w:jc w:val="left"/>
            </w:pPr>
            <w:r>
              <w:rPr>
                <w:b w:val="false"/>
                <w:bCs w:val="false"/>
                <w:color w:val="000000"/>
                <w:sz w:val="15"/>
                <w:szCs w:val="15"/>
              </w:rPr>
              <w:t xml:space="preserve">Correct</w:t>
            </w:r>
          </w:p>
        </w:tc>
        <w:tc>
          <w:tcPr>
            <w:tcW w:type="dxa" w:w="5500"/>
            <w:shd w:fill="E2EFDA" w:val="clear"/>
            <w:tcMar>
              <w:top w:type="dxa" w:w="60"/>
              <w:left w:type="dxa" w:w="90"/>
              <w:bottom w:type="dxa" w:w="60"/>
              <w:right w:type="dxa" w:w="90"/>
            </w:tcMar>
            <w:vAlign w:val="center"/>
          </w:tcPr>
          <w:p>
            <w:pPr>
              <w:jc w:val="left"/>
            </w:pPr>
            <w:r>
              <w:rPr>
                <w:b w:val="false"/>
                <w:bCs w:val="false"/>
                <w:color w:val="000000"/>
                <w:sz w:val="15"/>
                <w:szCs w:val="15"/>
              </w:rPr>
              <w:t xml:space="preserve">Filtre Date correct, non affecté par le bug de Total de Vente (voir 4.1).</w:t>
            </w:r>
          </w:p>
        </w:tc>
      </w:tr>
      <w:tr>
        <w:tc>
          <w:tcPr>
            <w:tcW w:type="dxa" w:w="2400"/>
            <w:shd w:fill="FFF2CC" w:val="clear"/>
            <w:tcMar>
              <w:top w:type="dxa" w:w="60"/>
              <w:left w:type="dxa" w:w="90"/>
              <w:bottom w:type="dxa" w:w="60"/>
              <w:right w:type="dxa" w:w="90"/>
            </w:tcMar>
            <w:vAlign w:val="center"/>
          </w:tcPr>
          <w:p>
            <w:pPr>
              <w:jc w:val="left"/>
            </w:pPr>
            <w:r>
              <w:rPr>
                <w:b w:val="false"/>
                <w:bCs w:val="false"/>
                <w:color w:val="000000"/>
                <w:sz w:val="15"/>
                <w:szCs w:val="15"/>
              </w:rPr>
              <w:t xml:space="preserve">Unite vendue par groupe de remise</w:t>
            </w:r>
          </w:p>
        </w:tc>
        <w:tc>
          <w:tcPr>
            <w:tcW w:type="dxa" w:w="1500"/>
            <w:shd w:fill="FFF2CC" w:val="clear"/>
            <w:tcMar>
              <w:top w:type="dxa" w:w="60"/>
              <w:left w:type="dxa" w:w="90"/>
              <w:bottom w:type="dxa" w:w="60"/>
              <w:right w:type="dxa" w:w="90"/>
            </w:tcMar>
            <w:vAlign w:val="center"/>
          </w:tcPr>
          <w:p>
            <w:pPr>
              <w:jc w:val="left"/>
            </w:pPr>
            <w:r>
              <w:rPr>
                <w:b w:val="false"/>
                <w:bCs w:val="false"/>
                <w:color w:val="000000"/>
                <w:sz w:val="15"/>
                <w:szCs w:val="15"/>
              </w:rPr>
              <w:t xml:space="preserve">À vérifier</w:t>
            </w:r>
          </w:p>
        </w:tc>
        <w:tc>
          <w:tcPr>
            <w:tcW w:type="dxa" w:w="5500"/>
            <w:shd w:fill="FFF2CC" w:val="clear"/>
            <w:tcMar>
              <w:top w:type="dxa" w:w="60"/>
              <w:left w:type="dxa" w:w="90"/>
              <w:bottom w:type="dxa" w:w="60"/>
              <w:right w:type="dxa" w:w="90"/>
            </w:tcMar>
            <w:vAlign w:val="center"/>
          </w:tcPr>
          <w:p>
            <w:pPr>
              <w:jc w:val="left"/>
            </w:pPr>
            <w:r>
              <w:rPr>
                <w:b w:val="false"/>
                <w:bCs w:val="false"/>
                <w:color w:val="000000"/>
                <w:sz w:val="15"/>
                <w:szCs w:val="15"/>
              </w:rPr>
              <w:t xml:space="preserve">Formule identique à Total d articles vendus ; le nom suggère un regroupement par Groupe de réduction non reflété dans la formule.</w:t>
            </w:r>
          </w:p>
        </w:tc>
      </w:tr>
      <w:tr>
        <w:tc>
          <w:tcPr>
            <w:tcW w:type="dxa" w:w="2400"/>
            <w:shd w:fill="FCE4E4" w:val="clear"/>
            <w:tcMar>
              <w:top w:type="dxa" w:w="60"/>
              <w:left w:type="dxa" w:w="90"/>
              <w:bottom w:type="dxa" w:w="60"/>
              <w:right w:type="dxa" w:w="90"/>
            </w:tcMar>
            <w:vAlign w:val="center"/>
          </w:tcPr>
          <w:p>
            <w:pPr>
              <w:jc w:val="left"/>
            </w:pPr>
            <w:r>
              <w:rPr>
                <w:b w:val="false"/>
                <w:bCs w:val="false"/>
                <w:color w:val="000000"/>
                <w:sz w:val="15"/>
                <w:szCs w:val="15"/>
              </w:rPr>
              <w:t xml:space="preserve">Valeur % Augmentation Couts</w:t>
            </w:r>
          </w:p>
        </w:tc>
        <w:tc>
          <w:tcPr>
            <w:tcW w:type="dxa" w:w="1500"/>
            <w:shd w:fill="FCE4E4" w:val="clear"/>
            <w:tcMar>
              <w:top w:type="dxa" w:w="60"/>
              <w:left w:type="dxa" w:w="90"/>
              <w:bottom w:type="dxa" w:w="60"/>
              <w:right w:type="dxa" w:w="90"/>
            </w:tcMar>
            <w:vAlign w:val="center"/>
          </w:tcPr>
          <w:p>
            <w:pPr>
              <w:jc w:val="left"/>
            </w:pPr>
            <w:r>
              <w:rPr>
                <w:b w:val="false"/>
                <w:bCs w:val="false"/>
                <w:color w:val="000000"/>
                <w:sz w:val="15"/>
                <w:szCs w:val="15"/>
              </w:rPr>
              <w:t xml:space="preserve">Bug confirmé</w:t>
            </w:r>
          </w:p>
        </w:tc>
        <w:tc>
          <w:tcPr>
            <w:tcW w:type="dxa" w:w="5500"/>
            <w:shd w:fill="FCE4E4" w:val="clear"/>
            <w:tcMar>
              <w:top w:type="dxa" w:w="60"/>
              <w:left w:type="dxa" w:w="90"/>
              <w:bottom w:type="dxa" w:w="60"/>
              <w:right w:type="dxa" w:w="90"/>
            </w:tcMar>
            <w:vAlign w:val="center"/>
          </w:tcPr>
          <w:p>
            <w:pPr>
              <w:jc w:val="left"/>
            </w:pPr>
            <w:r>
              <w:rPr>
                <w:b w:val="false"/>
                <w:bCs w:val="false"/>
                <w:color w:val="000000"/>
                <w:sz w:val="15"/>
                <w:szCs w:val="15"/>
              </w:rPr>
              <w:t xml:space="preserve">Valeur de repli "0.05" passée en texte au lieu d'un nombre — voir 4.2.</w:t>
            </w:r>
          </w:p>
        </w:tc>
      </w:tr>
      <w:tr>
        <w:tc>
          <w:tcPr>
            <w:tcW w:type="dxa" w:w="2400"/>
            <w:shd w:fill="E2EFDA" w:val="clear"/>
            <w:tcMar>
              <w:top w:type="dxa" w:w="60"/>
              <w:left w:type="dxa" w:w="90"/>
              <w:bottom w:type="dxa" w:w="60"/>
              <w:right w:type="dxa" w:w="90"/>
            </w:tcMar>
            <w:vAlign w:val="center"/>
          </w:tcPr>
          <w:p>
            <w:pPr>
              <w:jc w:val="left"/>
            </w:pPr>
            <w:r>
              <w:rPr>
                <w:b w:val="false"/>
                <w:bCs w:val="false"/>
                <w:color w:val="000000"/>
                <w:sz w:val="15"/>
                <w:szCs w:val="15"/>
              </w:rPr>
              <w:t xml:space="preserve">Valeur CA Top 3</w:t>
            </w:r>
          </w:p>
        </w:tc>
        <w:tc>
          <w:tcPr>
            <w:tcW w:type="dxa" w:w="1500"/>
            <w:shd w:fill="E2EFDA" w:val="clear"/>
            <w:tcMar>
              <w:top w:type="dxa" w:w="60"/>
              <w:left w:type="dxa" w:w="90"/>
              <w:bottom w:type="dxa" w:w="60"/>
              <w:right w:type="dxa" w:w="90"/>
            </w:tcMar>
            <w:vAlign w:val="center"/>
          </w:tcPr>
          <w:p>
            <w:pPr>
              <w:jc w:val="left"/>
            </w:pPr>
            <w:r>
              <w:rPr>
                <w:b w:val="false"/>
                <w:bCs w:val="false"/>
                <w:color w:val="000000"/>
                <w:sz w:val="15"/>
                <w:szCs w:val="15"/>
              </w:rPr>
              <w:t xml:space="preserve">Correct</w:t>
            </w:r>
          </w:p>
        </w:tc>
        <w:tc>
          <w:tcPr>
            <w:tcW w:type="dxa" w:w="5500"/>
            <w:shd w:fill="E2EFDA" w:val="clear"/>
            <w:tcMar>
              <w:top w:type="dxa" w:w="60"/>
              <w:left w:type="dxa" w:w="90"/>
              <w:bottom w:type="dxa" w:w="60"/>
              <w:right w:type="dxa" w:w="90"/>
            </w:tcMar>
            <w:vAlign w:val="center"/>
          </w:tcPr>
          <w:p>
            <w:pPr>
              <w:jc w:val="left"/>
            </w:pPr>
            <w:r>
              <w:rPr>
                <w:b w:val="false"/>
                <w:bCs w:val="false"/>
                <w:color w:val="000000"/>
                <w:sz w:val="15"/>
                <w:szCs w:val="15"/>
              </w:rPr>
              <w:t xml:space="preserve">SUMX sur TOPN, pattern correct.</w:t>
            </w:r>
          </w:p>
        </w:tc>
      </w:tr>
      <w:tr>
        <w:tc>
          <w:tcPr>
            <w:tcW w:type="dxa" w:w="2400"/>
            <w:shd w:fill="E2EFDA" w:val="clear"/>
            <w:tcMar>
              <w:top w:type="dxa" w:w="60"/>
              <w:left w:type="dxa" w:w="90"/>
              <w:bottom w:type="dxa" w:w="60"/>
              <w:right w:type="dxa" w:w="90"/>
            </w:tcMar>
            <w:vAlign w:val="center"/>
          </w:tcPr>
          <w:p>
            <w:pPr>
              <w:jc w:val="left"/>
            </w:pPr>
            <w:r>
              <w:rPr>
                <w:b w:val="false"/>
                <w:bCs w:val="false"/>
                <w:color w:val="000000"/>
                <w:sz w:val="15"/>
                <w:szCs w:val="15"/>
              </w:rPr>
              <w:t xml:space="preserve">Valeur CA Top 3 Produits</w:t>
            </w:r>
          </w:p>
        </w:tc>
        <w:tc>
          <w:tcPr>
            <w:tcW w:type="dxa" w:w="1500"/>
            <w:shd w:fill="E2EFDA" w:val="clear"/>
            <w:tcMar>
              <w:top w:type="dxa" w:w="60"/>
              <w:left w:type="dxa" w:w="90"/>
              <w:bottom w:type="dxa" w:w="60"/>
              <w:right w:type="dxa" w:w="90"/>
            </w:tcMar>
            <w:vAlign w:val="center"/>
          </w:tcPr>
          <w:p>
            <w:pPr>
              <w:jc w:val="left"/>
            </w:pPr>
            <w:r>
              <w:rPr>
                <w:b w:val="false"/>
                <w:bCs w:val="false"/>
                <w:color w:val="000000"/>
                <w:sz w:val="15"/>
                <w:szCs w:val="15"/>
              </w:rPr>
              <w:t xml:space="preserve">Correct</w:t>
            </w:r>
          </w:p>
        </w:tc>
        <w:tc>
          <w:tcPr>
            <w:tcW w:type="dxa" w:w="5500"/>
            <w:shd w:fill="E2EFDA" w:val="clear"/>
            <w:tcMar>
              <w:top w:type="dxa" w:w="60"/>
              <w:left w:type="dxa" w:w="90"/>
              <w:bottom w:type="dxa" w:w="60"/>
              <w:right w:type="dxa" w:w="90"/>
            </w:tcMar>
            <w:vAlign w:val="center"/>
          </w:tcPr>
          <w:p>
            <w:pPr>
              <w:jc w:val="left"/>
            </w:pPr>
            <w:r>
              <w:rPr>
                <w:b w:val="false"/>
                <w:bCs w:val="false"/>
                <w:color w:val="000000"/>
                <w:sz w:val="15"/>
                <w:szCs w:val="15"/>
              </w:rPr>
              <w:t xml:space="preserve">Idem, correct.</w:t>
            </w:r>
          </w:p>
        </w:tc>
      </w:tr>
      <w:tr>
        <w:tc>
          <w:tcPr>
            <w:tcW w:type="dxa" w:w="2400"/>
            <w:shd w:fill="FFF2CC" w:val="clear"/>
            <w:tcMar>
              <w:top w:type="dxa" w:w="60"/>
              <w:left w:type="dxa" w:w="90"/>
              <w:bottom w:type="dxa" w:w="60"/>
              <w:right w:type="dxa" w:w="90"/>
            </w:tcMar>
            <w:vAlign w:val="center"/>
          </w:tcPr>
          <w:p>
            <w:pPr>
              <w:jc w:val="left"/>
            </w:pPr>
            <w:r>
              <w:rPr>
                <w:b w:val="false"/>
                <w:bCs w:val="false"/>
                <w:color w:val="000000"/>
                <w:sz w:val="15"/>
                <w:szCs w:val="15"/>
              </w:rPr>
              <w:t xml:space="preserve">Variation FCF</w:t>
            </w:r>
          </w:p>
        </w:tc>
        <w:tc>
          <w:tcPr>
            <w:tcW w:type="dxa" w:w="1500"/>
            <w:shd w:fill="FFF2CC" w:val="clear"/>
            <w:tcMar>
              <w:top w:type="dxa" w:w="60"/>
              <w:left w:type="dxa" w:w="90"/>
              <w:bottom w:type="dxa" w:w="60"/>
              <w:right w:type="dxa" w:w="90"/>
            </w:tcMar>
            <w:vAlign w:val="center"/>
          </w:tcPr>
          <w:p>
            <w:pPr>
              <w:jc w:val="left"/>
            </w:pPr>
            <w:r>
              <w:rPr>
                <w:b w:val="false"/>
                <w:bCs w:val="false"/>
                <w:color w:val="000000"/>
                <w:sz w:val="15"/>
                <w:szCs w:val="15"/>
              </w:rPr>
              <w:t xml:space="preserve">À vérifier</w:t>
            </w:r>
          </w:p>
        </w:tc>
        <w:tc>
          <w:tcPr>
            <w:tcW w:type="dxa" w:w="5500"/>
            <w:shd w:fill="FFF2CC" w:val="clear"/>
            <w:tcMar>
              <w:top w:type="dxa" w:w="60"/>
              <w:left w:type="dxa" w:w="90"/>
              <w:bottom w:type="dxa" w:w="60"/>
              <w:right w:type="dxa" w:w="90"/>
            </w:tcMar>
            <w:vAlign w:val="center"/>
          </w:tcPr>
          <w:p>
            <w:pPr>
              <w:jc w:val="left"/>
            </w:pPr>
            <w:r>
              <w:rPr>
                <w:b w:val="false"/>
                <w:bCs w:val="false"/>
                <w:color w:val="000000"/>
                <w:sz w:val="15"/>
                <w:szCs w:val="15"/>
              </w:rPr>
              <w:t xml:space="preserve">Taux d'impôt 25 % codé en dur en doublon avec Free Cash Flow Estime.</w:t>
            </w:r>
          </w:p>
        </w:tc>
      </w:tr>
      <w:tr>
        <w:tc>
          <w:tcPr>
            <w:tcW w:type="dxa" w:w="2400"/>
            <w:shd w:fill="FCE4E4" w:val="clear"/>
            <w:tcMar>
              <w:top w:type="dxa" w:w="60"/>
              <w:left w:type="dxa" w:w="90"/>
              <w:bottom w:type="dxa" w:w="60"/>
              <w:right w:type="dxa" w:w="90"/>
            </w:tcMar>
            <w:vAlign w:val="center"/>
          </w:tcPr>
          <w:p>
            <w:pPr>
              <w:jc w:val="left"/>
            </w:pPr>
            <w:r>
              <w:rPr>
                <w:b w:val="false"/>
                <w:bCs w:val="false"/>
                <w:color w:val="000000"/>
                <w:sz w:val="15"/>
                <w:szCs w:val="15"/>
              </w:rPr>
              <w:t xml:space="preserve">Ventes Cumulees</w:t>
            </w:r>
          </w:p>
        </w:tc>
        <w:tc>
          <w:tcPr>
            <w:tcW w:type="dxa" w:w="1500"/>
            <w:shd w:fill="FCE4E4" w:val="clear"/>
            <w:tcMar>
              <w:top w:type="dxa" w:w="60"/>
              <w:left w:type="dxa" w:w="90"/>
              <w:bottom w:type="dxa" w:w="60"/>
              <w:right w:type="dxa" w:w="90"/>
            </w:tcMar>
            <w:vAlign w:val="center"/>
          </w:tcPr>
          <w:p>
            <w:pPr>
              <w:jc w:val="left"/>
            </w:pPr>
            <w:r>
              <w:rPr>
                <w:b w:val="false"/>
                <w:bCs w:val="false"/>
                <w:color w:val="000000"/>
                <w:sz w:val="15"/>
                <w:szCs w:val="15"/>
              </w:rPr>
              <w:t xml:space="preserve">Bug confirmé</w:t>
            </w:r>
          </w:p>
        </w:tc>
        <w:tc>
          <w:tcPr>
            <w:tcW w:type="dxa" w:w="5500"/>
            <w:shd w:fill="FCE4E4" w:val="clear"/>
            <w:tcMar>
              <w:top w:type="dxa" w:w="60"/>
              <w:left w:type="dxa" w:w="90"/>
              <w:bottom w:type="dxa" w:w="60"/>
              <w:right w:type="dxa" w:w="90"/>
            </w:tcMar>
            <w:vAlign w:val="center"/>
          </w:tcPr>
          <w:p>
            <w:pPr>
              <w:jc w:val="left"/>
            </w:pPr>
            <w:r>
              <w:rPr>
                <w:b w:val="false"/>
                <w:bCs w:val="false"/>
                <w:color w:val="000000"/>
                <w:sz w:val="15"/>
                <w:szCs w:val="15"/>
              </w:rPr>
              <w:t xml:space="preserve">TOTALYTD sur financials[Date] plutôt que sur la table Calendrier dédiée — voir 4.2.</w:t>
            </w:r>
          </w:p>
        </w:tc>
      </w:tr>
    </w:tbl>
    <w:p>
      <w:pPr>
        <w:pStyle w:val="Heading1"/>
        <w:spacing w:after="200" w:before="400"/>
      </w:pPr>
      <w:r>
        <w:t xml:space="preserve">5. Rappel — modèle de données et Power Query (confirmé, inchangé)</w:t>
      </w:r>
    </w:p>
    <w:p>
      <w:pPr>
        <w:spacing w:after="150" w:line="276"/>
      </w:pPr>
      <w:r>
        <w:t xml:space="preserve">Ces constats de la version 1 restent valides ; ils ne dépendent pas du texte des mesures DAX.</w:t>
      </w:r>
    </w:p>
    <w:p>
      <w:pPr>
        <w:pStyle w:val="ListParagraph"/>
        <w:numPr>
          <w:ilvl w:val="0"/>
          <w:numId w:val="2"/>
        </w:numPr>
        <w:spacing w:after="80"/>
      </w:pPr>
      <w:r>
        <w:t xml:space="preserve">Power Query : la traduction des pays en français (étapes 17-19) est annulée par les étapes 24-26 — supprime l'une des deux paires.</w:t>
      </w:r>
    </w:p>
    <w:p>
      <w:pPr>
        <w:pStyle w:val="ListParagraph"/>
        <w:numPr>
          <w:ilvl w:val="0"/>
          <w:numId w:val="2"/>
        </w:numPr>
        <w:spacing w:after="80"/>
      </w:pPr>
      <w:r>
        <w:t xml:space="preserve">Power Query : faute "Secteur Pulic" → "Secteur Public", et "Élévé" → "Élevé".</w:t>
      </w:r>
    </w:p>
    <w:p>
      <w:pPr>
        <w:pStyle w:val="ListParagraph"/>
        <w:numPr>
          <w:ilvl w:val="0"/>
          <w:numId w:val="2"/>
        </w:numPr>
        <w:spacing w:after="80"/>
      </w:pPr>
      <w:r>
        <w:t xml:space="preserve">Power Query : trois étapes "Lignes filtrées" avec "each true" sans effet, à supprimer.</w:t>
      </w:r>
    </w:p>
    <w:p>
      <w:pPr>
        <w:pStyle w:val="ListParagraph"/>
        <w:numPr>
          <w:ilvl w:val="0"/>
          <w:numId w:val="2"/>
        </w:numPr>
        <w:spacing w:after="80"/>
      </w:pPr>
      <w:r>
        <w:t xml:space="preserve">Modèle : relation financials (*) → Calendrier (1) correcte ; vérifier le sens de filtrage "Unique" et le marquage "Table de dates" de Calendrier.</w:t>
      </w:r>
    </w:p>
    <w:p>
      <w:pPr>
        <w:pStyle w:val="ListParagraph"/>
        <w:numPr>
          <w:ilvl w:val="0"/>
          <w:numId w:val="2"/>
        </w:numPr>
        <w:spacing w:after="80"/>
      </w:pPr>
      <w:r>
        <w:t xml:space="preserve">Modèle : la table "% Augmentation Couts" déconnectée est un paramètre "Quoi si ?" natif de Power BI — ce n'est pas une erreur.</w:t>
      </w:r>
    </w:p>
    <w:p>
      <w:pPr>
        <w:pStyle w:val="ListParagraph"/>
        <w:numPr>
          <w:ilvl w:val="0"/>
          <w:numId w:val="2"/>
        </w:numPr>
        <w:spacing w:after="80"/>
      </w:pPr>
      <w:r>
        <w:t xml:space="preserve">Modèle : organiser les 77 mesures en dossiers d'affichage thématiques plutôt qu'une liste plate.</w:t>
      </w:r>
    </w:p>
    <w:p>
      <w:pPr>
        <w:pStyle w:val="Heading1"/>
        <w:spacing w:after="200" w:before="400"/>
      </w:pPr>
      <w:r>
        <w:t xml:space="preserve">6. Mesures à créer pour le blueprint — mise à jour avec les noms réels</w:t>
      </w:r>
    </w:p>
    <w:p>
      <w:pPr>
        <w:spacing w:after="150" w:line="276"/>
      </w:pPr>
      <w:r>
        <w:t xml:space="preserve">Avec les formules réelles en main, deux constats changent la priorité d'action par rapport à la version précédente : (1) plusieurs mesures que le blueprint demandait de créer existent déjà (Total COGS, Taux de croissance, Objectif Vente Mensuel…) — inutile de les recréer, il faut seulement les corriger ; (2) le "Profit Total" générique n'existe sous aucun nom fiable — Profit Cumule n'est qu'un total simple mal nommé (voir 2.9). Voici la liste consolidée, avec [Total de  Vente] et [Total COGS] utilisés tels quels une fois corrigés.</w:t>
      </w:r>
    </w:p>
    <w:p>
      <w:pPr>
        <w:pStyle w:val="Heading3"/>
        <w:spacing w:after="100" w:before="200"/>
      </w:pPr>
      <w:r>
        <w:t xml:space="preserve">6.1 Renommer / créer les mesures socle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900"/>
      </w:tblGrid>
      <w:tr>
        <w:trPr>
          <w:tblHeader/>
        </w:trPr>
        <w:tc>
          <w:tcPr>
            <w:tcW w:type="dxa" w:w="3000"/>
            <w:shd w:fill="1F3864" w:val="clear"/>
            <w:tcMar>
              <w:top w:type="dxa" w:w="60"/>
              <w:left w:type="dxa" w:w="90"/>
              <w:bottom w:type="dxa" w:w="60"/>
              <w:right w:type="dxa" w:w="90"/>
            </w:tcMar>
            <w:vAlign w:val="center"/>
          </w:tcPr>
          <w:p>
            <w:pPr>
              <w:jc w:val="left"/>
            </w:pPr>
            <w:r>
              <w:rPr>
                <w:b/>
                <w:bCs/>
                <w:color w:val="FFFFFF"/>
                <w:sz w:val="18"/>
                <w:szCs w:val="18"/>
              </w:rPr>
              <w:t xml:space="preserve">Besoin (blueprint)</w:t>
            </w:r>
          </w:p>
        </w:tc>
        <w:tc>
          <w:tcPr>
            <w:tcW w:type="dxa" w:w="3500"/>
            <w:shd w:fill="1F3864" w:val="clear"/>
            <w:tcMar>
              <w:top w:type="dxa" w:w="60"/>
              <w:left w:type="dxa" w:w="90"/>
              <w:bottom w:type="dxa" w:w="60"/>
              <w:right w:type="dxa" w:w="90"/>
            </w:tcMar>
            <w:vAlign w:val="center"/>
          </w:tcPr>
          <w:p>
            <w:pPr>
              <w:jc w:val="left"/>
            </w:pPr>
            <w:r>
              <w:rPr>
                <w:b/>
                <w:bCs/>
                <w:color w:val="FFFFFF"/>
                <w:sz w:val="18"/>
                <w:szCs w:val="18"/>
              </w:rPr>
              <w:t xml:space="preserve">Mesure existante à réutiliser</w:t>
            </w:r>
          </w:p>
        </w:tc>
        <w:tc>
          <w:tcPr>
            <w:tcW w:type="dxa" w:w="2900"/>
            <w:shd w:fill="1F3864" w:val="clear"/>
            <w:tcMar>
              <w:top w:type="dxa" w:w="60"/>
              <w:left w:type="dxa" w:w="90"/>
              <w:bottom w:type="dxa" w:w="60"/>
              <w:right w:type="dxa" w:w="90"/>
            </w:tcMar>
            <w:vAlign w:val="center"/>
          </w:tcPr>
          <w:p>
            <w:pPr>
              <w:jc w:val="left"/>
            </w:pPr>
            <w:r>
              <w:rPr>
                <w:b/>
                <w:bCs/>
                <w:color w:val="FFFFFF"/>
                <w:sz w:val="18"/>
                <w:szCs w:val="18"/>
              </w:rPr>
              <w:t xml:space="preserve">Action</w:t>
            </w:r>
          </w:p>
        </w:tc>
      </w:tr>
      <w:tr>
        <w:tc>
          <w:tcPr>
            <w:tcW w:type="dxa" w:w="3000"/>
            <w:tcMar>
              <w:top w:type="dxa" w:w="60"/>
              <w:left w:type="dxa" w:w="90"/>
              <w:bottom w:type="dxa" w:w="60"/>
              <w:right w:type="dxa" w:w="90"/>
            </w:tcMar>
            <w:vAlign w:val="center"/>
          </w:tcPr>
          <w:p>
            <w:pPr>
              <w:jc w:val="left"/>
            </w:pPr>
            <w:r>
              <w:rPr>
                <w:b w:val="false"/>
                <w:bCs w:val="false"/>
                <w:color w:val="000000"/>
                <w:sz w:val="18"/>
                <w:szCs w:val="18"/>
              </w:rPr>
              <w:t xml:space="preserve">Total Revenue</w:t>
            </w:r>
          </w:p>
        </w:tc>
        <w:tc>
          <w:tcPr>
            <w:tcW w:type="dxa" w:w="3500"/>
            <w:tcMar>
              <w:top w:type="dxa" w:w="60"/>
              <w:left w:type="dxa" w:w="90"/>
              <w:bottom w:type="dxa" w:w="60"/>
              <w:right w:type="dxa" w:w="90"/>
            </w:tcMar>
            <w:vAlign w:val="center"/>
          </w:tcPr>
          <w:p>
            <w:pPr>
              <w:jc w:val="left"/>
            </w:pPr>
            <w:r>
              <w:rPr>
                <w:b w:val="false"/>
                <w:bCs w:val="false"/>
                <w:color w:val="000000"/>
                <w:sz w:val="18"/>
                <w:szCs w:val="18"/>
              </w:rPr>
              <w:t xml:space="preserve">Total de  Vente</w:t>
            </w:r>
          </w:p>
        </w:tc>
        <w:tc>
          <w:tcPr>
            <w:tcW w:type="dxa" w:w="2900"/>
            <w:tcMar>
              <w:top w:type="dxa" w:w="60"/>
              <w:left w:type="dxa" w:w="90"/>
              <w:bottom w:type="dxa" w:w="60"/>
              <w:right w:type="dxa" w:w="90"/>
            </w:tcMar>
            <w:vAlign w:val="center"/>
          </w:tcPr>
          <w:p>
            <w:pPr>
              <w:jc w:val="left"/>
            </w:pPr>
            <w:r>
              <w:rPr>
                <w:b w:val="false"/>
                <w:bCs w:val="false"/>
                <w:color w:val="000000"/>
                <w:sz w:val="18"/>
                <w:szCs w:val="18"/>
              </w:rPr>
              <w:t xml:space="preserve">Corriger le bug 1.2, garder le nom (ou renommer "Total Revenue" si convention anglaise souhaitée)</w:t>
            </w:r>
          </w:p>
        </w:tc>
      </w:tr>
      <w:tr>
        <w:tc>
          <w:tcPr>
            <w:tcW w:type="dxa" w:w="3000"/>
            <w:tcMar>
              <w:top w:type="dxa" w:w="60"/>
              <w:left w:type="dxa" w:w="90"/>
              <w:bottom w:type="dxa" w:w="60"/>
              <w:right w:type="dxa" w:w="90"/>
            </w:tcMar>
            <w:vAlign w:val="center"/>
          </w:tcPr>
          <w:p>
            <w:pPr>
              <w:jc w:val="left"/>
            </w:pPr>
            <w:r>
              <w:rPr>
                <w:b w:val="false"/>
                <w:bCs w:val="false"/>
                <w:color w:val="000000"/>
                <w:sz w:val="18"/>
                <w:szCs w:val="18"/>
              </w:rPr>
              <w:t xml:space="preserve">Total COGS</w:t>
            </w:r>
          </w:p>
        </w:tc>
        <w:tc>
          <w:tcPr>
            <w:tcW w:type="dxa" w:w="3500"/>
            <w:tcMar>
              <w:top w:type="dxa" w:w="60"/>
              <w:left w:type="dxa" w:w="90"/>
              <w:bottom w:type="dxa" w:w="60"/>
              <w:right w:type="dxa" w:w="90"/>
            </w:tcMar>
            <w:vAlign w:val="center"/>
          </w:tcPr>
          <w:p>
            <w:pPr>
              <w:jc w:val="left"/>
            </w:pPr>
            <w:r>
              <w:rPr>
                <w:b w:val="false"/>
                <w:bCs w:val="false"/>
                <w:color w:val="000000"/>
                <w:sz w:val="18"/>
                <w:szCs w:val="18"/>
              </w:rPr>
              <w:t xml:space="preserve">Total COGS</w:t>
            </w:r>
          </w:p>
        </w:tc>
        <w:tc>
          <w:tcPr>
            <w:tcW w:type="dxa" w:w="2900"/>
            <w:tcMar>
              <w:top w:type="dxa" w:w="60"/>
              <w:left w:type="dxa" w:w="90"/>
              <w:bottom w:type="dxa" w:w="60"/>
              <w:right w:type="dxa" w:w="90"/>
            </w:tcMar>
            <w:vAlign w:val="center"/>
          </w:tcPr>
          <w:p>
            <w:pPr>
              <w:jc w:val="left"/>
            </w:pPr>
            <w:r>
              <w:rPr>
                <w:b w:val="false"/>
                <w:bCs w:val="false"/>
                <w:color w:val="000000"/>
                <w:sz w:val="18"/>
                <w:szCs w:val="18"/>
              </w:rPr>
              <w:t xml:space="preserve">Aucune action — déjà correct</w:t>
            </w:r>
          </w:p>
        </w:tc>
      </w:tr>
      <w:tr>
        <w:tc>
          <w:tcPr>
            <w:tcW w:type="dxa" w:w="3000"/>
            <w:tcMar>
              <w:top w:type="dxa" w:w="60"/>
              <w:left w:type="dxa" w:w="90"/>
              <w:bottom w:type="dxa" w:w="60"/>
              <w:right w:type="dxa" w:w="90"/>
            </w:tcMar>
            <w:vAlign w:val="center"/>
          </w:tcPr>
          <w:p>
            <w:pPr>
              <w:jc w:val="left"/>
            </w:pPr>
            <w:r>
              <w:rPr>
                <w:b w:val="false"/>
                <w:bCs w:val="false"/>
                <w:color w:val="000000"/>
                <w:sz w:val="18"/>
                <w:szCs w:val="18"/>
              </w:rPr>
              <w:t xml:space="preserve">Total Profit</w:t>
            </w:r>
          </w:p>
        </w:tc>
        <w:tc>
          <w:tcPr>
            <w:tcW w:type="dxa" w:w="3500"/>
            <w:tcMar>
              <w:top w:type="dxa" w:w="60"/>
              <w:left w:type="dxa" w:w="90"/>
              <w:bottom w:type="dxa" w:w="60"/>
              <w:right w:type="dxa" w:w="90"/>
            </w:tcMar>
            <w:vAlign w:val="center"/>
          </w:tcPr>
          <w:p>
            <w:pPr>
              <w:jc w:val="left"/>
            </w:pPr>
            <w:r>
              <w:rPr>
                <w:b w:val="false"/>
                <w:bCs w:val="false"/>
                <w:color w:val="000000"/>
                <w:sz w:val="18"/>
                <w:szCs w:val="18"/>
              </w:rPr>
              <w:t xml:space="preserve">Aucune mesure fiable — Profit Cumule est mal nommé</w:t>
            </w:r>
          </w:p>
        </w:tc>
        <w:tc>
          <w:tcPr>
            <w:tcW w:type="dxa" w:w="2900"/>
            <w:tcMar>
              <w:top w:type="dxa" w:w="60"/>
              <w:left w:type="dxa" w:w="90"/>
              <w:bottom w:type="dxa" w:w="60"/>
              <w:right w:type="dxa" w:w="90"/>
            </w:tcMar>
            <w:vAlign w:val="center"/>
          </w:tcPr>
          <w:p>
            <w:pPr>
              <w:jc w:val="left"/>
            </w:pPr>
            <w:r>
              <w:rPr>
                <w:b w:val="false"/>
                <w:bCs w:val="false"/>
                <w:color w:val="000000"/>
                <w:sz w:val="18"/>
                <w:szCs w:val="18"/>
              </w:rPr>
              <w:t xml:space="preserve">Créer : Total Profit = SUM(financials[Profit])</w:t>
            </w:r>
          </w:p>
        </w:tc>
      </w:tr>
      <w:tr>
        <w:tc>
          <w:tcPr>
            <w:tcW w:type="dxa" w:w="3000"/>
            <w:tcMar>
              <w:top w:type="dxa" w:w="60"/>
              <w:left w:type="dxa" w:w="90"/>
              <w:bottom w:type="dxa" w:w="60"/>
              <w:right w:type="dxa" w:w="90"/>
            </w:tcMar>
            <w:vAlign w:val="center"/>
          </w:tcPr>
          <w:p>
            <w:pPr>
              <w:jc w:val="left"/>
            </w:pPr>
            <w:r>
              <w:rPr>
                <w:b w:val="false"/>
                <w:bCs w:val="false"/>
                <w:color w:val="000000"/>
                <w:sz w:val="18"/>
                <w:szCs w:val="18"/>
              </w:rPr>
              <w:t xml:space="preserve">Profit Margin %</w:t>
            </w:r>
          </w:p>
        </w:tc>
        <w:tc>
          <w:tcPr>
            <w:tcW w:type="dxa" w:w="3500"/>
            <w:tcMar>
              <w:top w:type="dxa" w:w="60"/>
              <w:left w:type="dxa" w:w="90"/>
              <w:bottom w:type="dxa" w:w="60"/>
              <w:right w:type="dxa" w:w="90"/>
            </w:tcMar>
            <w:vAlign w:val="center"/>
          </w:tcPr>
          <w:p>
            <w:pPr>
              <w:jc w:val="left"/>
            </w:pPr>
            <w:r>
              <w:rPr>
                <w:b w:val="false"/>
                <w:bCs w:val="false"/>
                <w:color w:val="000000"/>
                <w:sz w:val="18"/>
                <w:szCs w:val="18"/>
              </w:rPr>
              <w:t xml:space="preserve">% Marge de Profits</w:t>
            </w:r>
          </w:p>
        </w:tc>
        <w:tc>
          <w:tcPr>
            <w:tcW w:type="dxa" w:w="2900"/>
            <w:tcMar>
              <w:top w:type="dxa" w:w="60"/>
              <w:left w:type="dxa" w:w="90"/>
              <w:bottom w:type="dxa" w:w="60"/>
              <w:right w:type="dxa" w:w="90"/>
            </w:tcMar>
            <w:vAlign w:val="center"/>
          </w:tcPr>
          <w:p>
            <w:pPr>
              <w:jc w:val="left"/>
            </w:pPr>
            <w:r>
              <w:rPr>
                <w:b w:val="false"/>
                <w:bCs w:val="false"/>
                <w:color w:val="000000"/>
                <w:sz w:val="18"/>
                <w:szCs w:val="18"/>
              </w:rPr>
              <w:t xml:space="preserve">Aucune action — déjà correct</w:t>
            </w:r>
          </w:p>
        </w:tc>
      </w:tr>
    </w:tbl>
    <w:p>
      <w:pPr>
        <w:pStyle w:val="Heading3"/>
        <w:spacing w:after="100" w:before="200"/>
      </w:pPr>
      <w:r>
        <w:t xml:space="preserve">6.2 Revenue YoY % — remplace directement [Taux de croissance] une fois corrigé</w:t>
      </w:r>
    </w:p>
    <w:p>
      <w:pPr>
        <w:spacing w:after="150" w:line="276"/>
      </w:pPr>
      <w:r>
        <w:t xml:space="preserve">Le blueprint demandait une mesure "Revenue YoY %" générique avec SAMEPERIODLASTYEAR. Ton modèle a déjà cette logique via [Taux de croissance] (section 1.1) — une fois corrigée, elle remplit ce rôle. Si tu veux en plus une version dynamique par mois (utilisable en tendance, et non uniquement 2013 vs 2014 globalement), ajoute :</w:t>
      </w:r>
    </w:p>
    <w:p>
      <w:pPr>
        <w:pBdr>
          <w:top w:val="single" w:color="444444" w:sz="4"/>
          <w:bottom w:val="single" w:color="444444" w:sz="4"/>
          <w:left w:val="single" w:color="444444" w:sz="4"/>
          <w:right w:val="single" w:color="444444" w:sz="4"/>
        </w:pBdr>
        <w:shd w:fill="1E1E1E" w:val="clear"/>
        <w:spacing w:after="200" w:before="50"/>
        <w:ind w:left="200" w:right="200"/>
      </w:pPr>
      <w:r>
        <w:rPr>
          <w:rFonts w:ascii="Consolas" w:cs="Consolas" w:eastAsia="Consolas" w:hAnsi="Consolas"/>
          <w:color w:val="D4D4D4"/>
          <w:sz w:val="18"/>
          <w:szCs w:val="18"/>
        </w:rPr>
        <w:t xml:space="preserve">Revenue YoY % (mensuel) =</w:t>
      </w:r>
      <w:r>
        <w:rPr>
          <w:rFonts w:ascii="Consolas" w:cs="Consolas" w:eastAsia="Consolas" w:hAnsi="Consolas"/>
          <w:color w:val="D4D4D4"/>
          <w:sz w:val="18"/>
          <w:szCs w:val="18"/>
        </w:rPr>
        <w:br/>
        <w:t xml:space="preserve">VAR CurrentRevenue = [Total de  Vente]</w:t>
      </w:r>
      <w:r>
        <w:rPr>
          <w:rFonts w:ascii="Consolas" w:cs="Consolas" w:eastAsia="Consolas" w:hAnsi="Consolas"/>
          <w:color w:val="D4D4D4"/>
          <w:sz w:val="18"/>
          <w:szCs w:val="18"/>
        </w:rPr>
        <w:br/>
        <w:t xml:space="preserve">VAR PreviousRevenue = CALCULATE([Total de  Vente], SAMEPERIODLASTYEAR('Calendrier'[Date]))</w:t>
      </w:r>
      <w:r>
        <w:rPr>
          <w:rFonts w:ascii="Consolas" w:cs="Consolas" w:eastAsia="Consolas" w:hAnsi="Consolas"/>
          <w:color w:val="D4D4D4"/>
          <w:sz w:val="18"/>
          <w:szCs w:val="18"/>
        </w:rPr>
        <w:br/>
        <w:t xml:space="preserve">RETURN</w:t>
      </w:r>
      <w:r>
        <w:rPr>
          <w:rFonts w:ascii="Consolas" w:cs="Consolas" w:eastAsia="Consolas" w:hAnsi="Consolas"/>
          <w:color w:val="D4D4D4"/>
          <w:sz w:val="18"/>
          <w:szCs w:val="18"/>
        </w:rPr>
        <w:br/>
        <w:t xml:space="preserve">DIVIDE(CurrentRevenue - PreviousRevenue, PreviousRevenue)</w:t>
      </w:r>
    </w:p>
    <w:p>
      <w:pPr>
        <w:spacing w:after="150" w:line="276"/>
      </w:pPr>
      <w:r>
        <w:t xml:space="preserve">Prérequis : table Calendrier marquée "Table de dates" (voir section 5).</w:t>
      </w:r>
    </w:p>
    <w:p>
      <w:pPr>
        <w:pStyle w:val="Heading3"/>
        <w:spacing w:after="100" w:before="200"/>
      </w:pPr>
      <w:r>
        <w:t xml:space="preserve">6.3 Forecast Change / Forecast Growth % — déjà couvertes indirectement</w:t>
      </w:r>
    </w:p>
    <w:p>
      <w:pPr>
        <w:spacing w:after="150" w:line="276"/>
      </w:pPr>
      <w:r>
        <w:t xml:space="preserve">Une fois [Taux de croissance] corrigée, [Prédictions Ventes 2015] redevient fiable. Le blueprint demande en plus un écart absolu et un taux de croissance de la prévision par rapport à 2014 :</w:t>
      </w:r>
    </w:p>
    <w:p>
      <w:pPr>
        <w:pBdr>
          <w:top w:val="single" w:color="444444" w:sz="4"/>
          <w:bottom w:val="single" w:color="444444" w:sz="4"/>
          <w:left w:val="single" w:color="444444" w:sz="4"/>
          <w:right w:val="single" w:color="444444" w:sz="4"/>
        </w:pBdr>
        <w:shd w:fill="1E1E1E" w:val="clear"/>
        <w:spacing w:after="200" w:before="50"/>
        <w:ind w:left="200" w:right="200"/>
      </w:pPr>
      <w:r>
        <w:rPr>
          <w:rFonts w:ascii="Consolas" w:cs="Consolas" w:eastAsia="Consolas" w:hAnsi="Consolas"/>
          <w:color w:val="D4D4D4"/>
          <w:sz w:val="18"/>
          <w:szCs w:val="18"/>
        </w:rPr>
        <w:t xml:space="preserve">Forecast Change = [Prédictions Ventes 2015] - CALCULATE([Total de  Vente],FILTER(ALL(financials),YEAR(financials[Date])=2014))</w:t>
      </w:r>
      <w:r>
        <w:rPr>
          <w:rFonts w:ascii="Consolas" w:cs="Consolas" w:eastAsia="Consolas" w:hAnsi="Consolas"/>
          <w:color w:val="D4D4D4"/>
          <w:sz w:val="18"/>
          <w:szCs w:val="18"/>
        </w:rPr>
        <w:br/>
        <w:t xml:space="preserve"> </w:t>
      </w:r>
      <w:r>
        <w:rPr>
          <w:rFonts w:ascii="Consolas" w:cs="Consolas" w:eastAsia="Consolas" w:hAnsi="Consolas"/>
          <w:color w:val="D4D4D4"/>
          <w:sz w:val="18"/>
          <w:szCs w:val="18"/>
        </w:rPr>
        <w:br/>
        <w:t xml:space="preserve">Forecast Growth % = DIVIDE([Forecast Change], CALCULATE([Total de  Vente],FILTER(ALL(financials),YEAR(financials[Date])=2014)))</w:t>
      </w:r>
    </w:p>
    <w:p>
      <w:pPr>
        <w:pStyle w:val="Heading3"/>
        <w:spacing w:after="100" w:before="200"/>
      </w:pPr>
      <w:r>
        <w:t xml:space="preserve">6.4 Forecast vs Target %</w:t>
      </w:r>
    </w:p>
    <w:p>
      <w:pPr>
        <w:pBdr>
          <w:left w:val="single" w:color="1E7B34" w:sz="24" w:space="8"/>
        </w:pBdr>
        <w:shd w:fill="E2EFDA" w:val="clear"/>
        <w:spacing w:after="150" w:before="50"/>
        <w:ind w:left="200"/>
      </w:pPr>
      <w:r>
        <w:rPr>
          <w:b/>
          <w:bCs/>
          <w:color w:val="1E7B34"/>
        </w:rPr>
        <w:t xml:space="preserve">✔ CORRECT — </w:t>
      </w:r>
      <w:r>
        <w:t xml:space="preserve">Un objectif existe déjà et est fiable une fois Total de Vente corrigé : [Objectif Vente Mensuel].</w:t>
      </w:r>
    </w:p>
    <w:p>
      <w:pPr>
        <w:pBdr>
          <w:top w:val="single" w:color="444444" w:sz="4"/>
          <w:bottom w:val="single" w:color="444444" w:sz="4"/>
          <w:left w:val="single" w:color="444444" w:sz="4"/>
          <w:right w:val="single" w:color="444444" w:sz="4"/>
        </w:pBdr>
        <w:shd w:fill="1E1E1E" w:val="clear"/>
        <w:spacing w:after="200" w:before="50"/>
        <w:ind w:left="200" w:right="200"/>
      </w:pPr>
      <w:r>
        <w:rPr>
          <w:rFonts w:ascii="Consolas" w:cs="Consolas" w:eastAsia="Consolas" w:hAnsi="Consolas"/>
          <w:color w:val="D4D4D4"/>
          <w:sz w:val="18"/>
          <w:szCs w:val="18"/>
        </w:rPr>
        <w:t xml:space="preserve">Forecast vs Target % = DIVIDE([Prédictions Ventes 2015] - ([Objectif Vente Mensuel]*12), [Objectif Vente Mensuel]*12)</w:t>
      </w:r>
    </w:p>
    <w:p>
      <w:pPr>
        <w:spacing w:after="150" w:line="276"/>
      </w:pPr>
      <w:r>
        <w:t xml:space="preserve">Attention à l'échelle : [Objectif Vente Mensuel] est un objectif MENSUEL, alors que [Prédictions Ventes 2015] est une projection ANNUELLE. Ne compare jamais les deux directement sans les ramener à la même échelle (d'où le ×12 ci-dessus, à ajuster si l'objectif doit varier par mois plutôt qu'être un simple ×12 d'une moyenne).</w:t>
      </w:r>
    </w:p>
    <w:p>
      <w:pPr>
        <w:pStyle w:val="Heading3"/>
        <w:spacing w:after="100" w:before="200"/>
      </w:pPr>
      <w:r>
        <w:t xml:space="preserve">6.5 Average Order Value — toujours à adapter, pas à inventer</w:t>
      </w:r>
    </w:p>
    <w:p>
      <w:pPr>
        <w:pBdr>
          <w:left w:val="single" w:color="BF8F00" w:sz="24" w:space="8"/>
        </w:pBdr>
        <w:shd w:fill="FFF2CC" w:val="clear"/>
        <w:spacing w:after="150" w:before="50"/>
        <w:ind w:left="200"/>
      </w:pPr>
      <w:r>
        <w:rPr>
          <w:b/>
          <w:bCs/>
          <w:color w:val="7F6000"/>
        </w:rPr>
        <w:t xml:space="preserve">⚠ Rappel de la version 1, confirmé — </w:t>
      </w:r>
      <w:r>
        <w:t xml:space="preserve">Le dataset n'a pas de granularité "commande" (pas d'Order ID). [Panier Moyen], une fois corrigé avec DIVIDE (section 2.2), calcule en réalité un revenu moyen par unité vendue, pas un panier moyen par commande. Renomme-la pour rester rigoureuse en entretien : "Revenu Moyen par Unité".</w:t>
      </w:r>
    </w:p>
    <w:p>
      <w:pPr>
        <w:pStyle w:val="Heading3"/>
        <w:spacing w:after="100" w:before="200"/>
      </w:pPr>
      <w:r>
        <w:t xml:space="preserve">6.6 Top Segment / Country / Product Contribution %</w:t>
      </w:r>
    </w:p>
    <w:p>
      <w:pPr>
        <w:pBdr>
          <w:left w:val="single" w:color="1E7B34" w:sz="24" w:space="8"/>
        </w:pBdr>
        <w:shd w:fill="E2EFDA" w:val="clear"/>
        <w:spacing w:after="150" w:before="50"/>
        <w:ind w:left="200"/>
      </w:pPr>
      <w:r>
        <w:rPr>
          <w:b/>
          <w:bCs/>
          <w:color w:val="1E7B34"/>
        </w:rPr>
        <w:t xml:space="preserve">✔ CORRECT — </w:t>
      </w:r>
      <w:r>
        <w:t xml:space="preserve">Déjà couvertes : les mesures % CA Top 3 Segments / Produits / Pays et leurs complémentaires % CA Autres… répondent exactement au besoin "Concentration Risk" de la page 4 du blueprint, sous réserve de la vérification de cohérence du dénominateur (section 3.2).</w:t>
      </w:r>
    </w:p>
    <w:p>
      <w:pPr>
        <w:pStyle w:val="Heading1"/>
        <w:spacing w:after="200" w:before="400"/>
      </w:pPr>
      <w:r>
        <w:t xml:space="preserve">7. Mesures inutiles à nettoyer</w:t>
      </w:r>
    </w:p>
    <w:p>
      <w:pPr>
        <w:spacing w:after="150" w:line="276"/>
      </w:pPr>
      <w:r>
        <w:t xml:space="preserve">Méthode : croisement programmatique des 77 formules avec la liste réelle des champs utilisés dans les visuels (extraite du fichier Report/Layout du .pbix — visuels, filtres et infobulles inclus) et avec les références internes entre mesures (une mesure appelée par [Nom] à l'intérieur d'une autre formule). Une mesure est retenue ci-dessous seulement si elle n'apparaît NI dans un visuel NI dans la formule d'une autre mesure — donc à la fois invisible pour l'utilisateur final et sans aucune utilité de calcul intermédiaire.</w:t>
      </w:r>
    </w:p>
    <w:p>
      <w:pPr>
        <w:pBdr>
          <w:left w:val="single" w:color="BF8F00" w:sz="24" w:space="8"/>
        </w:pBdr>
        <w:shd w:fill="FFF2CC" w:val="clear"/>
        <w:spacing w:after="150" w:before="50"/>
        <w:ind w:left="200"/>
      </w:pPr>
      <w:r>
        <w:rPr>
          <w:b/>
          <w:bCs/>
          <w:color w:val="7F6000"/>
        </w:rPr>
        <w:t xml:space="preserve">⚠ LIMITE DE LA MÉTHODE — </w:t>
      </w:r>
      <w:r>
        <w:t xml:space="preserve">Cette extraction lit le fichier de mise en page sérialisé du rapport ; elle ne peut pas voir un éventuel bookmark ou une page masquée non exportée dans ce fichier. Avant suppression définitive, confirme dans Power BI Desktop avec l'Analyseur de performances, ou plus rigoureusement avec l'outil "Best Practice Analyzer" / "Unused objects" de Tabular Editor ou DAX Studio, qui interrogent directement le moteur du modèle.</w:t>
      </w:r>
    </w:p>
    <w:p>
      <w:pPr>
        <w:pStyle w:val="Heading2"/>
        <w:spacing w:after="150" w:before="300"/>
      </w:pPr>
      <w:r>
        <w:t xml:space="preserve">7.1 Doublons exacts d'une autre mesure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6400"/>
      </w:tblGrid>
      <w:tr>
        <w:trPr>
          <w:tblHeader/>
        </w:trPr>
        <w:tc>
          <w:tcPr>
            <w:tcW w:type="dxa" w:w="3200"/>
            <w:shd w:fill="1F3864" w:val="clear"/>
            <w:tcMar>
              <w:top w:type="dxa" w:w="60"/>
              <w:left w:type="dxa" w:w="90"/>
              <w:bottom w:type="dxa" w:w="60"/>
              <w:right w:type="dxa" w:w="90"/>
            </w:tcMar>
            <w:vAlign w:val="center"/>
          </w:tcPr>
          <w:p>
            <w:pPr>
              <w:jc w:val="left"/>
            </w:pPr>
            <w:r>
              <w:rPr>
                <w:b/>
                <w:bCs/>
                <w:color w:val="FFFFFF"/>
                <w:sz w:val="18"/>
                <w:szCs w:val="18"/>
              </w:rPr>
              <w:t xml:space="preserve">Mesure</w:t>
            </w:r>
          </w:p>
        </w:tc>
        <w:tc>
          <w:tcPr>
            <w:tcW w:type="dxa" w:w="6400"/>
            <w:shd w:fill="1F3864" w:val="clear"/>
            <w:tcMar>
              <w:top w:type="dxa" w:w="60"/>
              <w:left w:type="dxa" w:w="90"/>
              <w:bottom w:type="dxa" w:w="60"/>
              <w:right w:type="dxa" w:w="90"/>
            </w:tcMar>
            <w:vAlign w:val="center"/>
          </w:tcPr>
          <w:p>
            <w:pPr>
              <w:jc w:val="left"/>
            </w:pPr>
            <w:r>
              <w:rPr>
                <w:b/>
                <w:bCs/>
                <w:color w:val="FFFFFF"/>
                <w:sz w:val="18"/>
                <w:szCs w:val="18"/>
              </w:rPr>
              <w:t xml:space="preserve">Constat</w:t>
            </w:r>
          </w:p>
        </w:tc>
      </w:tr>
      <w:tr>
        <w:tc>
          <w:tcPr>
            <w:tcW w:type="dxa" w:w="3200"/>
            <w:tcMar>
              <w:top w:type="dxa" w:w="60"/>
              <w:left w:type="dxa" w:w="90"/>
              <w:bottom w:type="dxa" w:w="60"/>
              <w:right w:type="dxa" w:w="90"/>
            </w:tcMar>
            <w:vAlign w:val="center"/>
          </w:tcPr>
          <w:p>
            <w:pPr>
              <w:jc w:val="left"/>
            </w:pPr>
            <w:r>
              <w:rPr>
                <w:b w:val="false"/>
                <w:bCs w:val="false"/>
                <w:color w:val="000000"/>
                <w:sz w:val="18"/>
                <w:szCs w:val="18"/>
              </w:rPr>
              <w:t xml:space="preserve">Objectif Profit 2013</w:t>
            </w:r>
          </w:p>
        </w:tc>
        <w:tc>
          <w:tcPr>
            <w:tcW w:type="dxa" w:w="6400"/>
            <w:tcMar>
              <w:top w:type="dxa" w:w="60"/>
              <w:left w:type="dxa" w:w="90"/>
              <w:bottom w:type="dxa" w:w="60"/>
              <w:right w:type="dxa" w:w="90"/>
            </w:tcMar>
            <w:vAlign w:val="center"/>
          </w:tcPr>
          <w:p>
            <w:pPr>
              <w:jc w:val="left"/>
            </w:pPr>
            <w:r>
              <w:rPr>
                <w:b w:val="false"/>
                <w:bCs w:val="false"/>
                <w:color w:val="000000"/>
                <w:sz w:val="18"/>
                <w:szCs w:val="18"/>
              </w:rPr>
              <w:t xml:space="preserve">Formule strictement identique à Profit Reel 2013 (Ventes2013 − COGS2013) — voir section 2.11. Aucune des deux n'est utilisée dans un visuel.</w:t>
            </w:r>
          </w:p>
        </w:tc>
      </w:tr>
      <w:tr>
        <w:tc>
          <w:tcPr>
            <w:tcW w:type="dxa" w:w="3200"/>
            <w:tcMar>
              <w:top w:type="dxa" w:w="60"/>
              <w:left w:type="dxa" w:w="90"/>
              <w:bottom w:type="dxa" w:w="60"/>
              <w:right w:type="dxa" w:w="90"/>
            </w:tcMar>
            <w:vAlign w:val="center"/>
          </w:tcPr>
          <w:p>
            <w:pPr>
              <w:jc w:val="left"/>
            </w:pPr>
            <w:r>
              <w:rPr>
                <w:b w:val="false"/>
                <w:bCs w:val="false"/>
                <w:color w:val="000000"/>
                <w:sz w:val="18"/>
                <w:szCs w:val="18"/>
              </w:rPr>
              <w:t xml:space="preserve">Profit Reel 2013</w:t>
            </w:r>
          </w:p>
        </w:tc>
        <w:tc>
          <w:tcPr>
            <w:tcW w:type="dxa" w:w="6400"/>
            <w:tcMar>
              <w:top w:type="dxa" w:w="60"/>
              <w:left w:type="dxa" w:w="90"/>
              <w:bottom w:type="dxa" w:w="60"/>
              <w:right w:type="dxa" w:w="90"/>
            </w:tcMar>
            <w:vAlign w:val="center"/>
          </w:tcPr>
          <w:p>
            <w:pPr>
              <w:jc w:val="left"/>
            </w:pPr>
            <w:r>
              <w:rPr>
                <w:b w:val="false"/>
                <w:bCs w:val="false"/>
                <w:color w:val="000000"/>
                <w:sz w:val="18"/>
                <w:szCs w:val="18"/>
              </w:rPr>
              <w:t xml:space="preserve">Doublon exact d'Objectif Profit 2013. Garder une seule des deux.</w:t>
            </w:r>
          </w:p>
        </w:tc>
      </w:tr>
    </w:tbl>
    <w:p>
      <w:pPr>
        <w:pStyle w:val="Heading2"/>
        <w:spacing w:after="150" w:before="300"/>
      </w:pPr>
      <w:r>
        <w:t xml:space="preserve">7.2 Doublons d'un calcul déjà fait en direct ailleurs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6400"/>
      </w:tblGrid>
      <w:tr>
        <w:trPr>
          <w:tblHeader/>
        </w:trPr>
        <w:tc>
          <w:tcPr>
            <w:tcW w:type="dxa" w:w="3200"/>
            <w:shd w:fill="1F3864" w:val="clear"/>
            <w:tcMar>
              <w:top w:type="dxa" w:w="60"/>
              <w:left w:type="dxa" w:w="90"/>
              <w:bottom w:type="dxa" w:w="60"/>
              <w:right w:type="dxa" w:w="90"/>
            </w:tcMar>
            <w:vAlign w:val="center"/>
          </w:tcPr>
          <w:p>
            <w:pPr>
              <w:jc w:val="left"/>
            </w:pPr>
            <w:r>
              <w:rPr>
                <w:b/>
                <w:bCs/>
                <w:color w:val="FFFFFF"/>
                <w:sz w:val="18"/>
                <w:szCs w:val="18"/>
              </w:rPr>
              <w:t xml:space="preserve">Mesure</w:t>
            </w:r>
          </w:p>
        </w:tc>
        <w:tc>
          <w:tcPr>
            <w:tcW w:type="dxa" w:w="6400"/>
            <w:shd w:fill="1F3864" w:val="clear"/>
            <w:tcMar>
              <w:top w:type="dxa" w:w="60"/>
              <w:left w:type="dxa" w:w="90"/>
              <w:bottom w:type="dxa" w:w="60"/>
              <w:right w:type="dxa" w:w="90"/>
            </w:tcMar>
            <w:vAlign w:val="center"/>
          </w:tcPr>
          <w:p>
            <w:pPr>
              <w:jc w:val="left"/>
            </w:pPr>
            <w:r>
              <w:rPr>
                <w:b/>
                <w:bCs/>
                <w:color w:val="FFFFFF"/>
                <w:sz w:val="18"/>
                <w:szCs w:val="18"/>
              </w:rPr>
              <w:t xml:space="preserve">Constat</w:t>
            </w:r>
          </w:p>
        </w:tc>
      </w:tr>
      <w:tr>
        <w:tc>
          <w:tcPr>
            <w:tcW w:type="dxa" w:w="3200"/>
            <w:tcMar>
              <w:top w:type="dxa" w:w="60"/>
              <w:left w:type="dxa" w:w="90"/>
              <w:bottom w:type="dxa" w:w="60"/>
              <w:right w:type="dxa" w:w="90"/>
            </w:tcMar>
            <w:vAlign w:val="center"/>
          </w:tcPr>
          <w:p>
            <w:pPr>
              <w:jc w:val="left"/>
            </w:pPr>
            <w:r>
              <w:rPr>
                <w:b w:val="false"/>
                <w:bCs w:val="false"/>
                <w:color w:val="000000"/>
                <w:sz w:val="18"/>
                <w:szCs w:val="18"/>
              </w:rPr>
              <w:t xml:space="preserve">Total COGS</w:t>
            </w:r>
          </w:p>
        </w:tc>
        <w:tc>
          <w:tcPr>
            <w:tcW w:type="dxa" w:w="6400"/>
            <w:tcMar>
              <w:top w:type="dxa" w:w="60"/>
              <w:left w:type="dxa" w:w="90"/>
              <w:bottom w:type="dxa" w:w="60"/>
              <w:right w:type="dxa" w:w="90"/>
            </w:tcMar>
            <w:vAlign w:val="center"/>
          </w:tcPr>
          <w:p>
            <w:pPr>
              <w:jc w:val="left"/>
            </w:pPr>
            <w:r>
              <w:rPr>
                <w:b w:val="false"/>
                <w:bCs w:val="false"/>
                <w:color w:val="000000"/>
                <w:sz w:val="18"/>
                <w:szCs w:val="18"/>
              </w:rPr>
              <w:t xml:space="preserve">Jamais appelée : toutes les autres mesures utilisent SUM(financials[COGS]) directement plutôt que cette mesure.</w:t>
            </w:r>
          </w:p>
        </w:tc>
      </w:tr>
      <w:tr>
        <w:tc>
          <w:tcPr>
            <w:tcW w:type="dxa" w:w="3200"/>
            <w:tcMar>
              <w:top w:type="dxa" w:w="60"/>
              <w:left w:type="dxa" w:w="90"/>
              <w:bottom w:type="dxa" w:w="60"/>
              <w:right w:type="dxa" w:w="90"/>
            </w:tcMar>
            <w:vAlign w:val="center"/>
          </w:tcPr>
          <w:p>
            <w:pPr>
              <w:jc w:val="left"/>
            </w:pPr>
            <w:r>
              <w:rPr>
                <w:b w:val="false"/>
                <w:bCs w:val="false"/>
                <w:color w:val="000000"/>
                <w:sz w:val="18"/>
                <w:szCs w:val="18"/>
              </w:rPr>
              <w:t xml:space="preserve">total remise</w:t>
            </w:r>
          </w:p>
        </w:tc>
        <w:tc>
          <w:tcPr>
            <w:tcW w:type="dxa" w:w="6400"/>
            <w:tcMar>
              <w:top w:type="dxa" w:w="60"/>
              <w:left w:type="dxa" w:w="90"/>
              <w:bottom w:type="dxa" w:w="60"/>
              <w:right w:type="dxa" w:w="90"/>
            </w:tcMar>
            <w:vAlign w:val="center"/>
          </w:tcPr>
          <w:p>
            <w:pPr>
              <w:jc w:val="left"/>
            </w:pPr>
            <w:r>
              <w:rPr>
                <w:b w:val="false"/>
                <w:bCs w:val="false"/>
                <w:color w:val="000000"/>
                <w:sz w:val="18"/>
                <w:szCs w:val="18"/>
              </w:rPr>
              <w:t xml:space="preserve">Jamais appelée : toutes les autres mesures utilisent SUM(financials[Remise]) directement.</w:t>
            </w:r>
          </w:p>
        </w:tc>
      </w:tr>
      <w:tr>
        <w:tc>
          <w:tcPr>
            <w:tcW w:type="dxa" w:w="3200"/>
            <w:tcMar>
              <w:top w:type="dxa" w:w="60"/>
              <w:left w:type="dxa" w:w="90"/>
              <w:bottom w:type="dxa" w:w="60"/>
              <w:right w:type="dxa" w:w="90"/>
            </w:tcMar>
            <w:vAlign w:val="center"/>
          </w:tcPr>
          <w:p>
            <w:pPr>
              <w:jc w:val="left"/>
            </w:pPr>
            <w:r>
              <w:rPr>
                <w:b w:val="false"/>
                <w:bCs w:val="false"/>
                <w:color w:val="000000"/>
                <w:sz w:val="18"/>
                <w:szCs w:val="18"/>
              </w:rPr>
              <w:t xml:space="preserve">Total pri usine +5%</w:t>
            </w:r>
          </w:p>
        </w:tc>
        <w:tc>
          <w:tcPr>
            <w:tcW w:type="dxa" w:w="6400"/>
            <w:tcMar>
              <w:top w:type="dxa" w:w="60"/>
              <w:left w:type="dxa" w:w="90"/>
              <w:bottom w:type="dxa" w:w="60"/>
              <w:right w:type="dxa" w:w="90"/>
            </w:tcMar>
            <w:vAlign w:val="center"/>
          </w:tcPr>
          <w:p>
            <w:pPr>
              <w:jc w:val="left"/>
            </w:pPr>
            <w:r>
              <w:rPr>
                <w:b w:val="false"/>
                <w:bCs w:val="false"/>
                <w:color w:val="000000"/>
                <w:sz w:val="18"/>
                <w:szCs w:val="18"/>
              </w:rPr>
              <w:t xml:space="preserve">Duplique la colonne Power Query "Prix usine de 5% de +" — même calcul (+5 %) fait à deux endroits du modèle, risque de désynchronisation si le taux change.</w:t>
            </w:r>
          </w:p>
        </w:tc>
      </w:tr>
    </w:tbl>
    <w:p>
      <w:pPr>
        <w:pStyle w:val="Heading2"/>
        <w:spacing w:after="150" w:before="300"/>
      </w:pPr>
      <w:r>
        <w:t xml:space="preserve">7.3 Mesures créées mais jamais connectées</w:t>
      </w:r>
    </w:p>
    <w:p>
      <w:pPr>
        <w:spacing w:after="150" w:line="276"/>
      </w:pPr>
      <w:r>
        <w:t xml:space="preserve">Ni affichées dans un visuel, ni utilisées comme brique de calcul par une autre mesure :</w:t>
      </w:r>
    </w:p>
    <w:p>
      <w:pPr>
        <w:pStyle w:val="ListParagraph"/>
        <w:numPr>
          <w:ilvl w:val="0"/>
          <w:numId w:val="2"/>
        </w:numPr>
        <w:spacing w:after="80"/>
      </w:pPr>
      <w:r>
        <w:t xml:space="preserve">Moyenne de  Vente par Transaction</w:t>
      </w:r>
    </w:p>
    <w:p>
      <w:pPr>
        <w:pStyle w:val="ListParagraph"/>
        <w:numPr>
          <w:ilvl w:val="0"/>
          <w:numId w:val="2"/>
        </w:numPr>
        <w:spacing w:after="80"/>
      </w:pPr>
      <w:r>
        <w:t xml:space="preserve">Moyenne Mensuelle Cout Usine</w:t>
      </w:r>
    </w:p>
    <w:p>
      <w:pPr>
        <w:pStyle w:val="ListParagraph"/>
        <w:numPr>
          <w:ilvl w:val="0"/>
          <w:numId w:val="2"/>
        </w:numPr>
        <w:spacing w:after="80"/>
      </w:pPr>
      <w:r>
        <w:t xml:space="preserve">Moyenne Mensuelle Profit</w:t>
      </w:r>
    </w:p>
    <w:p>
      <w:pPr>
        <w:pStyle w:val="ListParagraph"/>
        <w:numPr>
          <w:ilvl w:val="0"/>
          <w:numId w:val="2"/>
        </w:numPr>
        <w:spacing w:after="80"/>
      </w:pPr>
      <w:r>
        <w:t xml:space="preserve">Seuil Min Top 2 Pays — alors que ses équivalentes Top 3 Produit / Top 3 Segment sont bien utilisées</w:t>
      </w:r>
    </w:p>
    <w:p>
      <w:pPr>
        <w:pStyle w:val="ListParagraph"/>
        <w:numPr>
          <w:ilvl w:val="0"/>
          <w:numId w:val="2"/>
        </w:numPr>
        <w:spacing w:after="80"/>
      </w:pPr>
      <w:r>
        <w:t xml:space="preserve">Valeur CA Top 3</w:t>
      </w:r>
    </w:p>
    <w:p>
      <w:pPr>
        <w:pStyle w:val="ListParagraph"/>
        <w:numPr>
          <w:ilvl w:val="0"/>
          <w:numId w:val="2"/>
        </w:numPr>
        <w:spacing w:after="80"/>
      </w:pPr>
      <w:r>
        <w:t xml:space="preserve">Valeur CA Top 3 Produits</w:t>
      </w:r>
    </w:p>
    <w:p>
      <w:pPr>
        <w:pStyle w:val="ListParagraph"/>
        <w:numPr>
          <w:ilvl w:val="0"/>
          <w:numId w:val="2"/>
        </w:numPr>
        <w:spacing w:after="80"/>
      </w:pPr>
      <w:r>
        <w:t xml:space="preserve">Marge d'impact sur le profit</w:t>
      </w:r>
    </w:p>
    <w:p>
      <w:pPr>
        <w:pStyle w:val="ListParagraph"/>
        <w:numPr>
          <w:ilvl w:val="0"/>
          <w:numId w:val="2"/>
        </w:numPr>
        <w:spacing w:after="80"/>
      </w:pPr>
      <w:r>
        <w:t xml:space="preserve">Total Vente 2013</w:t>
      </w:r>
    </w:p>
    <w:p>
      <w:pPr>
        <w:pStyle w:val="ListParagraph"/>
        <w:numPr>
          <w:ilvl w:val="0"/>
          <w:numId w:val="2"/>
        </w:numPr>
        <w:spacing w:after="80"/>
      </w:pPr>
      <w:r>
        <w:t xml:space="preserve">Titre Dynamique Meilleur Segment — en plus d'être buguée (format "#,##OM", voir section 2.4)</w:t>
      </w:r>
    </w:p>
    <w:p>
      <w:pPr>
        <w:pStyle w:val="ListParagraph"/>
        <w:numPr>
          <w:ilvl w:val="0"/>
          <w:numId w:val="2"/>
        </w:numPr>
        <w:spacing w:after="80"/>
      </w:pPr>
      <w:r>
        <w:t xml:space="preserve">Test NbMois</w:t>
      </w:r>
    </w:p>
    <w:p>
      <w:pPr>
        <w:pStyle w:val="Heading2"/>
        <w:spacing w:after="150" w:before="300"/>
      </w:pPr>
      <w:r>
        <w:t xml:space="preserve">7.4 Cas particulier — à garder malgré tout</w:t>
      </w:r>
    </w:p>
    <w:p>
      <w:pPr>
        <w:pBdr>
          <w:left w:val="single" w:color="1E7B34" w:sz="24" w:space="8"/>
        </w:pBdr>
        <w:shd w:fill="E2EFDA" w:val="clear"/>
        <w:spacing w:after="150" w:before="50"/>
        <w:ind w:left="200"/>
      </w:pPr>
      <w:r>
        <w:rPr>
          <w:b/>
          <w:bCs/>
          <w:color w:val="1E7B34"/>
        </w:rPr>
        <w:t xml:space="preserve">✔ CORRECT — </w:t>
      </w:r>
      <w:r>
        <w:t xml:space="preserve">Objectif Profit mensuel n'est pas un déchet : elle n'apparaît dans aucun visuel actuel, mais c'est la base idéale pour construire la mesure "Forecast vs Target %" demandée par le blueprint (section 6.4). Ne la supprime pas : câble-la plutôt à un visuel, ou utilise-la dans la nouvelle mesure de comparaison prévision/objectif.</w:t>
      </w:r>
    </w:p>
    <w:p>
      <w:pPr>
        <w:pStyle w:val="Heading2"/>
        <w:spacing w:after="150" w:before="300"/>
      </w:pPr>
      <w:r>
        <w:t xml:space="preserve">7.5 Synthèse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800"/>
        <w:gridCol w:w="1500"/>
        <w:gridCol w:w="3300"/>
      </w:tblGrid>
      <w:tr>
        <w:trPr>
          <w:tblHeader/>
        </w:trPr>
        <w:tc>
          <w:tcPr>
            <w:tcW w:type="dxa" w:w="3800"/>
            <w:shd w:fill="1F3864" w:val="clear"/>
            <w:tcMar>
              <w:top w:type="dxa" w:w="60"/>
              <w:left w:type="dxa" w:w="90"/>
              <w:bottom w:type="dxa" w:w="60"/>
              <w:right w:type="dxa" w:w="90"/>
            </w:tcMar>
            <w:vAlign w:val="center"/>
          </w:tcPr>
          <w:p>
            <w:pPr>
              <w:jc w:val="left"/>
            </w:pPr>
            <w:r>
              <w:rPr>
                <w:b/>
                <w:bCs/>
                <w:color w:val="FFFFFF"/>
                <w:sz w:val="18"/>
                <w:szCs w:val="18"/>
              </w:rPr>
              <w:t xml:space="preserve">Catégorie</w:t>
            </w:r>
          </w:p>
        </w:tc>
        <w:tc>
          <w:tcPr>
            <w:tcW w:type="dxa" w:w="1500"/>
            <w:shd w:fill="1F3864" w:val="clear"/>
            <w:tcMar>
              <w:top w:type="dxa" w:w="60"/>
              <w:left w:type="dxa" w:w="90"/>
              <w:bottom w:type="dxa" w:w="60"/>
              <w:right w:type="dxa" w:w="90"/>
            </w:tcMar>
            <w:vAlign w:val="center"/>
          </w:tcPr>
          <w:p>
            <w:pPr>
              <w:jc w:val="left"/>
            </w:pPr>
            <w:r>
              <w:rPr>
                <w:b/>
                <w:bCs/>
                <w:color w:val="FFFFFF"/>
                <w:sz w:val="18"/>
                <w:szCs w:val="18"/>
              </w:rPr>
              <w:t xml:space="preserve">Nombre</w:t>
            </w:r>
          </w:p>
        </w:tc>
        <w:tc>
          <w:tcPr>
            <w:tcW w:type="dxa" w:w="3300"/>
            <w:shd w:fill="1F3864" w:val="clear"/>
            <w:tcMar>
              <w:top w:type="dxa" w:w="60"/>
              <w:left w:type="dxa" w:w="90"/>
              <w:bottom w:type="dxa" w:w="60"/>
              <w:right w:type="dxa" w:w="90"/>
            </w:tcMar>
            <w:vAlign w:val="center"/>
          </w:tcPr>
          <w:p>
            <w:pPr>
              <w:jc w:val="left"/>
            </w:pPr>
            <w:r>
              <w:rPr>
                <w:b/>
                <w:bCs/>
                <w:color w:val="FFFFFF"/>
                <w:sz w:val="18"/>
                <w:szCs w:val="18"/>
              </w:rPr>
              <w:t xml:space="preserve">Action recommandée</w:t>
            </w:r>
          </w:p>
        </w:tc>
      </w:tr>
      <w:tr>
        <w:tc>
          <w:tcPr>
            <w:tcW w:type="dxa" w:w="3800"/>
            <w:tcMar>
              <w:top w:type="dxa" w:w="60"/>
              <w:left w:type="dxa" w:w="90"/>
              <w:bottom w:type="dxa" w:w="60"/>
              <w:right w:type="dxa" w:w="90"/>
            </w:tcMar>
            <w:vAlign w:val="center"/>
          </w:tcPr>
          <w:p>
            <w:pPr>
              <w:jc w:val="left"/>
            </w:pPr>
            <w:r>
              <w:rPr>
                <w:b w:val="false"/>
                <w:bCs w:val="false"/>
                <w:color w:val="000000"/>
                <w:sz w:val="18"/>
                <w:szCs w:val="18"/>
              </w:rPr>
              <w:t xml:space="preserve">Doublons exacts</w:t>
            </w:r>
          </w:p>
        </w:tc>
        <w:tc>
          <w:tcPr>
            <w:tcW w:type="dxa" w:w="1500"/>
            <w:tcMar>
              <w:top w:type="dxa" w:w="60"/>
              <w:left w:type="dxa" w:w="90"/>
              <w:bottom w:type="dxa" w:w="60"/>
              <w:right w:type="dxa" w:w="90"/>
            </w:tcMar>
            <w:vAlign w:val="center"/>
          </w:tcPr>
          <w:p>
            <w:pPr>
              <w:jc w:val="left"/>
            </w:pPr>
            <w:r>
              <w:rPr>
                <w:b w:val="false"/>
                <w:bCs w:val="false"/>
                <w:color w:val="000000"/>
                <w:sz w:val="18"/>
                <w:szCs w:val="18"/>
              </w:rPr>
              <w:t xml:space="preserve">2</w:t>
            </w:r>
          </w:p>
        </w:tc>
        <w:tc>
          <w:tcPr>
            <w:tcW w:type="dxa" w:w="3300"/>
            <w:tcMar>
              <w:top w:type="dxa" w:w="60"/>
              <w:left w:type="dxa" w:w="90"/>
              <w:bottom w:type="dxa" w:w="60"/>
              <w:right w:type="dxa" w:w="90"/>
            </w:tcMar>
            <w:vAlign w:val="center"/>
          </w:tcPr>
          <w:p>
            <w:pPr>
              <w:jc w:val="left"/>
            </w:pPr>
            <w:r>
              <w:rPr>
                <w:b w:val="false"/>
                <w:bCs w:val="false"/>
                <w:color w:val="000000"/>
                <w:sz w:val="18"/>
                <w:szCs w:val="18"/>
              </w:rPr>
              <w:t xml:space="preserve">Supprimer une des deux mesures dans chaque paire (garder Profit Reel 2013)</w:t>
            </w:r>
          </w:p>
        </w:tc>
      </w:tr>
      <w:tr>
        <w:tc>
          <w:tcPr>
            <w:tcW w:type="dxa" w:w="3800"/>
            <w:tcMar>
              <w:top w:type="dxa" w:w="60"/>
              <w:left w:type="dxa" w:w="90"/>
              <w:bottom w:type="dxa" w:w="60"/>
              <w:right w:type="dxa" w:w="90"/>
            </w:tcMar>
            <w:vAlign w:val="center"/>
          </w:tcPr>
          <w:p>
            <w:pPr>
              <w:jc w:val="left"/>
            </w:pPr>
            <w:r>
              <w:rPr>
                <w:b w:val="false"/>
                <w:bCs w:val="false"/>
                <w:color w:val="000000"/>
                <w:sz w:val="18"/>
                <w:szCs w:val="18"/>
              </w:rPr>
              <w:t xml:space="preserve">Doublons de calcul direct</w:t>
            </w:r>
          </w:p>
        </w:tc>
        <w:tc>
          <w:tcPr>
            <w:tcW w:type="dxa" w:w="1500"/>
            <w:tcMar>
              <w:top w:type="dxa" w:w="60"/>
              <w:left w:type="dxa" w:w="90"/>
              <w:bottom w:type="dxa" w:w="60"/>
              <w:right w:type="dxa" w:w="90"/>
            </w:tcMar>
            <w:vAlign w:val="center"/>
          </w:tcPr>
          <w:p>
            <w:pPr>
              <w:jc w:val="left"/>
            </w:pPr>
            <w:r>
              <w:rPr>
                <w:b w:val="false"/>
                <w:bCs w:val="false"/>
                <w:color w:val="000000"/>
                <w:sz w:val="18"/>
                <w:szCs w:val="18"/>
              </w:rPr>
              <w:t xml:space="preserve">3</w:t>
            </w:r>
          </w:p>
        </w:tc>
        <w:tc>
          <w:tcPr>
            <w:tcW w:type="dxa" w:w="3300"/>
            <w:tcMar>
              <w:top w:type="dxa" w:w="60"/>
              <w:left w:type="dxa" w:w="90"/>
              <w:bottom w:type="dxa" w:w="60"/>
              <w:right w:type="dxa" w:w="90"/>
            </w:tcMar>
            <w:vAlign w:val="center"/>
          </w:tcPr>
          <w:p>
            <w:pPr>
              <w:jc w:val="left"/>
            </w:pPr>
            <w:r>
              <w:rPr>
                <w:b w:val="false"/>
                <w:bCs w:val="false"/>
                <w:color w:val="000000"/>
                <w:sz w:val="18"/>
                <w:szCs w:val="18"/>
              </w:rPr>
              <w:t xml:space="preserve">Supprimer ; s'assurer qu'aucune évolution future n'en a besoin</w:t>
            </w:r>
          </w:p>
        </w:tc>
      </w:tr>
      <w:tr>
        <w:tc>
          <w:tcPr>
            <w:tcW w:type="dxa" w:w="3800"/>
            <w:tcMar>
              <w:top w:type="dxa" w:w="60"/>
              <w:left w:type="dxa" w:w="90"/>
              <w:bottom w:type="dxa" w:w="60"/>
              <w:right w:type="dxa" w:w="90"/>
            </w:tcMar>
            <w:vAlign w:val="center"/>
          </w:tcPr>
          <w:p>
            <w:pPr>
              <w:jc w:val="left"/>
            </w:pPr>
            <w:r>
              <w:rPr>
                <w:b w:val="false"/>
                <w:bCs w:val="false"/>
                <w:color w:val="000000"/>
                <w:sz w:val="18"/>
                <w:szCs w:val="18"/>
              </w:rPr>
              <w:t xml:space="preserve">Orphelines sans usage prévu</w:t>
            </w:r>
          </w:p>
        </w:tc>
        <w:tc>
          <w:tcPr>
            <w:tcW w:type="dxa" w:w="1500"/>
            <w:tcMar>
              <w:top w:type="dxa" w:w="60"/>
              <w:left w:type="dxa" w:w="90"/>
              <w:bottom w:type="dxa" w:w="60"/>
              <w:right w:type="dxa" w:w="90"/>
            </w:tcMar>
            <w:vAlign w:val="center"/>
          </w:tcPr>
          <w:p>
            <w:pPr>
              <w:jc w:val="left"/>
            </w:pPr>
            <w:r>
              <w:rPr>
                <w:b w:val="false"/>
                <w:bCs w:val="false"/>
                <w:color w:val="000000"/>
                <w:sz w:val="18"/>
                <w:szCs w:val="18"/>
              </w:rPr>
              <w:t xml:space="preserve">10</w:t>
            </w:r>
          </w:p>
        </w:tc>
        <w:tc>
          <w:tcPr>
            <w:tcW w:type="dxa" w:w="3300"/>
            <w:tcMar>
              <w:top w:type="dxa" w:w="60"/>
              <w:left w:type="dxa" w:w="90"/>
              <w:bottom w:type="dxa" w:w="60"/>
              <w:right w:type="dxa" w:w="90"/>
            </w:tcMar>
            <w:vAlign w:val="center"/>
          </w:tcPr>
          <w:p>
            <w:pPr>
              <w:jc w:val="left"/>
            </w:pPr>
            <w:r>
              <w:rPr>
                <w:b w:val="false"/>
                <w:bCs w:val="false"/>
                <w:color w:val="000000"/>
                <w:sz w:val="18"/>
                <w:szCs w:val="18"/>
              </w:rPr>
              <w:t xml:space="preserve">Supprimer, sauf si un usage futur précis est identifié</w:t>
            </w:r>
          </w:p>
        </w:tc>
      </w:tr>
      <w:tr>
        <w:tc>
          <w:tcPr>
            <w:tcW w:type="dxa" w:w="3800"/>
            <w:tcMar>
              <w:top w:type="dxa" w:w="60"/>
              <w:left w:type="dxa" w:w="90"/>
              <w:bottom w:type="dxa" w:w="60"/>
              <w:right w:type="dxa" w:w="90"/>
            </w:tcMar>
            <w:vAlign w:val="center"/>
          </w:tcPr>
          <w:p>
            <w:pPr>
              <w:jc w:val="left"/>
            </w:pPr>
            <w:r>
              <w:rPr>
                <w:b w:val="false"/>
                <w:bCs w:val="false"/>
                <w:color w:val="000000"/>
                <w:sz w:val="18"/>
                <w:szCs w:val="18"/>
              </w:rPr>
              <w:t xml:space="preserve">À conserver (usage futur identifié)</w:t>
            </w:r>
          </w:p>
        </w:tc>
        <w:tc>
          <w:tcPr>
            <w:tcW w:type="dxa" w:w="1500"/>
            <w:tcMar>
              <w:top w:type="dxa" w:w="60"/>
              <w:left w:type="dxa" w:w="90"/>
              <w:bottom w:type="dxa" w:w="60"/>
              <w:right w:type="dxa" w:w="90"/>
            </w:tcMar>
            <w:vAlign w:val="center"/>
          </w:tcPr>
          <w:p>
            <w:pPr>
              <w:jc w:val="left"/>
            </w:pPr>
            <w:r>
              <w:rPr>
                <w:b w:val="false"/>
                <w:bCs w:val="false"/>
                <w:color w:val="000000"/>
                <w:sz w:val="18"/>
                <w:szCs w:val="18"/>
              </w:rPr>
              <w:t xml:space="preserve">1</w:t>
            </w:r>
          </w:p>
        </w:tc>
        <w:tc>
          <w:tcPr>
            <w:tcW w:type="dxa" w:w="3300"/>
            <w:tcMar>
              <w:top w:type="dxa" w:w="60"/>
              <w:left w:type="dxa" w:w="90"/>
              <w:bottom w:type="dxa" w:w="60"/>
              <w:right w:type="dxa" w:w="90"/>
            </w:tcMar>
            <w:vAlign w:val="center"/>
          </w:tcPr>
          <w:p>
            <w:pPr>
              <w:jc w:val="left"/>
            </w:pPr>
            <w:r>
              <w:rPr>
                <w:b w:val="false"/>
                <w:bCs w:val="false"/>
                <w:color w:val="000000"/>
                <w:sz w:val="18"/>
                <w:szCs w:val="18"/>
              </w:rPr>
              <w:t xml:space="preserve">Garder Objectif Profit mensuel, la câbler au blueprint</w:t>
            </w:r>
          </w:p>
        </w:tc>
      </w:tr>
    </w:tbl>
    <w:p>
      <w:pPr>
        <w:pStyle w:val="Heading1"/>
        <w:spacing w:after="200" w:before="400"/>
      </w:pPr>
      <w:r>
        <w:t xml:space="preserve">8. Plan d'action priorisé</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00"/>
        <w:gridCol w:w="6700"/>
        <w:gridCol w:w="2000"/>
      </w:tblGrid>
      <w:tr>
        <w:trPr>
          <w:tblHeader/>
        </w:trPr>
        <w:tc>
          <w:tcPr>
            <w:tcW w:type="dxa" w:w="900"/>
            <w:shd w:fill="1F3864" w:val="clear"/>
            <w:tcMar>
              <w:top w:type="dxa" w:w="60"/>
              <w:left w:type="dxa" w:w="90"/>
              <w:bottom w:type="dxa" w:w="60"/>
              <w:right w:type="dxa" w:w="90"/>
            </w:tcMar>
            <w:vAlign w:val="center"/>
          </w:tcPr>
          <w:p>
            <w:pPr>
              <w:jc w:val="left"/>
            </w:pPr>
            <w:r>
              <w:rPr>
                <w:b/>
                <w:bCs/>
                <w:color w:val="FFFFFF"/>
                <w:sz w:val="18"/>
                <w:szCs w:val="18"/>
              </w:rPr>
              <w:t xml:space="preserve">Ordre</w:t>
            </w:r>
          </w:p>
        </w:tc>
        <w:tc>
          <w:tcPr>
            <w:tcW w:type="dxa" w:w="6700"/>
            <w:shd w:fill="1F3864" w:val="clear"/>
            <w:tcMar>
              <w:top w:type="dxa" w:w="60"/>
              <w:left w:type="dxa" w:w="90"/>
              <w:bottom w:type="dxa" w:w="60"/>
              <w:right w:type="dxa" w:w="90"/>
            </w:tcMar>
            <w:vAlign w:val="center"/>
          </w:tcPr>
          <w:p>
            <w:pPr>
              <w:jc w:val="left"/>
            </w:pPr>
            <w:r>
              <w:rPr>
                <w:b/>
                <w:bCs/>
                <w:color w:val="FFFFFF"/>
                <w:sz w:val="18"/>
                <w:szCs w:val="18"/>
              </w:rPr>
              <w:t xml:space="preserve">Action</w:t>
            </w:r>
          </w:p>
        </w:tc>
        <w:tc>
          <w:tcPr>
            <w:tcW w:type="dxa" w:w="2000"/>
            <w:shd w:fill="1F3864" w:val="clear"/>
            <w:tcMar>
              <w:top w:type="dxa" w:w="60"/>
              <w:left w:type="dxa" w:w="90"/>
              <w:bottom w:type="dxa" w:w="60"/>
              <w:right w:type="dxa" w:w="90"/>
            </w:tcMar>
            <w:vAlign w:val="center"/>
          </w:tcPr>
          <w:p>
            <w:pPr>
              <w:jc w:val="left"/>
            </w:pPr>
            <w:r>
              <w:rPr>
                <w:b/>
                <w:bCs/>
                <w:color w:val="FFFFFF"/>
                <w:sz w:val="18"/>
                <w:szCs w:val="18"/>
              </w:rPr>
              <w:t xml:space="preserve">Où</w:t>
            </w:r>
          </w:p>
        </w:tc>
      </w:tr>
      <w:tr>
        <w:tc>
          <w:tcPr>
            <w:tcW w:type="dxa" w:w="900"/>
            <w:tcMar>
              <w:top w:type="dxa" w:w="60"/>
              <w:left w:type="dxa" w:w="90"/>
              <w:bottom w:type="dxa" w:w="60"/>
              <w:right w:type="dxa" w:w="90"/>
            </w:tcMar>
            <w:vAlign w:val="center"/>
          </w:tcPr>
          <w:p>
            <w:pPr>
              <w:jc w:val="left"/>
            </w:pPr>
            <w:r>
              <w:rPr>
                <w:b w:val="false"/>
                <w:bCs w:val="false"/>
                <w:color w:val="000000"/>
                <w:sz w:val="18"/>
                <w:szCs w:val="18"/>
              </w:rPr>
              <w:t xml:space="preserve">1</w:t>
            </w:r>
          </w:p>
        </w:tc>
        <w:tc>
          <w:tcPr>
            <w:tcW w:type="dxa" w:w="6700"/>
            <w:tcMar>
              <w:top w:type="dxa" w:w="60"/>
              <w:left w:type="dxa" w:w="90"/>
              <w:bottom w:type="dxa" w:w="60"/>
              <w:right w:type="dxa" w:w="90"/>
            </w:tcMar>
            <w:vAlign w:val="center"/>
          </w:tcPr>
          <w:p>
            <w:pPr>
              <w:jc w:val="left"/>
            </w:pPr>
            <w:r>
              <w:rPr>
                <w:b w:val="false"/>
                <w:bCs w:val="false"/>
                <w:color w:val="000000"/>
                <w:sz w:val="18"/>
                <w:szCs w:val="18"/>
              </w:rPr>
              <w:t xml:space="preserve">Corriger [Taux de croissance] : remplacer DIVIDE(x,0) par DIVIDE(x,Ventes2013,0). Ceci répare automatiquement 4 mesures de prévision 2015.</w:t>
            </w:r>
          </w:p>
        </w:tc>
        <w:tc>
          <w:tcPr>
            <w:tcW w:type="dxa" w:w="2000"/>
            <w:tcMar>
              <w:top w:type="dxa" w:w="60"/>
              <w:left w:type="dxa" w:w="90"/>
              <w:bottom w:type="dxa" w:w="60"/>
              <w:right w:type="dxa" w:w="90"/>
            </w:tcMar>
            <w:vAlign w:val="center"/>
          </w:tcPr>
          <w:p>
            <w:pPr>
              <w:jc w:val="left"/>
            </w:pPr>
            <w:r>
              <w:rPr>
                <w:b w:val="false"/>
                <w:bCs w:val="false"/>
                <w:color w:val="000000"/>
                <w:sz w:val="18"/>
                <w:szCs w:val="18"/>
              </w:rPr>
              <w:t xml:space="preserve">DAX</w:t>
            </w:r>
          </w:p>
        </w:tc>
      </w:tr>
      <w:tr>
        <w:tc>
          <w:tcPr>
            <w:tcW w:type="dxa" w:w="900"/>
            <w:tcMar>
              <w:top w:type="dxa" w:w="60"/>
              <w:left w:type="dxa" w:w="90"/>
              <w:bottom w:type="dxa" w:w="60"/>
              <w:right w:type="dxa" w:w="90"/>
            </w:tcMar>
            <w:vAlign w:val="center"/>
          </w:tcPr>
          <w:p>
            <w:pPr>
              <w:jc w:val="left"/>
            </w:pPr>
            <w:r>
              <w:rPr>
                <w:b w:val="false"/>
                <w:bCs w:val="false"/>
                <w:color w:val="000000"/>
                <w:sz w:val="18"/>
                <w:szCs w:val="18"/>
              </w:rPr>
              <w:t xml:space="preserve">2</w:t>
            </w:r>
          </w:p>
        </w:tc>
        <w:tc>
          <w:tcPr>
            <w:tcW w:type="dxa" w:w="6700"/>
            <w:tcMar>
              <w:top w:type="dxa" w:w="60"/>
              <w:left w:type="dxa" w:w="90"/>
              <w:bottom w:type="dxa" w:w="60"/>
              <w:right w:type="dxa" w:w="90"/>
            </w:tcMar>
            <w:vAlign w:val="center"/>
          </w:tcPr>
          <w:p>
            <w:pPr>
              <w:jc w:val="left"/>
            </w:pPr>
            <w:r>
              <w:rPr>
                <w:b w:val="false"/>
                <w:bCs w:val="false"/>
                <w:color w:val="000000"/>
                <w:sz w:val="18"/>
                <w:szCs w:val="18"/>
              </w:rPr>
              <w:t xml:space="preserve">Vérifier/corriger [Total de  Vente] : tester un visuel Année × Total de Vente ; retirer ALL(Année) si le bug est confirmé.</w:t>
            </w:r>
          </w:p>
        </w:tc>
        <w:tc>
          <w:tcPr>
            <w:tcW w:type="dxa" w:w="2000"/>
            <w:tcMar>
              <w:top w:type="dxa" w:w="60"/>
              <w:left w:type="dxa" w:w="90"/>
              <w:bottom w:type="dxa" w:w="60"/>
              <w:right w:type="dxa" w:w="90"/>
            </w:tcMar>
            <w:vAlign w:val="center"/>
          </w:tcPr>
          <w:p>
            <w:pPr>
              <w:jc w:val="left"/>
            </w:pPr>
            <w:r>
              <w:rPr>
                <w:b w:val="false"/>
                <w:bCs w:val="false"/>
                <w:color w:val="000000"/>
                <w:sz w:val="18"/>
                <w:szCs w:val="18"/>
              </w:rPr>
              <w:t xml:space="preserve">DAX</w:t>
            </w:r>
          </w:p>
        </w:tc>
      </w:tr>
      <w:tr>
        <w:tc>
          <w:tcPr>
            <w:tcW w:type="dxa" w:w="900"/>
            <w:tcMar>
              <w:top w:type="dxa" w:w="60"/>
              <w:left w:type="dxa" w:w="90"/>
              <w:bottom w:type="dxa" w:w="60"/>
              <w:right w:type="dxa" w:w="90"/>
            </w:tcMar>
            <w:vAlign w:val="center"/>
          </w:tcPr>
          <w:p>
            <w:pPr>
              <w:jc w:val="left"/>
            </w:pPr>
            <w:r>
              <w:rPr>
                <w:b w:val="false"/>
                <w:bCs w:val="false"/>
                <w:color w:val="000000"/>
                <w:sz w:val="18"/>
                <w:szCs w:val="18"/>
              </w:rPr>
              <w:t xml:space="preserve">3</w:t>
            </w:r>
          </w:p>
        </w:tc>
        <w:tc>
          <w:tcPr>
            <w:tcW w:type="dxa" w:w="6700"/>
            <w:tcMar>
              <w:top w:type="dxa" w:w="60"/>
              <w:left w:type="dxa" w:w="90"/>
              <w:bottom w:type="dxa" w:w="60"/>
              <w:right w:type="dxa" w:w="90"/>
            </w:tcMar>
            <w:vAlign w:val="center"/>
          </w:tcPr>
          <w:p>
            <w:pPr>
              <w:jc w:val="left"/>
            </w:pPr>
            <w:r>
              <w:rPr>
                <w:b w:val="false"/>
                <w:bCs w:val="false"/>
                <w:color w:val="000000"/>
                <w:sz w:val="18"/>
                <w:szCs w:val="18"/>
              </w:rPr>
              <w:t xml:space="preserve">Corriger [Predictions Ventes 2015 par Pays] : YEAR(...)=2014 → 2013 sur la variable Ventes2013Pays.</w:t>
            </w:r>
          </w:p>
        </w:tc>
        <w:tc>
          <w:tcPr>
            <w:tcW w:type="dxa" w:w="2000"/>
            <w:tcMar>
              <w:top w:type="dxa" w:w="60"/>
              <w:left w:type="dxa" w:w="90"/>
              <w:bottom w:type="dxa" w:w="60"/>
              <w:right w:type="dxa" w:w="90"/>
            </w:tcMar>
            <w:vAlign w:val="center"/>
          </w:tcPr>
          <w:p>
            <w:pPr>
              <w:jc w:val="left"/>
            </w:pPr>
            <w:r>
              <w:rPr>
                <w:b w:val="false"/>
                <w:bCs w:val="false"/>
                <w:color w:val="000000"/>
                <w:sz w:val="18"/>
                <w:szCs w:val="18"/>
              </w:rPr>
              <w:t xml:space="preserve">DAX</w:t>
            </w:r>
          </w:p>
        </w:tc>
      </w:tr>
      <w:tr>
        <w:tc>
          <w:tcPr>
            <w:tcW w:type="dxa" w:w="900"/>
            <w:tcMar>
              <w:top w:type="dxa" w:w="60"/>
              <w:left w:type="dxa" w:w="90"/>
              <w:bottom w:type="dxa" w:w="60"/>
              <w:right w:type="dxa" w:w="90"/>
            </w:tcMar>
            <w:vAlign w:val="center"/>
          </w:tcPr>
          <w:p>
            <w:pPr>
              <w:jc w:val="left"/>
            </w:pPr>
            <w:r>
              <w:rPr>
                <w:b w:val="false"/>
                <w:bCs w:val="false"/>
                <w:color w:val="000000"/>
                <w:sz w:val="18"/>
                <w:szCs w:val="18"/>
              </w:rPr>
              <w:t xml:space="preserve">4</w:t>
            </w:r>
          </w:p>
        </w:tc>
        <w:tc>
          <w:tcPr>
            <w:tcW w:type="dxa" w:w="6700"/>
            <w:tcMar>
              <w:top w:type="dxa" w:w="60"/>
              <w:left w:type="dxa" w:w="90"/>
              <w:bottom w:type="dxa" w:w="60"/>
              <w:right w:type="dxa" w:w="90"/>
            </w:tcMar>
            <w:vAlign w:val="center"/>
          </w:tcPr>
          <w:p>
            <w:pPr>
              <w:jc w:val="left"/>
            </w:pPr>
            <w:r>
              <w:rPr>
                <w:b w:val="false"/>
                <w:bCs w:val="false"/>
                <w:color w:val="000000"/>
                <w:sz w:val="18"/>
                <w:szCs w:val="18"/>
              </w:rPr>
              <w:t xml:space="preserve">Corriger les 6 bugs de la section 2 (Ecart Profit vs Objectif, Panier Moyen, couleurs, format, valeur de repli texte, Marge de securité).</w:t>
            </w:r>
          </w:p>
        </w:tc>
        <w:tc>
          <w:tcPr>
            <w:tcW w:type="dxa" w:w="2000"/>
            <w:tcMar>
              <w:top w:type="dxa" w:w="60"/>
              <w:left w:type="dxa" w:w="90"/>
              <w:bottom w:type="dxa" w:w="60"/>
              <w:right w:type="dxa" w:w="90"/>
            </w:tcMar>
            <w:vAlign w:val="center"/>
          </w:tcPr>
          <w:p>
            <w:pPr>
              <w:jc w:val="left"/>
            </w:pPr>
            <w:r>
              <w:rPr>
                <w:b w:val="false"/>
                <w:bCs w:val="false"/>
                <w:color w:val="000000"/>
                <w:sz w:val="18"/>
                <w:szCs w:val="18"/>
              </w:rPr>
              <w:t xml:space="preserve">DAX</w:t>
            </w:r>
          </w:p>
        </w:tc>
      </w:tr>
      <w:tr>
        <w:tc>
          <w:tcPr>
            <w:tcW w:type="dxa" w:w="900"/>
            <w:tcMar>
              <w:top w:type="dxa" w:w="60"/>
              <w:left w:type="dxa" w:w="90"/>
              <w:bottom w:type="dxa" w:w="60"/>
              <w:right w:type="dxa" w:w="90"/>
            </w:tcMar>
            <w:vAlign w:val="center"/>
          </w:tcPr>
          <w:p>
            <w:pPr>
              <w:jc w:val="left"/>
            </w:pPr>
            <w:r>
              <w:rPr>
                <w:b w:val="false"/>
                <w:bCs w:val="false"/>
                <w:color w:val="000000"/>
                <w:sz w:val="18"/>
                <w:szCs w:val="18"/>
              </w:rPr>
              <w:t xml:space="preserve">5</w:t>
            </w:r>
          </w:p>
        </w:tc>
        <w:tc>
          <w:tcPr>
            <w:tcW w:type="dxa" w:w="6700"/>
            <w:tcMar>
              <w:top w:type="dxa" w:w="60"/>
              <w:left w:type="dxa" w:w="90"/>
              <w:bottom w:type="dxa" w:w="60"/>
              <w:right w:type="dxa" w:w="90"/>
            </w:tcMar>
            <w:vAlign w:val="center"/>
          </w:tcPr>
          <w:p>
            <w:pPr>
              <w:jc w:val="left"/>
            </w:pPr>
            <w:r>
              <w:rPr>
                <w:b w:val="false"/>
                <w:bCs w:val="false"/>
                <w:color w:val="000000"/>
                <w:sz w:val="18"/>
                <w:szCs w:val="18"/>
              </w:rPr>
              <w:t xml:space="preserve">Corriger le code Power Query M (traduction Pays, "Secteur Pulic", "Élévé", étapes inutiles).</w:t>
            </w:r>
          </w:p>
        </w:tc>
        <w:tc>
          <w:tcPr>
            <w:tcW w:type="dxa" w:w="2000"/>
            <w:tcMar>
              <w:top w:type="dxa" w:w="60"/>
              <w:left w:type="dxa" w:w="90"/>
              <w:bottom w:type="dxa" w:w="60"/>
              <w:right w:type="dxa" w:w="90"/>
            </w:tcMar>
            <w:vAlign w:val="center"/>
          </w:tcPr>
          <w:p>
            <w:pPr>
              <w:jc w:val="left"/>
            </w:pPr>
            <w:r>
              <w:rPr>
                <w:b w:val="false"/>
                <w:bCs w:val="false"/>
                <w:color w:val="000000"/>
                <w:sz w:val="18"/>
                <w:szCs w:val="18"/>
              </w:rPr>
              <w:t xml:space="preserve">Power Query</w:t>
            </w:r>
          </w:p>
        </w:tc>
      </w:tr>
      <w:tr>
        <w:tc>
          <w:tcPr>
            <w:tcW w:type="dxa" w:w="900"/>
            <w:tcMar>
              <w:top w:type="dxa" w:w="60"/>
              <w:left w:type="dxa" w:w="90"/>
              <w:bottom w:type="dxa" w:w="60"/>
              <w:right w:type="dxa" w:w="90"/>
            </w:tcMar>
            <w:vAlign w:val="center"/>
          </w:tcPr>
          <w:p>
            <w:pPr>
              <w:jc w:val="left"/>
            </w:pPr>
            <w:r>
              <w:rPr>
                <w:b w:val="false"/>
                <w:bCs w:val="false"/>
                <w:color w:val="000000"/>
                <w:sz w:val="18"/>
                <w:szCs w:val="18"/>
              </w:rPr>
              <w:t xml:space="preserve">6</w:t>
            </w:r>
          </w:p>
        </w:tc>
        <w:tc>
          <w:tcPr>
            <w:tcW w:type="dxa" w:w="6700"/>
            <w:tcMar>
              <w:top w:type="dxa" w:w="60"/>
              <w:left w:type="dxa" w:w="90"/>
              <w:bottom w:type="dxa" w:w="60"/>
              <w:right w:type="dxa" w:w="90"/>
            </w:tcMar>
            <w:vAlign w:val="center"/>
          </w:tcPr>
          <w:p>
            <w:pPr>
              <w:jc w:val="left"/>
            </w:pPr>
            <w:r>
              <w:rPr>
                <w:b w:val="false"/>
                <w:bCs w:val="false"/>
                <w:color w:val="000000"/>
                <w:sz w:val="18"/>
                <w:szCs w:val="18"/>
              </w:rPr>
              <w:t xml:space="preserve">Supprimer le doublon Objectif Profit 2013 / Profit Reel 2013 ; retirer les 3 mesures "Test…".</w:t>
            </w:r>
          </w:p>
        </w:tc>
        <w:tc>
          <w:tcPr>
            <w:tcW w:type="dxa" w:w="2000"/>
            <w:tcMar>
              <w:top w:type="dxa" w:w="60"/>
              <w:left w:type="dxa" w:w="90"/>
              <w:bottom w:type="dxa" w:w="60"/>
              <w:right w:type="dxa" w:w="90"/>
            </w:tcMar>
            <w:vAlign w:val="center"/>
          </w:tcPr>
          <w:p>
            <w:pPr>
              <w:jc w:val="left"/>
            </w:pPr>
            <w:r>
              <w:rPr>
                <w:b w:val="false"/>
                <w:bCs w:val="false"/>
                <w:color w:val="000000"/>
                <w:sz w:val="18"/>
                <w:szCs w:val="18"/>
              </w:rPr>
              <w:t xml:space="preserve">DAX</w:t>
            </w:r>
          </w:p>
        </w:tc>
      </w:tr>
      <w:tr>
        <w:tc>
          <w:tcPr>
            <w:tcW w:type="dxa" w:w="900"/>
            <w:tcMar>
              <w:top w:type="dxa" w:w="60"/>
              <w:left w:type="dxa" w:w="90"/>
              <w:bottom w:type="dxa" w:w="60"/>
              <w:right w:type="dxa" w:w="90"/>
            </w:tcMar>
            <w:vAlign w:val="center"/>
          </w:tcPr>
          <w:p>
            <w:pPr>
              <w:jc w:val="left"/>
            </w:pPr>
            <w:r>
              <w:rPr>
                <w:b w:val="false"/>
                <w:bCs w:val="false"/>
                <w:color w:val="000000"/>
                <w:sz w:val="18"/>
                <w:szCs w:val="18"/>
              </w:rPr>
              <w:t xml:space="preserve">7</w:t>
            </w:r>
          </w:p>
        </w:tc>
        <w:tc>
          <w:tcPr>
            <w:tcW w:type="dxa" w:w="6700"/>
            <w:tcMar>
              <w:top w:type="dxa" w:w="60"/>
              <w:left w:type="dxa" w:w="90"/>
              <w:bottom w:type="dxa" w:w="60"/>
              <w:right w:type="dxa" w:w="90"/>
            </w:tcMar>
            <w:vAlign w:val="center"/>
          </w:tcPr>
          <w:p>
            <w:pPr>
              <w:jc w:val="left"/>
            </w:pPr>
            <w:r>
              <w:rPr>
                <w:b w:val="false"/>
                <w:bCs w:val="false"/>
                <w:color w:val="000000"/>
                <w:sz w:val="18"/>
                <w:szCs w:val="18"/>
              </w:rPr>
              <w:t xml:space="preserve">Basculer Ventes Cumulees et Depenses cumulees sur la table Calendrier avec un vrai cumul temporel.</w:t>
            </w:r>
          </w:p>
        </w:tc>
        <w:tc>
          <w:tcPr>
            <w:tcW w:type="dxa" w:w="2000"/>
            <w:tcMar>
              <w:top w:type="dxa" w:w="60"/>
              <w:left w:type="dxa" w:w="90"/>
              <w:bottom w:type="dxa" w:w="60"/>
              <w:right w:type="dxa" w:w="90"/>
            </w:tcMar>
            <w:vAlign w:val="center"/>
          </w:tcPr>
          <w:p>
            <w:pPr>
              <w:jc w:val="left"/>
            </w:pPr>
            <w:r>
              <w:rPr>
                <w:b w:val="false"/>
                <w:bCs w:val="false"/>
                <w:color w:val="000000"/>
                <w:sz w:val="18"/>
                <w:szCs w:val="18"/>
              </w:rPr>
              <w:t xml:space="preserve">DAX</w:t>
            </w:r>
          </w:p>
        </w:tc>
      </w:tr>
      <w:tr>
        <w:tc>
          <w:tcPr>
            <w:tcW w:type="dxa" w:w="900"/>
            <w:tcMar>
              <w:top w:type="dxa" w:w="60"/>
              <w:left w:type="dxa" w:w="90"/>
              <w:bottom w:type="dxa" w:w="60"/>
              <w:right w:type="dxa" w:w="90"/>
            </w:tcMar>
            <w:vAlign w:val="center"/>
          </w:tcPr>
          <w:p>
            <w:pPr>
              <w:jc w:val="left"/>
            </w:pPr>
            <w:r>
              <w:rPr>
                <w:b w:val="false"/>
                <w:bCs w:val="false"/>
                <w:color w:val="000000"/>
                <w:sz w:val="18"/>
                <w:szCs w:val="18"/>
              </w:rPr>
              <w:t xml:space="preserve">8</w:t>
            </w:r>
          </w:p>
        </w:tc>
        <w:tc>
          <w:tcPr>
            <w:tcW w:type="dxa" w:w="6700"/>
            <w:tcMar>
              <w:top w:type="dxa" w:w="60"/>
              <w:left w:type="dxa" w:w="90"/>
              <w:bottom w:type="dxa" w:w="60"/>
              <w:right w:type="dxa" w:w="90"/>
            </w:tcMar>
            <w:vAlign w:val="center"/>
          </w:tcPr>
          <w:p>
            <w:pPr>
              <w:jc w:val="left"/>
            </w:pPr>
            <w:r>
              <w:rPr>
                <w:b w:val="false"/>
                <w:bCs w:val="false"/>
                <w:color w:val="000000"/>
                <w:sz w:val="18"/>
                <w:szCs w:val="18"/>
              </w:rPr>
              <w:t xml:space="preserve">Créer les mesures manquantes de la section 6 (Total Profit, Forecast Change/Growth, YoY mensuel).</w:t>
            </w:r>
          </w:p>
        </w:tc>
        <w:tc>
          <w:tcPr>
            <w:tcW w:type="dxa" w:w="2000"/>
            <w:tcMar>
              <w:top w:type="dxa" w:w="60"/>
              <w:left w:type="dxa" w:w="90"/>
              <w:bottom w:type="dxa" w:w="60"/>
              <w:right w:type="dxa" w:w="90"/>
            </w:tcMar>
            <w:vAlign w:val="center"/>
          </w:tcPr>
          <w:p>
            <w:pPr>
              <w:jc w:val="left"/>
            </w:pPr>
            <w:r>
              <w:rPr>
                <w:b w:val="false"/>
                <w:bCs w:val="false"/>
                <w:color w:val="000000"/>
                <w:sz w:val="18"/>
                <w:szCs w:val="18"/>
              </w:rPr>
              <w:t xml:space="preserve">DAX</w:t>
            </w:r>
          </w:p>
        </w:tc>
      </w:tr>
      <w:tr>
        <w:tc>
          <w:tcPr>
            <w:tcW w:type="dxa" w:w="900"/>
            <w:tcMar>
              <w:top w:type="dxa" w:w="60"/>
              <w:left w:type="dxa" w:w="90"/>
              <w:bottom w:type="dxa" w:w="60"/>
              <w:right w:type="dxa" w:w="90"/>
            </w:tcMar>
            <w:vAlign w:val="center"/>
          </w:tcPr>
          <w:p>
            <w:pPr>
              <w:jc w:val="left"/>
            </w:pPr>
            <w:r>
              <w:rPr>
                <w:b w:val="false"/>
                <w:bCs w:val="false"/>
                <w:color w:val="000000"/>
                <w:sz w:val="18"/>
                <w:szCs w:val="18"/>
              </w:rPr>
              <w:t xml:space="preserve">9</w:t>
            </w:r>
          </w:p>
        </w:tc>
        <w:tc>
          <w:tcPr>
            <w:tcW w:type="dxa" w:w="6700"/>
            <w:tcMar>
              <w:top w:type="dxa" w:w="60"/>
              <w:left w:type="dxa" w:w="90"/>
              <w:bottom w:type="dxa" w:w="60"/>
              <w:right w:type="dxa" w:w="90"/>
            </w:tcMar>
            <w:vAlign w:val="center"/>
          </w:tcPr>
          <w:p>
            <w:pPr>
              <w:jc w:val="left"/>
            </w:pPr>
            <w:r>
              <w:rPr>
                <w:b w:val="false"/>
                <w:bCs w:val="false"/>
                <w:color w:val="000000"/>
                <w:sz w:val="18"/>
                <w:szCs w:val="18"/>
              </w:rPr>
              <w:t xml:space="preserve">Organiser les mesures en dossiers d'affichage ; masquer les mesures techniques (Couleur…, Titre…).</w:t>
            </w:r>
          </w:p>
        </w:tc>
        <w:tc>
          <w:tcPr>
            <w:tcW w:type="dxa" w:w="2000"/>
            <w:tcMar>
              <w:top w:type="dxa" w:w="60"/>
              <w:left w:type="dxa" w:w="90"/>
              <w:bottom w:type="dxa" w:w="60"/>
              <w:right w:type="dxa" w:w="90"/>
            </w:tcMar>
            <w:vAlign w:val="center"/>
          </w:tcPr>
          <w:p>
            <w:pPr>
              <w:jc w:val="left"/>
            </w:pPr>
            <w:r>
              <w:rPr>
                <w:b w:val="false"/>
                <w:bCs w:val="false"/>
                <w:color w:val="000000"/>
                <w:sz w:val="18"/>
                <w:szCs w:val="18"/>
              </w:rPr>
              <w:t xml:space="preserve">Vue Modèle</w:t>
            </w:r>
          </w:p>
        </w:tc>
      </w:tr>
    </w:tbl>
    <w:p>
      <w:pPr>
        <w:pStyle w:val="Heading1"/>
        <w:spacing w:after="200" w:before="400"/>
      </w:pPr>
      <w:r>
        <w:t xml:space="preserve">9. Sources consultées</w:t>
      </w:r>
    </w:p>
    <w:p>
      <w:pPr>
        <w:pStyle w:val="ListParagraph"/>
        <w:numPr>
          <w:ilvl w:val="0"/>
          <w:numId w:val="2"/>
        </w:numPr>
        <w:spacing w:after="80"/>
      </w:pPr>
      <w:r>
        <w:t xml:space="preserve">Microsoft Learn — « DIVIDE function vs divide operator (/) in DAX » et page de référence DIVIDE, learn.microsoft.com.</w:t>
      </w:r>
    </w:p>
    <w:p>
      <w:pPr>
        <w:pStyle w:val="ListParagraph"/>
        <w:numPr>
          <w:ilvl w:val="0"/>
          <w:numId w:val="2"/>
        </w:numPr>
        <w:spacing w:after="80"/>
      </w:pPr>
      <w:r>
        <w:t xml:space="preserve">SQLBI (Marco Russo, Alberto Ferrari) — « Calculated Columns and Measures in DAX », « DIVIDE vs division operator », sqlbi.com.</w:t>
      </w:r>
    </w:p>
    <w:p>
      <w:pPr>
        <w:pStyle w:val="ListParagraph"/>
        <w:numPr>
          <w:ilvl w:val="0"/>
          <w:numId w:val="2"/>
        </w:numPr>
        <w:spacing w:after="80"/>
      </w:pPr>
      <w:r>
        <w:t xml:space="preserve">Microsoft Learn — « Model relationships in Power BI Desktop » (tables de dates, tables déconnectées, sens de filtrage).</w:t>
      </w:r>
    </w:p>
    <w:p>
      <w:pPr>
        <w:pStyle w:val="ListParagraph"/>
        <w:numPr>
          <w:ilvl w:val="0"/>
          <w:numId w:val="2"/>
        </w:numPr>
        <w:spacing w:after="80"/>
      </w:pPr>
      <w:r>
        <w:t xml:space="preserve">Klipfolio, Wall Street Prep — définitions standard de marge brute, seuil de rentabilité et marge de sécurité en analyse financière.</w:t>
      </w:r>
    </w:p>
    <w:p>
      <w:pPr>
        <w:pStyle w:val="ListParagraph"/>
        <w:numPr>
          <w:ilvl w:val="0"/>
          <w:numId w:val="2"/>
        </w:numPr>
        <w:spacing w:after="80"/>
      </w:pPr>
      <w:r>
        <w:t xml:space="preserve">DAX Guide (dax.guide) — sémantique de DIVIDE, FORMAT et TOPN.</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8" w:space="4"/>
      </w:pBdr>
      <w:spacing w:after="200" w:before="400"/>
    </w:pPr>
    <w:rPr>
      <w:rFonts w:ascii="Calibri" w:cs="Calibri" w:eastAsia="Calibri" w:hAnsi="Calibri"/>
      <w:b/>
      <w:bCs/>
      <w:color w:val="1F3864"/>
      <w:sz w:val="32"/>
      <w:szCs w:val="32"/>
    </w:rPr>
  </w:style>
  <w:style w:type="paragraph" w:styleId="Heading2">
    <w:name w:val="Heading 2"/>
    <w:basedOn w:val="Normal"/>
    <w:next w:val="Normal"/>
    <w:qFormat/>
    <w:pPr>
      <w:spacing w:after="150" w:before="300"/>
    </w:pPr>
    <w:rPr>
      <w:rFonts w:ascii="Calibri" w:cs="Calibri" w:eastAsia="Calibri" w:hAnsi="Calibri"/>
      <w:b/>
      <w:bCs/>
      <w:color w:val="1F3864"/>
      <w:sz w:val="26"/>
      <w:szCs w:val="26"/>
    </w:rPr>
  </w:style>
  <w:style w:type="paragraph" w:styleId="Heading3">
    <w:name w:val="Heading 3"/>
    <w:basedOn w:val="Normal"/>
    <w:next w:val="Normal"/>
    <w:qFormat/>
    <w:pPr>
      <w:spacing w:after="100" w:before="200"/>
    </w:pPr>
    <w:rPr>
      <w:rFonts w:ascii="Calibri" w:cs="Calibri" w:eastAsia="Calibri" w:hAnsi="Calibri"/>
      <w:b/>
      <w:bCs/>
      <w:color w:val="2E539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2026-08-10T02:38:35.608Z</dcterms:created>
  <dcterms:modified xsi:type="dcterms:W3CDTF">2026-08-10T02:38:35.615Z</dcterms:modified>
</cp:coreProperties>
</file>

<file path=docProps/custom.xml><?xml version="1.0" encoding="utf-8"?>
<Properties xmlns="http://schemas.openxmlformats.org/officeDocument/2006/custom-properties" xmlns:vt="http://schemas.openxmlformats.org/officeDocument/2006/docPropsVTypes"/>
</file>