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40" w:before="0"/>
        <w:jc w:val="center"/>
      </w:pPr>
      <w:r>
        <w:rPr>
          <w:rFonts w:ascii="Arial" w:cs="Arial" w:eastAsia="Arial" w:hAnsi="Arial"/>
          <w:b/>
          <w:bCs/>
          <w:color w:val="FFFFFF"/>
          <w:sz w:val="32"/>
          <w:szCs w:val="32"/>
        </w:rPr>
        <w:t xml:space="preserve">TECHNICAL PEER REVIEW</w:t>
      </w:r>
    </w:p>
    <w:p>
      <w:pPr>
        <w:shd w:fill="1B3A6B" w:val="clear"/>
        <w:spacing w:after="40" w:before="0"/>
        <w:jc w:val="center"/>
      </w:pPr>
      <w:r>
        <w:rPr>
          <w:rFonts w:ascii="Arial" w:cs="Arial" w:eastAsia="Arial" w:hAnsi="Arial"/>
          <w:b w:val="false"/>
          <w:bCs w:val="false"/>
          <w:color w:val="A8C4E8"/>
          <w:sz w:val="24"/>
          <w:szCs w:val="24"/>
        </w:rPr>
        <w:t xml:space="preserve">TaViT V3.2 &amp; VOCEG — Treatment-Aware Tumour Trajectory Prediction</w:t>
      </w:r>
    </w:p>
    <w:p>
      <w:pPr>
        <w:shd w:fill="1B3A6B" w:val="clear"/>
        <w:spacing w:after="200" w:before="0"/>
        <w:jc w:val="center"/>
      </w:pPr>
      <w:r>
        <w:rPr>
          <w:rFonts w:ascii="Arial" w:cs="Arial" w:eastAsia="Arial" w:hAnsi="Arial"/>
          <w:i/>
          <w:iCs/>
          <w:color w:val="C8D8F0"/>
          <w:sz w:val="20"/>
          <w:szCs w:val="20"/>
        </w:rPr>
        <w:t xml:space="preserve">Glioma MRI Longitudinal Modelling  |  May 2026</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F4F6FA" w:val="clear"/>
            <w:tcMar>
              <w:top w:type="dxa" w:w="160"/>
              <w:left w:type="dxa" w:w="200"/>
              <w:bottom w:type="dxa" w:w="160"/>
              <w:right w:type="dxa" w:w="200"/>
            </w:tcMar>
          </w:tcPr>
          <w:p>
            <w:pPr>
              <w:spacing w:after="80" w:before="0"/>
            </w:pPr>
            <w:r>
              <w:rPr>
                <w:rFonts w:ascii="Arial" w:cs="Arial" w:eastAsia="Arial" w:hAnsi="Arial"/>
                <w:b/>
                <w:bCs/>
                <w:color w:val="1B3A6B"/>
                <w:sz w:val="20"/>
                <w:szCs w:val="20"/>
              </w:rPr>
              <w:t xml:space="preserve">EXECUTIVE SUMMARY</w:t>
            </w:r>
          </w:p>
          <w:p>
            <w:pPr>
              <w:spacing w:after="80" w:before="80"/>
            </w:pPr>
            <w:r>
              <w:rPr>
                <w:rFonts w:ascii="Arial" w:cs="Arial" w:eastAsia="Arial" w:hAnsi="Arial"/>
                <w:color w:val="1A1A2E"/>
                <w:sz w:val="20"/>
                <w:szCs w:val="20"/>
              </w:rPr>
              <w:t xml:space="preserve">TaViT V3.2 is a </w:t>
            </w:r>
            <w:r>
              <w:rPr>
                <w:rFonts w:ascii="Arial" w:cs="Arial" w:eastAsia="Arial" w:hAnsi="Arial"/>
                <w:b/>
                <w:bCs/>
                <w:color w:val="1A1A2E"/>
                <w:sz w:val="20"/>
                <w:szCs w:val="20"/>
              </w:rPr>
              <w:t xml:space="preserve">3.06M-parameter Treatment-Aware Trajectory Vision Transformer</w:t>
            </w:r>
            <w:r>
              <w:rPr>
                <w:rFonts w:ascii="Arial" w:cs="Arial" w:eastAsia="Arial" w:hAnsi="Arial"/>
                <w:color w:val="1A1A2E"/>
                <w:sz w:val="20"/>
                <w:szCs w:val="20"/>
              </w:rPr>
              <w:t xml:space="preserve"> predicts glioma volumes (WT, TC, ET) from sequential MRI embeddings, conditioned on treatment tokens and molecular markers. The architecture is </w:t>
            </w:r>
            <w:r>
              <w:rPr>
                <w:rFonts w:ascii="Arial" w:cs="Arial" w:eastAsia="Arial" w:hAnsi="Arial"/>
                <w:b/>
                <w:bCs/>
                <w:color w:val="1A1A2E"/>
                <w:sz w:val="20"/>
                <w:szCs w:val="20"/>
              </w:rPr>
              <w:t xml:space="preserve">well-grounded in current literature.</w:t>
            </w:r>
            <w:r>
              <w:rPr>
                <w:rFonts w:ascii="Arial" w:cs="Arial" w:eastAsia="Arial" w:hAnsi="Arial"/>
                <w:color w:val="1A1A2E"/>
                <w:sz w:val="20"/>
                <w:szCs w:val="20"/>
              </w:rPr>
              <w:t xml:space="preserve"> Volume-prediction accuracy is strong (WT R2=0.917, TC R2=0.957, ET R2=0.959). However, areas including </w:t>
            </w:r>
            <w:r>
              <w:rPr>
                <w:rFonts w:ascii="Arial" w:cs="Arial" w:eastAsia="Arial" w:hAnsi="Arial"/>
                <w:b/>
                <w:bCs/>
                <w:color w:val="1A1A2E"/>
                <w:sz w:val="20"/>
                <w:szCs w:val="20"/>
              </w:rPr>
              <w:t xml:space="preserve">dataset scale, trajectory classification fidelity, uncertainty quantification, and VOCEG causal validity</w:t>
            </w:r>
            <w:r>
              <w:rPr>
                <w:rFonts w:ascii="Arial" w:cs="Arial" w:eastAsia="Arial" w:hAnsi="Arial"/>
                <w:color w:val="1A1A2E"/>
                <w:sz w:val="20"/>
                <w:szCs w:val="20"/>
              </w:rPr>
              <w:t xml:space="preserve"> require attention before clinical or publication-grade robustness can be claimed.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E3" w:sz="1"/>
              <w:left w:val="single" w:color="D0D7E3" w:sz="1"/>
              <w:bottom w:val="single" w:color="D0D7E3" w:sz="1"/>
              <w:right w:val="single" w:color="D0D7E3" w:sz="1"/>
            </w:tcBorders>
            <w:shd w:fill="1A6B3A" w:val="clear"/>
            <w:tcMar>
              <w:top w:type="dxa" w:w="120"/>
              <w:left w:type="dxa" w:w="160"/>
              <w:bottom w:type="dxa" w:w="120"/>
              <w:right w:type="dxa" w:w="160"/>
            </w:tcMar>
          </w:tcPr>
          <w:p>
            <w:pPr>
              <w:spacing w:after="40" w:before="0"/>
              <w:jc w:val="center"/>
            </w:pPr>
            <w:r>
              <w:rPr>
                <w:rFonts w:ascii="Arial" w:cs="Arial" w:eastAsia="Arial" w:hAnsi="Arial"/>
                <w:b/>
                <w:bCs/>
                <w:color w:val="FFFFFF"/>
                <w:sz w:val="18"/>
                <w:szCs w:val="18"/>
              </w:rPr>
              <w:t xml:space="preserve">Architecture</w:t>
            </w:r>
          </w:p>
          <w:p>
            <w:pPr>
              <w:spacing w:after="0" w:before="0"/>
              <w:jc w:val="center"/>
            </w:pPr>
            <w:r>
              <w:rPr>
                <w:rFonts w:ascii="Arial" w:cs="Arial" w:eastAsia="Arial" w:hAnsi="Arial"/>
                <w:b/>
                <w:bCs/>
                <w:color w:val="FFFFFF"/>
                <w:sz w:val="22"/>
                <w:szCs w:val="22"/>
              </w:rPr>
              <w:t xml:space="preserve">✓  Strong</w:t>
            </w:r>
          </w:p>
        </w:tc>
        <w:tc>
          <w:tcPr>
            <w:tcW w:type="dxa" w:w="3120"/>
            <w:tcBorders>
              <w:top w:val="single" w:color="D0D7E3" w:sz="1"/>
              <w:left w:val="single" w:color="D0D7E3" w:sz="1"/>
              <w:bottom w:val="single" w:color="D0D7E3" w:sz="1"/>
              <w:right w:val="single" w:color="D0D7E3" w:sz="1"/>
            </w:tcBorders>
            <w:shd w:fill="1A6B3A" w:val="clear"/>
            <w:tcMar>
              <w:top w:type="dxa" w:w="120"/>
              <w:left w:type="dxa" w:w="160"/>
              <w:bottom w:type="dxa" w:w="120"/>
              <w:right w:type="dxa" w:w="160"/>
            </w:tcMar>
          </w:tcPr>
          <w:p>
            <w:pPr>
              <w:spacing w:after="40" w:before="0"/>
              <w:jc w:val="center"/>
            </w:pPr>
            <w:r>
              <w:rPr>
                <w:rFonts w:ascii="Arial" w:cs="Arial" w:eastAsia="Arial" w:hAnsi="Arial"/>
                <w:b/>
                <w:bCs/>
                <w:color w:val="FFFFFF"/>
                <w:sz w:val="18"/>
                <w:szCs w:val="18"/>
              </w:rPr>
              <w:t xml:space="preserve">Results (Volume)</w:t>
            </w:r>
          </w:p>
          <w:p>
            <w:pPr>
              <w:spacing w:after="0" w:before="0"/>
              <w:jc w:val="center"/>
            </w:pPr>
            <w:r>
              <w:rPr>
                <w:rFonts w:ascii="Arial" w:cs="Arial" w:eastAsia="Arial" w:hAnsi="Arial"/>
                <w:b/>
                <w:bCs/>
                <w:color w:val="FFFFFF"/>
                <w:sz w:val="22"/>
                <w:szCs w:val="22"/>
              </w:rPr>
              <w:t xml:space="preserve">✓  Strong</w:t>
            </w:r>
          </w:p>
        </w:tc>
        <w:tc>
          <w:tcPr>
            <w:tcW w:type="dxa" w:w="3120"/>
            <w:tcBorders>
              <w:top w:val="single" w:color="D0D7E3" w:sz="1"/>
              <w:left w:val="single" w:color="D0D7E3" w:sz="1"/>
              <w:bottom w:val="single" w:color="D0D7E3" w:sz="1"/>
              <w:right w:val="single" w:color="D0D7E3" w:sz="1"/>
            </w:tcBorders>
            <w:shd w:fill="7B4F00" w:val="clear"/>
            <w:tcMar>
              <w:top w:type="dxa" w:w="120"/>
              <w:left w:type="dxa" w:w="160"/>
              <w:bottom w:type="dxa" w:w="120"/>
              <w:right w:type="dxa" w:w="160"/>
            </w:tcMar>
          </w:tcPr>
          <w:p>
            <w:pPr>
              <w:spacing w:after="40" w:before="0"/>
              <w:jc w:val="center"/>
            </w:pPr>
            <w:r>
              <w:rPr>
                <w:rFonts w:ascii="Arial" w:cs="Arial" w:eastAsia="Arial" w:hAnsi="Arial"/>
                <w:b/>
                <w:bCs/>
                <w:color w:val="FFFFFF"/>
                <w:sz w:val="18"/>
                <w:szCs w:val="18"/>
              </w:rPr>
              <w:t xml:space="preserve">Trajectory Cls.</w:t>
            </w:r>
          </w:p>
          <w:p>
            <w:pPr>
              <w:spacing w:after="0" w:before="0"/>
              <w:jc w:val="center"/>
            </w:pPr>
            <w:r>
              <w:rPr>
                <w:rFonts w:ascii="Arial" w:cs="Arial" w:eastAsia="Arial" w:hAnsi="Arial"/>
                <w:b/>
                <w:bCs/>
                <w:color w:val="FFFFFF"/>
                <w:sz w:val="22"/>
                <w:szCs w:val="22"/>
              </w:rPr>
              <w:t xml:space="preserve">△  Needs Work</w:t>
            </w:r>
          </w:p>
        </w:tc>
      </w:tr>
      <w:tr>
        <w:tc>
          <w:tcPr>
            <w:tcW w:type="dxa" w:w="3120"/>
            <w:tcBorders>
              <w:top w:val="single" w:color="D0D7E3" w:sz="1"/>
              <w:left w:val="single" w:color="D0D7E3" w:sz="1"/>
              <w:bottom w:val="single" w:color="D0D7E3" w:sz="1"/>
              <w:right w:val="single" w:color="D0D7E3" w:sz="1"/>
            </w:tcBorders>
            <w:shd w:fill="6B1A1A" w:val="clear"/>
            <w:tcMar>
              <w:top w:type="dxa" w:w="120"/>
              <w:left w:type="dxa" w:w="160"/>
              <w:bottom w:type="dxa" w:w="120"/>
              <w:right w:type="dxa" w:w="160"/>
            </w:tcMar>
          </w:tcPr>
          <w:p>
            <w:pPr>
              <w:spacing w:after="40" w:before="0"/>
              <w:jc w:val="center"/>
            </w:pPr>
            <w:r>
              <w:rPr>
                <w:rFonts w:ascii="Arial" w:cs="Arial" w:eastAsia="Arial" w:hAnsi="Arial"/>
                <w:b/>
                <w:bCs/>
                <w:color w:val="FFFFFF"/>
                <w:sz w:val="18"/>
                <w:szCs w:val="18"/>
              </w:rPr>
              <w:t xml:space="preserve">Data Scale</w:t>
            </w:r>
          </w:p>
          <w:p>
            <w:pPr>
              <w:spacing w:after="0" w:before="0"/>
              <w:jc w:val="center"/>
            </w:pPr>
            <w:r>
              <w:rPr>
                <w:rFonts w:ascii="Arial" w:cs="Arial" w:eastAsia="Arial" w:hAnsi="Arial"/>
                <w:b/>
                <w:bCs/>
                <w:color w:val="FFFFFF"/>
                <w:sz w:val="22"/>
                <w:szCs w:val="22"/>
              </w:rPr>
              <w:t xml:space="preserve">✗  Concern</w:t>
            </w:r>
          </w:p>
        </w:tc>
        <w:tc>
          <w:tcPr>
            <w:tcW w:type="dxa" w:w="3120"/>
            <w:tcBorders>
              <w:top w:val="single" w:color="D0D7E3" w:sz="1"/>
              <w:left w:val="single" w:color="D0D7E3" w:sz="1"/>
              <w:bottom w:val="single" w:color="D0D7E3" w:sz="1"/>
              <w:right w:val="single" w:color="D0D7E3" w:sz="1"/>
            </w:tcBorders>
            <w:shd w:fill="6B1A1A" w:val="clear"/>
            <w:tcMar>
              <w:top w:type="dxa" w:w="120"/>
              <w:left w:type="dxa" w:w="160"/>
              <w:bottom w:type="dxa" w:w="120"/>
              <w:right w:type="dxa" w:w="160"/>
            </w:tcMar>
          </w:tcPr>
          <w:p>
            <w:pPr>
              <w:spacing w:after="40" w:before="0"/>
              <w:jc w:val="center"/>
            </w:pPr>
            <w:r>
              <w:rPr>
                <w:rFonts w:ascii="Arial" w:cs="Arial" w:eastAsia="Arial" w:hAnsi="Arial"/>
                <w:b/>
                <w:bCs/>
                <w:color w:val="FFFFFF"/>
                <w:sz w:val="18"/>
                <w:szCs w:val="18"/>
              </w:rPr>
              <w:t xml:space="preserve">Uncertainty Quant.</w:t>
            </w:r>
          </w:p>
          <w:p>
            <w:pPr>
              <w:spacing w:after="0" w:before="0"/>
              <w:jc w:val="center"/>
            </w:pPr>
            <w:r>
              <w:rPr>
                <w:rFonts w:ascii="Arial" w:cs="Arial" w:eastAsia="Arial" w:hAnsi="Arial"/>
                <w:b/>
                <w:bCs/>
                <w:color w:val="FFFFFF"/>
                <w:sz w:val="22"/>
                <w:szCs w:val="22"/>
              </w:rPr>
              <w:t xml:space="preserve">✗  Missing</w:t>
            </w:r>
          </w:p>
        </w:tc>
        <w:tc>
          <w:tcPr>
            <w:tcW w:type="dxa" w:w="3120"/>
            <w:tcBorders>
              <w:top w:val="single" w:color="D0D7E3" w:sz="1"/>
              <w:left w:val="single" w:color="D0D7E3" w:sz="1"/>
              <w:bottom w:val="single" w:color="D0D7E3" w:sz="1"/>
              <w:right w:val="single" w:color="D0D7E3" w:sz="1"/>
            </w:tcBorders>
            <w:shd w:fill="7B4F00" w:val="clear"/>
            <w:tcMar>
              <w:top w:type="dxa" w:w="120"/>
              <w:left w:type="dxa" w:w="160"/>
              <w:bottom w:type="dxa" w:w="120"/>
              <w:right w:type="dxa" w:w="160"/>
            </w:tcMar>
          </w:tcPr>
          <w:p>
            <w:pPr>
              <w:spacing w:after="40" w:before="0"/>
              <w:jc w:val="center"/>
            </w:pPr>
            <w:r>
              <w:rPr>
                <w:rFonts w:ascii="Arial" w:cs="Arial" w:eastAsia="Arial" w:hAnsi="Arial"/>
                <w:b/>
                <w:bCs/>
                <w:color w:val="FFFFFF"/>
                <w:sz w:val="18"/>
                <w:szCs w:val="18"/>
              </w:rPr>
              <w:t xml:space="preserve">VOCEG Causal Valid.</w:t>
            </w:r>
          </w:p>
          <w:p>
            <w:pPr>
              <w:spacing w:after="0" w:before="0"/>
              <w:jc w:val="center"/>
            </w:pPr>
            <w:r>
              <w:rPr>
                <w:rFonts w:ascii="Arial" w:cs="Arial" w:eastAsia="Arial" w:hAnsi="Arial"/>
                <w:b/>
                <w:bCs/>
                <w:color w:val="FFFFFF"/>
                <w:sz w:val="22"/>
                <w:szCs w:val="22"/>
              </w:rPr>
              <w:t xml:space="preserve">△  Needs Work</w:t>
            </w:r>
          </w:p>
        </w:tc>
      </w:tr>
    </w:tbl>
    <w:p>
      <w:pPr>
        <w:spacing w:after="0" w:before="200"/>
      </w:pPr>
    </w:p>
    <w:p>
      <w:pPr>
        <w:pStyle w:val="Heading1"/>
        <w:pBdr>
          <w:bottom w:val="single" w:color="1B3A6B" w:sz="6" w:space="1"/>
        </w:pBdr>
        <w:spacing w:after="160" w:before="320"/>
      </w:pPr>
      <w:r>
        <w:rPr>
          <w:rFonts w:ascii="Arial" w:cs="Arial" w:eastAsia="Arial" w:hAnsi="Arial"/>
          <w:b/>
          <w:bCs/>
          <w:color w:val="1B3A6B"/>
          <w:sz w:val="28"/>
          <w:szCs w:val="28"/>
        </w:rPr>
        <w:t xml:space="preserve">1.  Architecture Overview</w:t>
      </w:r>
    </w:p>
    <w:p>
      <w:pPr>
        <w:spacing w:after="80" w:before="80"/>
      </w:pPr>
      <w:r>
        <w:rPr>
          <w:rFonts w:ascii="Arial" w:cs="Arial" w:eastAsia="Arial" w:hAnsi="Arial"/>
          <w:color w:val="1A1A2E"/>
          <w:sz w:val="20"/>
          <w:szCs w:val="20"/>
        </w:rPr>
        <w:t xml:space="preserve">TaViT V3.2 is a 3.06M-parameter end-to-end system composed of three learned modules working in sequence: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D0D7E3" w:sz="1"/>
              <w:left w:val="single" w:color="D0D7E3" w:sz="1"/>
              <w:bottom w:val="single" w:color="D0D7E3" w:sz="1"/>
              <w:right w:val="single" w:color="D0D7E3"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4320"/>
            <w:tcBorders>
              <w:top w:val="single" w:color="D0D7E3" w:sz="1"/>
              <w:left w:val="single" w:color="D0D7E3" w:sz="1"/>
              <w:bottom w:val="single" w:color="D0D7E3" w:sz="1"/>
              <w:right w:val="single" w:color="D0D7E3"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Role &amp; Scale</w:t>
            </w:r>
          </w:p>
        </w:tc>
      </w:tr>
      <w:tr>
        <w:tc>
          <w:tcPr>
            <w:tcW w:type="dxa" w:w="504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TaViT_Backbone  (2.96M params)</w:t>
            </w:r>
          </w:p>
        </w:tc>
        <w:tc>
          <w:tcPr>
            <w:tcW w:type="dxa" w:w="432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Projects and fuses scan embeddings (2816-D), treatment tokens (8-D), and sinusoidal time encoding, then runs a 4-layer / 8-head Transformer Encoder.</w:t>
            </w:r>
          </w:p>
        </w:tc>
      </w:tr>
      <w:tr>
        <w:tc>
          <w:tcPr>
            <w:tcW w:type="dxa" w:w="5040"/>
            <w:tcBorders>
              <w:top w:val="single" w:color="D0D7E3" w:sz="1"/>
              <w:left w:val="single" w:color="D0D7E3" w:sz="1"/>
              <w:bottom w:val="single" w:color="D0D7E3" w:sz="1"/>
              <w:right w:val="single" w:color="D0D7E3" w:sz="1"/>
            </w:tcBorders>
            <w:shd w:fill="F4F6FA" w:val="clear"/>
            <w:tcMar>
              <w:top w:type="dxa" w:w="60"/>
              <w:left w:type="dxa" w:w="120"/>
              <w:bottom w:type="dxa" w:w="60"/>
              <w:right w:type="dxa" w:w="120"/>
            </w:tcMar>
          </w:tcPr>
          <w:p>
            <w:r>
              <w:rPr>
                <w:rFonts w:ascii="Arial" w:cs="Arial" w:eastAsia="Arial" w:hAnsi="Arial"/>
                <w:color w:val="1A1A2E"/>
                <w:sz w:val="18"/>
                <w:szCs w:val="18"/>
              </w:rPr>
              <w:t xml:space="preserve">MolProjector  (18 K params)</w:t>
            </w:r>
          </w:p>
        </w:tc>
        <w:tc>
          <w:tcPr>
            <w:tcW w:type="dxa" w:w="4320"/>
            <w:tcBorders>
              <w:top w:val="single" w:color="D0D7E3" w:sz="1"/>
              <w:left w:val="single" w:color="D0D7E3" w:sz="1"/>
              <w:bottom w:val="single" w:color="D0D7E3" w:sz="1"/>
              <w:right w:val="single" w:color="D0D7E3" w:sz="1"/>
            </w:tcBorders>
            <w:shd w:fill="F4F6FA" w:val="clear"/>
            <w:tcMar>
              <w:top w:type="dxa" w:w="60"/>
              <w:left w:type="dxa" w:w="120"/>
              <w:bottom w:type="dxa" w:w="60"/>
              <w:right w:type="dxa" w:w="120"/>
            </w:tcMar>
          </w:tcPr>
          <w:p>
            <w:r>
              <w:rPr>
                <w:rFonts w:ascii="Arial" w:cs="Arial" w:eastAsia="Arial" w:hAnsi="Arial"/>
                <w:color w:val="1A1A2E"/>
                <w:sz w:val="18"/>
                <w:szCs w:val="18"/>
              </w:rPr>
              <w:t xml:space="preserve">Projects 26 binary molecular markers to a 256-D prefix token prepended to the scan sequence, providing patient-level genomic context.</w:t>
            </w:r>
          </w:p>
        </w:tc>
      </w:tr>
      <w:tr>
        <w:tc>
          <w:tcPr>
            <w:tcW w:type="dxa" w:w="504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VolDecoder  (78 K params)</w:t>
            </w:r>
          </w:p>
        </w:tc>
        <w:tc>
          <w:tcPr>
            <w:tcW w:type="dxa" w:w="432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Decodes each Transformer output token (concatenated with a 9-D volume anchor from nnU-Net) into (WT, TC, ET) volumes in log1p scale, with a parallel delta head for inter-scan change.</w:t>
            </w:r>
          </w:p>
        </w:tc>
      </w:tr>
    </w:tbl>
    <w:p>
      <w:pPr>
        <w:spacing w:after="0" w:before="100"/>
      </w:pPr>
    </w:p>
    <w:p>
      <w:pPr>
        <w:pStyle w:val="Heading1"/>
        <w:pBdr>
          <w:bottom w:val="single" w:color="1B3A6B" w:sz="6" w:space="1"/>
        </w:pBdr>
        <w:spacing w:after="160" w:before="320"/>
      </w:pPr>
      <w:r>
        <w:rPr>
          <w:rFonts w:ascii="Arial" w:cs="Arial" w:eastAsia="Arial" w:hAnsi="Arial"/>
          <w:b/>
          <w:bCs/>
          <w:color w:val="1B3A6B"/>
          <w:sz w:val="28"/>
          <w:szCs w:val="28"/>
        </w:rPr>
        <w:t xml:space="preserve">2.  Strengths — What the Literature Supports</w:t>
      </w:r>
    </w:p>
    <w:p>
      <w:pPr>
        <w:pStyle w:val="Heading2"/>
        <w:spacing w:after="120" w:before="240"/>
      </w:pPr>
      <w:r>
        <w:rPr>
          <w:rFonts w:ascii="Arial" w:cs="Arial" w:eastAsia="Arial" w:hAnsi="Arial"/>
          <w:b/>
          <w:bCs/>
          <w:color w:val="1B3A6B"/>
          <w:sz w:val="24"/>
          <w:szCs w:val="24"/>
        </w:rPr>
        <w:t xml:space="preserve">2.1  Transformer-Based Longitudinal Modelling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E8F5EE" w:val="clear"/>
            <w:tcMar>
              <w:top w:type="dxa" w:w="120"/>
              <w:left w:type="dxa" w:w="200"/>
              <w:bottom w:type="dxa" w:w="120"/>
              <w:right w:type="dxa" w:w="200"/>
            </w:tcMar>
          </w:tcPr>
          <w:p>
            <w:pPr>
              <w:spacing w:after="80" w:before="0"/>
            </w:pPr>
            <w:r>
              <w:rPr>
                <w:rFonts w:ascii="Arial" w:cs="Arial" w:eastAsia="Arial" w:hAnsi="Arial"/>
                <w:b/>
                <w:bCs/>
                <w:color w:val="1A6B3A"/>
                <w:sz w:val="20"/>
                <w:szCs w:val="20"/>
              </w:rPr>
              <w:t xml:space="preserve">✓  Architecture choice is well-validated for irregular medical time series</w:t>
            </w:r>
          </w:p>
          <w:p>
            <w:pPr>
              <w:pStyle w:val="ListParagraph"/>
              <w:numPr>
                <w:ilvl w:val="0"/>
                <w:numId w:val="2"/>
              </w:numPr>
              <w:spacing w:after="40" w:before="40"/>
            </w:pPr>
            <w:r>
              <w:rPr>
                <w:rFonts w:ascii="Arial" w:cs="Arial" w:eastAsia="Arial" w:hAnsi="Arial"/>
                <w:b/>
                <w:bCs/>
                <w:color w:val="1A1A2E"/>
                <w:sz w:val="20"/>
                <w:szCs w:val="20"/>
              </w:rPr>
              <w:t xml:space="preserve">Sequence-to-sequence attention over MRI scans</w:t>
            </w:r>
            <w:r>
              <w:rPr>
                <w:rFonts w:ascii="Arial" w:cs="Arial" w:eastAsia="Arial" w:hAnsi="Arial"/>
                <w:color w:val="1A1A2E"/>
                <w:sz w:val="20"/>
                <w:szCs w:val="20"/>
              </w:rPr>
              <w:t xml:space="preserve"> directly mirrors the design validated by Transformer-XL and medical imaging adaptations. The 4-layer / 8-head configuration is consistent with small-cohort medical imaging literature, where larger models overfit.</w:t>
            </w:r>
            <w:r>
              <w:rPr>
                <w:rFonts w:ascii="Arial" w:cs="Arial" w:eastAsia="Arial" w:hAnsi="Arial"/>
                <w:color w:val="0066CC"/>
                <w:sz w:val="18"/>
                <w:szCs w:val="18"/>
              </w:rPr>
              <w:t xml:space="preserve"> [1,2]</w:t>
            </w:r>
          </w:p>
          <w:p>
            <w:pPr>
              <w:pStyle w:val="ListParagraph"/>
              <w:numPr>
                <w:ilvl w:val="0"/>
                <w:numId w:val="2"/>
              </w:numPr>
              <w:spacing w:after="40" w:before="40"/>
            </w:pPr>
            <w:r>
              <w:rPr>
                <w:rFonts w:ascii="Arial" w:cs="Arial" w:eastAsia="Arial" w:hAnsi="Arial"/>
                <w:b/>
                <w:bCs/>
                <w:color w:val="1A1A2E"/>
                <w:sz w:val="20"/>
                <w:szCs w:val="20"/>
              </w:rPr>
              <w:t xml:space="preserve">Pre-norm (norm_first=True)</w:t>
            </w:r>
            <w:r>
              <w:rPr>
                <w:rFonts w:ascii="Arial" w:cs="Arial" w:eastAsia="Arial" w:hAnsi="Arial"/>
                <w:color w:val="1A1A2E"/>
                <w:sz w:val="20"/>
                <w:szCs w:val="20"/>
              </w:rPr>
              <w:t xml:space="preserve"> is the recommended setting from Xiong et al. (2020), who showed it stabilises gradients especially with shorter training runs on small datasets.</w:t>
            </w:r>
            <w:r>
              <w:rPr>
                <w:rFonts w:ascii="Arial" w:cs="Arial" w:eastAsia="Arial" w:hAnsi="Arial"/>
                <w:color w:val="0066CC"/>
                <w:sz w:val="18"/>
                <w:szCs w:val="18"/>
              </w:rPr>
              <w:t xml:space="preserve"> [3]</w:t>
            </w:r>
          </w:p>
          <w:p>
            <w:pPr>
              <w:pStyle w:val="ListParagraph"/>
              <w:numPr>
                <w:ilvl w:val="0"/>
                <w:numId w:val="2"/>
              </w:numPr>
              <w:spacing w:after="40" w:before="40"/>
            </w:pPr>
            <w:r>
              <w:rPr>
                <w:rFonts w:ascii="Arial" w:cs="Arial" w:eastAsia="Arial" w:hAnsi="Arial"/>
                <w:color w:val="1A1A2E"/>
                <w:sz w:val="20"/>
                <w:szCs w:val="20"/>
              </w:rPr>
              <w:t xml:space="preserve">Sinusoidal positional encoding</w:t>
            </w:r>
            <w:r>
              <w:rPr>
                <w:rFonts w:ascii="Arial" w:cs="Arial" w:eastAsia="Arial" w:hAnsi="Arial"/>
                <w:b/>
                <w:bCs/>
                <w:color w:val="1A1A2E"/>
                <w:sz w:val="20"/>
                <w:szCs w:val="20"/>
              </w:rPr>
              <w:t xml:space="preserve"> of absolute scan days</w:t>
            </w:r>
            <w:r>
              <w:rPr>
                <w:rFonts w:ascii="Arial" w:cs="Arial" w:eastAsia="Arial" w:hAnsi="Arial"/>
                <w:color w:val="1A1A2E"/>
                <w:sz w:val="20"/>
                <w:szCs w:val="20"/>
              </w:rPr>
              <w:t xml:space="preserve"> (rather than learned integer positions) is the right choice for </w:t>
            </w:r>
            <w:r>
              <w:rPr>
                <w:rFonts w:ascii="Arial" w:cs="Arial" w:eastAsia="Arial" w:hAnsi="Arial"/>
                <w:i/>
                <w:iCs/>
                <w:color w:val="555555"/>
                <w:sz w:val="20"/>
                <w:szCs w:val="20"/>
              </w:rPr>
              <w:t xml:space="preserve">irregular</w:t>
            </w:r>
            <w:r>
              <w:rPr>
                <w:rFonts w:ascii="Arial" w:cs="Arial" w:eastAsia="Arial" w:hAnsi="Arial"/>
                <w:color w:val="1A1A2E"/>
                <w:sz w:val="20"/>
                <w:szCs w:val="20"/>
              </w:rPr>
              <w:t xml:space="preserve"> scan intervals, following Vaswani et al. (2017) and reaffirmed by medical imaging works handling non-uniform time grids.</w:t>
            </w:r>
            <w:r>
              <w:rPr>
                <w:rFonts w:ascii="Arial" w:cs="Arial" w:eastAsia="Arial" w:hAnsi="Arial"/>
                <w:color w:val="0066CC"/>
                <w:sz w:val="18"/>
                <w:szCs w:val="18"/>
              </w:rPr>
              <w:t xml:space="preserve"> [1,4]</w:t>
            </w:r>
          </w:p>
        </w:tc>
      </w:tr>
    </w:tbl>
    <w:p>
      <w:pPr>
        <w:spacing w:after="0" w:before="80"/>
      </w:pPr>
    </w:p>
    <w:p>
      <w:pPr>
        <w:pStyle w:val="Heading2"/>
        <w:spacing w:after="120" w:before="240"/>
      </w:pPr>
      <w:r>
        <w:rPr>
          <w:rFonts w:ascii="Arial" w:cs="Arial" w:eastAsia="Arial" w:hAnsi="Arial"/>
          <w:b/>
          <w:bCs/>
          <w:color w:val="1B3A6B"/>
          <w:sz w:val="24"/>
          <w:szCs w:val="24"/>
        </w:rPr>
        <w:t xml:space="preserve">2.2  Multimodal Fusion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E8F5EE" w:val="clear"/>
            <w:tcMar>
              <w:top w:type="dxa" w:w="120"/>
              <w:left w:type="dxa" w:w="200"/>
              <w:bottom w:type="dxa" w:w="120"/>
              <w:right w:type="dxa" w:w="200"/>
            </w:tcMar>
          </w:tcPr>
          <w:p>
            <w:pPr>
              <w:spacing w:after="80" w:before="0"/>
            </w:pPr>
            <w:r>
              <w:rPr>
                <w:rFonts w:ascii="Arial" w:cs="Arial" w:eastAsia="Arial" w:hAnsi="Arial"/>
                <w:b/>
                <w:bCs/>
                <w:color w:val="1A6B3A"/>
                <w:sz w:val="20"/>
                <w:szCs w:val="20"/>
              </w:rPr>
              <w:t xml:space="preserve">✓  Concatenate-then-MLP fusion for interacting modalities is principled</w:t>
            </w:r>
          </w:p>
          <w:p>
            <w:pPr>
              <w:pStyle w:val="ListParagraph"/>
              <w:numPr>
                <w:ilvl w:val="0"/>
                <w:numId w:val="2"/>
              </w:numPr>
              <w:spacing w:after="40" w:before="40"/>
            </w:pPr>
            <w:r>
              <w:rPr>
                <w:rFonts w:ascii="Arial" w:cs="Arial" w:eastAsia="Arial" w:hAnsi="Arial"/>
                <w:color w:val="1A1A2E"/>
                <w:sz w:val="20"/>
                <w:szCs w:val="20"/>
              </w:rPr>
              <w:t xml:space="preserve">The choice to </w:t>
            </w:r>
            <w:r>
              <w:rPr>
                <w:rFonts w:ascii="Arial" w:cs="Arial" w:eastAsia="Arial" w:hAnsi="Arial"/>
                <w:b/>
                <w:bCs/>
                <w:color w:val="1A1A2E"/>
                <w:sz w:val="20"/>
                <w:szCs w:val="20"/>
              </w:rPr>
              <w:t xml:space="preserve">concatenate scan and treatment projections, then fuse with a learned MLP</w:t>
            </w:r>
            <w:r>
              <w:rPr>
                <w:rFonts w:ascii="Arial" w:cs="Arial" w:eastAsia="Arial" w:hAnsi="Arial"/>
                <w:color w:val="1A1A2E"/>
                <w:sz w:val="20"/>
                <w:szCs w:val="20"/>
              </w:rPr>
              <w:t xml:space="preserve">, rather than using simple addition, directly implements the cross-modal interaction mechanism recommended by Huang et al. (2021) for multimodal medical transformers. Treatment effect on tumour response </w:t>
            </w:r>
            <w:r>
              <w:rPr>
                <w:rFonts w:ascii="Arial" w:cs="Arial" w:eastAsia="Arial" w:hAnsi="Arial"/>
                <w:i/>
                <w:iCs/>
                <w:color w:val="555555"/>
                <w:sz w:val="20"/>
                <w:szCs w:val="20"/>
              </w:rPr>
              <w:t xml:space="preserve">does</w:t>
            </w:r>
            <w:r>
              <w:rPr>
                <w:rFonts w:ascii="Arial" w:cs="Arial" w:eastAsia="Arial" w:hAnsi="Arial"/>
                <w:color w:val="1A1A2E"/>
                <w:sz w:val="20"/>
                <w:szCs w:val="20"/>
              </w:rPr>
              <w:t xml:space="preserve"> depend on tumour state, making the learned interaction justified.</w:t>
            </w:r>
            <w:r>
              <w:rPr>
                <w:rFonts w:ascii="Arial" w:cs="Arial" w:eastAsia="Arial" w:hAnsi="Arial"/>
                <w:color w:val="0066CC"/>
                <w:sz w:val="18"/>
                <w:szCs w:val="18"/>
              </w:rPr>
              <w:t xml:space="preserve"> [5]</w:t>
            </w:r>
          </w:p>
          <w:p>
            <w:pPr>
              <w:pStyle w:val="ListParagraph"/>
              <w:numPr>
                <w:ilvl w:val="0"/>
                <w:numId w:val="2"/>
              </w:numPr>
              <w:spacing w:after="40" w:before="40"/>
            </w:pPr>
            <w:r>
              <w:rPr>
                <w:rFonts w:ascii="Arial" w:cs="Arial" w:eastAsia="Arial" w:hAnsi="Arial"/>
                <w:b/>
                <w:bCs/>
                <w:color w:val="1A1A2E"/>
                <w:sz w:val="20"/>
                <w:szCs w:val="20"/>
              </w:rPr>
              <w:t xml:space="preserve">Additive sinusoidal encoding for time</w:t>
            </w:r>
            <w:r>
              <w:rPr>
                <w:rFonts w:ascii="Arial" w:cs="Arial" w:eastAsia="Arial" w:hAnsi="Arial"/>
                <w:color w:val="1A1A2E"/>
                <w:sz w:val="20"/>
                <w:szCs w:val="20"/>
              </w:rPr>
              <w:t xml:space="preserve"> (not concatenated) correctly separates content from positional information, matching the original Transformer design principle.</w:t>
            </w:r>
            <w:r>
              <w:rPr>
                <w:rFonts w:ascii="Arial" w:cs="Arial" w:eastAsia="Arial" w:hAnsi="Arial"/>
                <w:color w:val="0066CC"/>
                <w:sz w:val="18"/>
                <w:szCs w:val="18"/>
              </w:rPr>
              <w:t xml:space="preserve"> [1]</w:t>
            </w:r>
          </w:p>
          <w:p>
            <w:pPr>
              <w:pStyle w:val="ListParagraph"/>
              <w:numPr>
                <w:ilvl w:val="0"/>
                <w:numId w:val="2"/>
              </w:numPr>
              <w:spacing w:after="40" w:before="40"/>
            </w:pPr>
            <w:r>
              <w:rPr>
                <w:rFonts w:ascii="Arial" w:cs="Arial" w:eastAsia="Arial" w:hAnsi="Arial"/>
                <w:color w:val="1A1A2E"/>
                <w:sz w:val="20"/>
                <w:szCs w:val="20"/>
              </w:rPr>
              <w:t xml:space="preserve">The </w:t>
            </w:r>
            <w:r>
              <w:rPr>
                <w:rFonts w:ascii="Arial" w:cs="Arial" w:eastAsia="Arial" w:hAnsi="Arial"/>
                <w:b/>
                <w:bCs/>
                <w:color w:val="1A1A2E"/>
                <w:sz w:val="20"/>
                <w:szCs w:val="20"/>
              </w:rPr>
              <w:t xml:space="preserve">vol_feats bypass</w:t>
            </w:r>
            <w:r>
              <w:rPr>
                <w:rFonts w:ascii="Arial" w:cs="Arial" w:eastAsia="Arial" w:hAnsi="Arial"/>
                <w:color w:val="1A1A2E"/>
                <w:sz w:val="20"/>
                <w:szCs w:val="20"/>
              </w:rPr>
              <w:t xml:space="preserve"> (9-D volume anchor fed directly to VolDecoder) implements an effective shortcut connection that prevents the transformer from needing to reconstruct absolute volume scale from relative neural features — a design analogous to the skip connections validated in nnU-Net itself.</w:t>
            </w:r>
            <w:r>
              <w:rPr>
                <w:rFonts w:ascii="Arial" w:cs="Arial" w:eastAsia="Arial" w:hAnsi="Arial"/>
                <w:color w:val="0066CC"/>
                <w:sz w:val="18"/>
                <w:szCs w:val="18"/>
              </w:rPr>
              <w:t xml:space="preserve"> [6]</w:t>
            </w:r>
          </w:p>
        </w:tc>
      </w:tr>
    </w:tbl>
    <w:p>
      <w:pPr>
        <w:spacing w:after="0" w:before="80"/>
      </w:pPr>
    </w:p>
    <w:p>
      <w:pPr>
        <w:pStyle w:val="Heading2"/>
        <w:spacing w:after="120" w:before="240"/>
      </w:pPr>
      <w:r>
        <w:rPr>
          <w:rFonts w:ascii="Arial" w:cs="Arial" w:eastAsia="Arial" w:hAnsi="Arial"/>
          <w:b/>
          <w:bCs/>
          <w:color w:val="1B3A6B"/>
          <w:sz w:val="24"/>
          <w:szCs w:val="24"/>
        </w:rPr>
        <w:t xml:space="preserve">2.3  Molecular CLS Prefix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E8F5EE" w:val="clear"/>
            <w:tcMar>
              <w:top w:type="dxa" w:w="120"/>
              <w:left w:type="dxa" w:w="200"/>
              <w:bottom w:type="dxa" w:w="120"/>
              <w:right w:type="dxa" w:w="200"/>
            </w:tcMar>
          </w:tcPr>
          <w:p>
            <w:pPr>
              <w:spacing w:after="80" w:before="0"/>
            </w:pPr>
            <w:r>
              <w:rPr>
                <w:rFonts w:ascii="Arial" w:cs="Arial" w:eastAsia="Arial" w:hAnsi="Arial"/>
                <w:b/>
                <w:bCs/>
                <w:color w:val="1A6B3A"/>
                <w:sz w:val="20"/>
                <w:szCs w:val="20"/>
              </w:rPr>
              <w:t xml:space="preserve">✓  Patient-level genomic context as a prefix is the right design choice</w:t>
            </w:r>
          </w:p>
          <w:p>
            <w:pPr>
              <w:pStyle w:val="ListParagraph"/>
              <w:numPr>
                <w:ilvl w:val="0"/>
                <w:numId w:val="2"/>
              </w:numPr>
              <w:spacing w:after="40" w:before="40"/>
            </w:pPr>
            <w:r>
              <w:rPr>
                <w:rFonts w:ascii="Arial" w:cs="Arial" w:eastAsia="Arial" w:hAnsi="Arial"/>
                <w:color w:val="1A1A2E"/>
                <w:sz w:val="20"/>
                <w:szCs w:val="20"/>
              </w:rPr>
              <w:t xml:space="preserve">Replacing a learnable random CLS token with a </w:t>
            </w:r>
            <w:r>
              <w:rPr>
                <w:rFonts w:ascii="Arial" w:cs="Arial" w:eastAsia="Arial" w:hAnsi="Arial"/>
                <w:b/>
                <w:bCs/>
                <w:color w:val="1A1A2E"/>
                <w:sz w:val="20"/>
                <w:szCs w:val="20"/>
              </w:rPr>
              <w:t xml:space="preserve">patient-specific molecular prefix</w:t>
            </w:r>
            <w:r>
              <w:rPr>
                <w:rFonts w:ascii="Arial" w:cs="Arial" w:eastAsia="Arial" w:hAnsi="Arial"/>
                <w:color w:val="1A1A2E"/>
                <w:sz w:val="20"/>
                <w:szCs w:val="20"/>
              </w:rPr>
              <w:t xml:space="preserve"> (IDH, MGMT, 1p/19q, etc.) ensures the transformer has biologically meaningful global context before processing any scan. This is superior to a generic CLS token and is conceptually aligned with BERT-style prefix conditioning.</w:t>
            </w:r>
            <w:r>
              <w:rPr>
                <w:rFonts w:ascii="Arial" w:cs="Arial" w:eastAsia="Arial" w:hAnsi="Arial"/>
                <w:color w:val="0066CC"/>
                <w:sz w:val="18"/>
                <w:szCs w:val="18"/>
              </w:rPr>
              <w:t xml:space="preserve"> [7,8]</w:t>
            </w:r>
          </w:p>
          <w:p>
            <w:pPr>
              <w:pStyle w:val="ListParagraph"/>
              <w:numPr>
                <w:ilvl w:val="0"/>
                <w:numId w:val="2"/>
              </w:numPr>
              <w:spacing w:after="40" w:before="40"/>
            </w:pPr>
            <w:r>
              <w:rPr>
                <w:rFonts w:ascii="Arial" w:cs="Arial" w:eastAsia="Arial" w:hAnsi="Arial"/>
                <w:color w:val="1A1A2E"/>
                <w:sz w:val="20"/>
                <w:szCs w:val="20"/>
              </w:rPr>
              <w:t xml:space="preserve">IDH mutation status and MGMT methylation are among the strongest known prognostic factors in glioma.</w:t>
            </w:r>
            <w:r>
              <w:rPr>
                <w:rFonts w:ascii="Arial" w:cs="Arial" w:eastAsia="Arial" w:hAnsi="Arial"/>
                <w:color w:val="0066CC"/>
                <w:sz w:val="18"/>
                <w:szCs w:val="18"/>
              </w:rPr>
              <w:t xml:space="preserve"> [9]</w:t>
            </w:r>
            <w:r>
              <w:rPr>
                <w:rFonts w:ascii="Arial" w:cs="Arial" w:eastAsia="Arial" w:hAnsi="Arial"/>
                <w:color w:val="1A1A2E"/>
                <w:sz w:val="20"/>
                <w:szCs w:val="20"/>
              </w:rPr>
              <w:t xml:space="preserve"> Incorporating them as conditioning signals is clinically motivated and increases the biological plausibility of the model.</w:t>
            </w:r>
          </w:p>
        </w:tc>
      </w:tr>
    </w:tbl>
    <w:p>
      <w:pPr>
        <w:spacing w:after="0" w:before="80"/>
      </w:pPr>
    </w:p>
    <w:p>
      <w:pPr>
        <w:pStyle w:val="Heading2"/>
        <w:spacing w:after="120" w:before="240"/>
      </w:pPr>
      <w:r>
        <w:rPr>
          <w:rFonts w:ascii="Arial" w:cs="Arial" w:eastAsia="Arial" w:hAnsi="Arial"/>
          <w:b/>
          <w:bCs/>
          <w:color w:val="1B3A6B"/>
          <w:sz w:val="24"/>
          <w:szCs w:val="24"/>
        </w:rPr>
        <w:t xml:space="preserve">2.4  Multi-Task Loss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E8F5EE" w:val="clear"/>
            <w:tcMar>
              <w:top w:type="dxa" w:w="120"/>
              <w:left w:type="dxa" w:w="200"/>
              <w:bottom w:type="dxa" w:w="120"/>
              <w:right w:type="dxa" w:w="200"/>
            </w:tcMar>
          </w:tcPr>
          <w:p>
            <w:pPr>
              <w:spacing w:after="80" w:before="0"/>
            </w:pPr>
            <w:r>
              <w:rPr>
                <w:rFonts w:ascii="Arial" w:cs="Arial" w:eastAsia="Arial" w:hAnsi="Arial"/>
                <w:b/>
                <w:bCs/>
                <w:color w:val="1A6B3A"/>
                <w:sz w:val="20"/>
                <w:szCs w:val="20"/>
              </w:rPr>
              <w:t xml:space="preserve">✓  Four-component loss is well-motivated by multi-task learning theory</w:t>
            </w:r>
          </w:p>
          <w:p>
            <w:pPr>
              <w:pStyle w:val="ListParagraph"/>
              <w:numPr>
                <w:ilvl w:val="0"/>
                <w:numId w:val="2"/>
              </w:numPr>
              <w:spacing w:after="40" w:before="40"/>
            </w:pPr>
            <w:r>
              <w:rPr>
                <w:rFonts w:ascii="Arial" w:cs="Arial" w:eastAsia="Arial" w:hAnsi="Arial"/>
                <w:b/>
                <w:bCs/>
                <w:color w:val="1A1A2E"/>
                <w:sz w:val="20"/>
                <w:szCs w:val="20"/>
              </w:rPr>
              <w:t xml:space="preserve">L_vol (SmoothL1, w=1.0)</w:t>
            </w:r>
            <w:r>
              <w:rPr>
                <w:rFonts w:ascii="Arial" w:cs="Arial" w:eastAsia="Arial" w:hAnsi="Arial"/>
                <w:color w:val="1A1A2E"/>
                <w:sz w:val="20"/>
                <w:szCs w:val="20"/>
              </w:rPr>
              <w:t xml:space="preserve"> as the primary objective is appropriate; SmoothL1 is more robust than MSE to outliers in volume space.</w:t>
            </w:r>
            <w:r>
              <w:rPr>
                <w:rFonts w:ascii="Arial" w:cs="Arial" w:eastAsia="Arial" w:hAnsi="Arial"/>
                <w:color w:val="0066CC"/>
                <w:sz w:val="18"/>
                <w:szCs w:val="18"/>
              </w:rPr>
              <w:t xml:space="preserve"> [10]</w:t>
            </w:r>
          </w:p>
          <w:p>
            <w:pPr>
              <w:pStyle w:val="ListParagraph"/>
              <w:numPr>
                <w:ilvl w:val="0"/>
                <w:numId w:val="2"/>
              </w:numPr>
              <w:spacing w:after="40" w:before="40"/>
            </w:pPr>
            <w:r>
              <w:rPr>
                <w:rFonts w:ascii="Arial" w:cs="Arial" w:eastAsia="Arial" w:hAnsi="Arial"/>
                <w:b/>
                <w:bCs/>
                <w:color w:val="1A1A2E"/>
                <w:sz w:val="20"/>
                <w:szCs w:val="20"/>
              </w:rPr>
              <w:t xml:space="preserve">L_delta (SmoothL1, w=0.5)</w:t>
            </w:r>
            <w:r>
              <w:rPr>
                <w:rFonts w:ascii="Arial" w:cs="Arial" w:eastAsia="Arial" w:hAnsi="Arial"/>
                <w:color w:val="1A1A2E"/>
                <w:sz w:val="20"/>
                <w:szCs w:val="20"/>
              </w:rPr>
              <w:t xml:space="preserve"> directly supervises inter-scan volume changes, which forces the model to learn tumour dynamics rather than static volume mapping. This auxiliary objective mirrors the trend supervision used in clinical prognostic scoring systems.</w:t>
            </w:r>
            <w:r>
              <w:rPr>
                <w:rFonts w:ascii="Arial" w:cs="Arial" w:eastAsia="Arial" w:hAnsi="Arial"/>
                <w:color w:val="0066CC"/>
                <w:sz w:val="18"/>
                <w:szCs w:val="18"/>
              </w:rPr>
              <w:t xml:space="preserve"> [11]</w:t>
            </w:r>
          </w:p>
          <w:p>
            <w:pPr>
              <w:pStyle w:val="ListParagraph"/>
              <w:numPr>
                <w:ilvl w:val="0"/>
                <w:numId w:val="2"/>
              </w:numPr>
              <w:spacing w:after="40" w:before="40"/>
            </w:pPr>
            <w:r>
              <w:rPr>
                <w:rFonts w:ascii="Arial" w:cs="Arial" w:eastAsia="Arial" w:hAnsi="Arial"/>
                <w:b/>
                <w:bCs/>
                <w:color w:val="1A1A2E"/>
                <w:sz w:val="20"/>
                <w:szCs w:val="20"/>
              </w:rPr>
              <w:t xml:space="preserve">L_cls (FocalLoss γ=2, w=0.3)</w:t>
            </w:r>
            <w:r>
              <w:rPr>
                <w:rFonts w:ascii="Arial" w:cs="Arial" w:eastAsia="Arial" w:hAnsi="Arial"/>
                <w:color w:val="1A1A2E"/>
                <w:sz w:val="20"/>
                <w:szCs w:val="20"/>
              </w:rPr>
              <w:t xml:space="preserve"> with PROG/STABLE/RESP supervision using Focal Loss correctly addresses class imbalance (55%/20%/25% split). Lin et al. (2017) demonstrated Focal Loss is the standard choice in imbalanced classification settings.</w:t>
            </w:r>
            <w:r>
              <w:rPr>
                <w:rFonts w:ascii="Arial" w:cs="Arial" w:eastAsia="Arial" w:hAnsi="Arial"/>
                <w:color w:val="0066CC"/>
                <w:sz w:val="18"/>
                <w:szCs w:val="18"/>
              </w:rPr>
              <w:t xml:space="preserve"> [12]</w:t>
            </w:r>
          </w:p>
          <w:p>
            <w:pPr>
              <w:pStyle w:val="ListParagraph"/>
              <w:numPr>
                <w:ilvl w:val="0"/>
                <w:numId w:val="2"/>
              </w:numPr>
              <w:spacing w:after="40" w:before="40"/>
            </w:pPr>
            <w:r>
              <w:rPr>
                <w:rFonts w:ascii="Arial" w:cs="Arial" w:eastAsia="Arial" w:hAnsi="Arial"/>
                <w:b/>
                <w:bCs/>
                <w:color w:val="1A1A2E"/>
                <w:sz w:val="20"/>
                <w:szCs w:val="20"/>
              </w:rPr>
              <w:t xml:space="preserve">L_smooth (w=0.05)</w:t>
            </w:r>
            <w:r>
              <w:rPr>
                <w:rFonts w:ascii="Arial" w:cs="Arial" w:eastAsia="Arial" w:hAnsi="Arial"/>
                <w:color w:val="1A1A2E"/>
                <w:sz w:val="20"/>
                <w:szCs w:val="20"/>
              </w:rPr>
              <w:t xml:space="preserve"> penalises erratic volume jumps, acting as a temporal regulariser. This is a domain-appropriate constraint given that tumour volumes cannot physically oscillate rapidly between scans.</w:t>
            </w:r>
          </w:p>
          <w:p>
            <w:pPr>
              <w:pStyle w:val="ListParagraph"/>
              <w:numPr>
                <w:ilvl w:val="0"/>
                <w:numId w:val="2"/>
              </w:numPr>
              <w:spacing w:after="40" w:before="40"/>
            </w:pPr>
            <w:r>
              <w:rPr>
                <w:rFonts w:ascii="Arial" w:cs="Arial" w:eastAsia="Arial" w:hAnsi="Arial"/>
                <w:color w:val="1A1A2E"/>
                <w:sz w:val="20"/>
                <w:szCs w:val="20"/>
              </w:rPr>
              <w:t xml:space="preserve">The </w:t>
            </w:r>
            <w:r>
              <w:rPr>
                <w:rFonts w:ascii="Arial" w:cs="Arial" w:eastAsia="Arial" w:hAnsi="Arial"/>
                <w:b/>
                <w:bCs/>
                <w:color w:val="1A1A2E"/>
                <w:sz w:val="20"/>
                <w:szCs w:val="20"/>
              </w:rPr>
              <w:t xml:space="preserve">treatment ablation (A1: +23.7% improvement)</w:t>
            </w:r>
            <w:r>
              <w:rPr>
                <w:rFonts w:ascii="Arial" w:cs="Arial" w:eastAsia="Arial" w:hAnsi="Arial"/>
                <w:color w:val="1A1A2E"/>
                <w:sz w:val="20"/>
                <w:szCs w:val="20"/>
              </w:rPr>
              <w:t xml:space="preserve"> and VOCEG ablation (E1: +10.3%) already confirm that conditioning signals are not merely decorative — they materially improve prediction.</w:t>
            </w:r>
          </w:p>
        </w:tc>
      </w:tr>
    </w:tbl>
    <w:p>
      <w:pPr>
        <w:spacing w:after="0" w:before="80"/>
      </w:pPr>
    </w:p>
    <w:p>
      <w:pPr>
        <w:pStyle w:val="Heading2"/>
        <w:spacing w:after="120" w:before="240"/>
      </w:pPr>
      <w:r>
        <w:rPr>
          <w:rFonts w:ascii="Arial" w:cs="Arial" w:eastAsia="Arial" w:hAnsi="Arial"/>
          <w:b/>
          <w:bCs/>
          <w:color w:val="1B3A6B"/>
          <w:sz w:val="24"/>
          <w:szCs w:val="24"/>
        </w:rPr>
        <w:t xml:space="preserve">2.5  Training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E8F5EE" w:val="clear"/>
            <w:tcMar>
              <w:top w:type="dxa" w:w="120"/>
              <w:left w:type="dxa" w:w="200"/>
              <w:bottom w:type="dxa" w:w="120"/>
              <w:right w:type="dxa" w:w="200"/>
            </w:tcMar>
          </w:tcPr>
          <w:p>
            <w:pPr>
              <w:spacing w:after="80" w:before="0"/>
            </w:pPr>
            <w:r>
              <w:rPr>
                <w:rFonts w:ascii="Arial" w:cs="Arial" w:eastAsia="Arial" w:hAnsi="Arial"/>
                <w:b/>
                <w:bCs/>
                <w:color w:val="1A6B3A"/>
                <w:sz w:val="20"/>
                <w:szCs w:val="20"/>
              </w:rPr>
              <w:t xml:space="preserve">✓  Training configuration follows current best practices</w:t>
            </w:r>
          </w:p>
          <w:p>
            <w:pPr>
              <w:pStyle w:val="ListParagraph"/>
              <w:numPr>
                <w:ilvl w:val="0"/>
                <w:numId w:val="2"/>
              </w:numPr>
              <w:spacing w:after="40" w:before="40"/>
            </w:pPr>
            <w:r>
              <w:rPr>
                <w:rFonts w:ascii="Arial" w:cs="Arial" w:eastAsia="Arial" w:hAnsi="Arial"/>
                <w:b/>
                <w:bCs/>
                <w:color w:val="1A1A2E"/>
                <w:sz w:val="20"/>
                <w:szCs w:val="20"/>
              </w:rPr>
              <w:t xml:space="preserve">AdamW + CosineAnnealing</w:t>
            </w:r>
            <w:r>
              <w:rPr>
                <w:rFonts w:ascii="Arial" w:cs="Arial" w:eastAsia="Arial" w:hAnsi="Arial"/>
                <w:color w:val="1A1A2E"/>
                <w:sz w:val="20"/>
                <w:szCs w:val="20"/>
              </w:rPr>
              <w:t xml:space="preserve"> is the standard combination for transformers, providing weight decay regularisation and smooth learning rate decay.</w:t>
            </w:r>
            <w:r>
              <w:rPr>
                <w:rFonts w:ascii="Arial" w:cs="Arial" w:eastAsia="Arial" w:hAnsi="Arial"/>
                <w:color w:val="0066CC"/>
                <w:sz w:val="18"/>
                <w:szCs w:val="18"/>
              </w:rPr>
              <w:t xml:space="preserve"> [13]</w:t>
            </w:r>
          </w:p>
          <w:p>
            <w:pPr>
              <w:pStyle w:val="ListParagraph"/>
              <w:numPr>
                <w:ilvl w:val="0"/>
                <w:numId w:val="2"/>
              </w:numPr>
              <w:spacing w:after="40" w:before="40"/>
            </w:pPr>
            <w:r>
              <w:rPr>
                <w:rFonts w:ascii="Arial" w:cs="Arial" w:eastAsia="Arial" w:hAnsi="Arial"/>
                <w:b/>
                <w:bCs/>
                <w:color w:val="1A1A2E"/>
                <w:sz w:val="20"/>
                <w:szCs w:val="20"/>
              </w:rPr>
              <w:t xml:space="preserve">Gradient clipping (max_norm=1.0)</w:t>
            </w:r>
            <w:r>
              <w:rPr>
                <w:rFonts w:ascii="Arial" w:cs="Arial" w:eastAsia="Arial" w:hAnsi="Arial"/>
                <w:color w:val="1A1A2E"/>
                <w:sz w:val="20"/>
                <w:szCs w:val="20"/>
              </w:rPr>
              <w:t xml:space="preserve"> is necessary for transformer stability and correctly applied.</w:t>
            </w:r>
            <w:r>
              <w:rPr>
                <w:rFonts w:ascii="Arial" w:cs="Arial" w:eastAsia="Arial" w:hAnsi="Arial"/>
                <w:color w:val="0066CC"/>
                <w:sz w:val="18"/>
                <w:szCs w:val="18"/>
              </w:rPr>
              <w:t xml:space="preserve"> [3]</w:t>
            </w:r>
          </w:p>
          <w:p>
            <w:pPr>
              <w:pStyle w:val="ListParagraph"/>
              <w:numPr>
                <w:ilvl w:val="0"/>
                <w:numId w:val="2"/>
              </w:numPr>
              <w:spacing w:after="40" w:before="40"/>
            </w:pPr>
            <w:r>
              <w:rPr>
                <w:rFonts w:ascii="Arial" w:cs="Arial" w:eastAsia="Arial" w:hAnsi="Arial"/>
                <w:b/>
                <w:bCs/>
                <w:color w:val="1A1A2E"/>
                <w:sz w:val="20"/>
                <w:szCs w:val="20"/>
              </w:rPr>
              <w:t xml:space="preserve">3-fold stratified CV stratified by trajectory class</w:t>
            </w:r>
            <w:r>
              <w:rPr>
                <w:rFonts w:ascii="Arial" w:cs="Arial" w:eastAsia="Arial" w:hAnsi="Arial"/>
                <w:color w:val="1A1A2E"/>
                <w:sz w:val="20"/>
                <w:szCs w:val="20"/>
              </w:rPr>
              <w:t xml:space="preserve"> ensures equal representation of PROG/STABLE/RESP in all splits, preventing class-imbalance bias in evaluation.</w:t>
            </w:r>
            <w:r>
              <w:rPr>
                <w:rFonts w:ascii="Arial" w:cs="Arial" w:eastAsia="Arial" w:hAnsi="Arial"/>
                <w:color w:val="0066CC"/>
                <w:sz w:val="18"/>
                <w:szCs w:val="18"/>
              </w:rPr>
              <w:t xml:space="preserve"> [14]</w:t>
            </w:r>
          </w:p>
          <w:p>
            <w:pPr>
              <w:pStyle w:val="ListParagraph"/>
              <w:numPr>
                <w:ilvl w:val="0"/>
                <w:numId w:val="2"/>
              </w:numPr>
              <w:spacing w:after="40" w:before="40"/>
            </w:pPr>
            <w:r>
              <w:rPr>
                <w:rFonts w:ascii="Arial" w:cs="Arial" w:eastAsia="Arial" w:hAnsi="Arial"/>
                <w:b/>
                <w:bCs/>
                <w:color w:val="1A1A2E"/>
                <w:sz w:val="20"/>
                <w:szCs w:val="20"/>
              </w:rPr>
              <w:t xml:space="preserve">Early stopping (patience=40)</w:t>
            </w:r>
            <w:r>
              <w:rPr>
                <w:rFonts w:ascii="Arial" w:cs="Arial" w:eastAsia="Arial" w:hAnsi="Arial"/>
                <w:color w:val="1A1A2E"/>
                <w:sz w:val="20"/>
                <w:szCs w:val="20"/>
              </w:rPr>
              <w:t xml:space="preserve"> on validation volume loss prevents overfitting without hard epoch limits.</w:t>
            </w:r>
          </w:p>
        </w:tc>
      </w:tr>
    </w:tbl>
    <w:p>
      <w:pPr>
        <w:spacing w:after="0" w:before="100"/>
      </w:pPr>
    </w:p>
    <w:p>
      <w:pPr>
        <w:pStyle w:val="Heading1"/>
        <w:pBdr>
          <w:bottom w:val="single" w:color="1B3A6B" w:sz="6" w:space="1"/>
        </w:pBdr>
        <w:spacing w:after="160" w:before="320"/>
      </w:pPr>
      <w:r>
        <w:rPr>
          <w:rFonts w:ascii="Arial" w:cs="Arial" w:eastAsia="Arial" w:hAnsi="Arial"/>
          <w:b/>
          <w:bCs/>
          <w:color w:val="1B3A6B"/>
          <w:sz w:val="28"/>
          <w:szCs w:val="28"/>
        </w:rPr>
        <w:t xml:space="preserve">3.  Areas for Improvement — Critical Findings</w:t>
      </w:r>
    </w:p>
    <w:p>
      <w:pPr>
        <w:pStyle w:val="Heading2"/>
        <w:spacing w:after="120" w:before="240"/>
      </w:pPr>
      <w:r>
        <w:rPr>
          <w:rFonts w:ascii="Arial" w:cs="Arial" w:eastAsia="Arial" w:hAnsi="Arial"/>
          <w:b/>
          <w:bCs/>
          <w:color w:val="1B3A6B"/>
          <w:sz w:val="24"/>
          <w:szCs w:val="24"/>
        </w:rPr>
        <w:t xml:space="preserve">3.1  Dataset Scale and Generalisability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FDE8E8" w:val="clear"/>
            <w:tcMar>
              <w:top w:type="dxa" w:w="120"/>
              <w:left w:type="dxa" w:w="200"/>
              <w:bottom w:type="dxa" w:w="120"/>
              <w:right w:type="dxa" w:w="200"/>
            </w:tcMar>
          </w:tcPr>
          <w:p>
            <w:pPr>
              <w:spacing w:after="80" w:before="0"/>
            </w:pPr>
            <w:r>
              <w:rPr>
                <w:rFonts w:ascii="Arial" w:cs="Arial" w:eastAsia="Arial" w:hAnsi="Arial"/>
                <w:b/>
                <w:bCs/>
                <w:color w:val="6B1A1A"/>
                <w:sz w:val="20"/>
                <w:szCs w:val="20"/>
              </w:rPr>
              <w:t xml:space="preserve">✗  150 patients / 23-patient test set is insufficient for clinical claims</w:t>
            </w:r>
          </w:p>
          <w:p>
            <w:pPr>
              <w:pStyle w:val="ListParagraph"/>
              <w:numPr>
                <w:ilvl w:val="0"/>
                <w:numId w:val="2"/>
              </w:numPr>
              <w:spacing w:after="40" w:before="40"/>
            </w:pPr>
            <w:r>
              <w:rPr>
                <w:rFonts w:ascii="Arial" w:cs="Arial" w:eastAsia="Arial" w:hAnsi="Arial"/>
                <w:b/>
                <w:bCs/>
                <w:color w:val="1A1A2E"/>
                <w:sz w:val="20"/>
                <w:szCs w:val="20"/>
              </w:rPr>
              <w:t xml:space="preserve">23-patient test set</w:t>
            </w:r>
            <w:r>
              <w:rPr>
                <w:rFonts w:ascii="Arial" w:cs="Arial" w:eastAsia="Arial" w:hAnsi="Arial"/>
                <w:color w:val="1A1A2E"/>
                <w:sz w:val="20"/>
                <w:szCs w:val="20"/>
              </w:rPr>
              <w:t xml:space="preserve"> means each R² and MAE value has extremely wide confidence intervals. A single outlier patient can shift WT MAE by &gt;1 mL. Confidence intervals should be reported around all metrics (bootstrapped CIs or fold-level variance).</w:t>
            </w:r>
            <w:r>
              <w:rPr>
                <w:rFonts w:ascii="Arial" w:cs="Arial" w:eastAsia="Arial" w:hAnsi="Arial"/>
                <w:color w:val="0066CC"/>
                <w:sz w:val="18"/>
                <w:szCs w:val="18"/>
              </w:rPr>
              <w:t xml:space="preserve"> [15]</w:t>
            </w:r>
          </w:p>
          <w:p>
            <w:pPr>
              <w:pStyle w:val="ListParagraph"/>
              <w:numPr>
                <w:ilvl w:val="0"/>
                <w:numId w:val="2"/>
              </w:numPr>
              <w:spacing w:after="40" w:before="40"/>
            </w:pPr>
            <w:r>
              <w:rPr>
                <w:rFonts w:ascii="Arial" w:cs="Arial" w:eastAsia="Arial" w:hAnsi="Arial"/>
                <w:color w:val="1A1A2E"/>
                <w:sz w:val="20"/>
                <w:szCs w:val="20"/>
              </w:rPr>
              <w:t xml:space="preserve">The literature on deep learning for glioma generally reports </w:t>
            </w:r>
            <w:r>
              <w:rPr>
                <w:rFonts w:ascii="Arial" w:cs="Arial" w:eastAsia="Arial" w:hAnsi="Arial"/>
                <w:b/>
                <w:bCs/>
                <w:color w:val="1A1A2E"/>
                <w:sz w:val="20"/>
                <w:szCs w:val="20"/>
              </w:rPr>
              <w:t xml:space="preserve">N &gt; 300 patients</w:t>
            </w:r>
            <w:r>
              <w:rPr>
                <w:rFonts w:ascii="Arial" w:cs="Arial" w:eastAsia="Arial" w:hAnsi="Arial"/>
                <w:color w:val="1A1A2E"/>
                <w:sz w:val="20"/>
                <w:szCs w:val="20"/>
              </w:rPr>
              <w:t xml:space="preserve"> as a minimum for meaningful generalisation claims. BraTS 2023 used 1,251 patients for segmentation benchmarking.</w:t>
            </w:r>
            <w:r>
              <w:rPr>
                <w:rFonts w:ascii="Arial" w:cs="Arial" w:eastAsia="Arial" w:hAnsi="Arial"/>
                <w:color w:val="0066CC"/>
                <w:sz w:val="18"/>
                <w:szCs w:val="18"/>
              </w:rPr>
              <w:t xml:space="preserve"> [6,16]</w:t>
            </w:r>
          </w:p>
          <w:p>
            <w:pPr>
              <w:pStyle w:val="ListParagraph"/>
              <w:numPr>
                <w:ilvl w:val="0"/>
                <w:numId w:val="2"/>
              </w:numPr>
              <w:spacing w:after="40" w:before="40"/>
            </w:pPr>
            <w:r>
              <w:rPr>
                <w:rFonts w:ascii="Arial" w:cs="Arial" w:eastAsia="Arial" w:hAnsi="Arial"/>
                <w:b/>
                <w:bCs/>
                <w:color w:val="1A1A2E"/>
                <w:sz w:val="20"/>
                <w:szCs w:val="20"/>
              </w:rPr>
              <w:t xml:space="preserve">No external cohort validation</w:t>
            </w:r>
            <w:r>
              <w:rPr>
                <w:rFonts w:ascii="Arial" w:cs="Arial" w:eastAsia="Arial" w:hAnsi="Arial"/>
                <w:color w:val="1A1A2E"/>
                <w:sz w:val="20"/>
                <w:szCs w:val="20"/>
              </w:rPr>
              <w:t xml:space="preserve"> means it is unknown whether the model transfers to a different MRI scanner, protocol, or patient population. This is a fundamental requirement for clinical translation.</w:t>
            </w:r>
            <w:r>
              <w:rPr>
                <w:rFonts w:ascii="Arial" w:cs="Arial" w:eastAsia="Arial" w:hAnsi="Arial"/>
                <w:color w:val="0066CC"/>
                <w:sz w:val="18"/>
                <w:szCs w:val="18"/>
              </w:rPr>
              <w:t xml:space="preserve"> [15]</w:t>
            </w:r>
          </w:p>
          <w:p>
            <w:pPr>
              <w:pStyle w:val="ListParagraph"/>
              <w:numPr>
                <w:ilvl w:val="0"/>
                <w:numId w:val="2"/>
              </w:numPr>
              <w:spacing w:after="40" w:before="40"/>
            </w:pPr>
            <w:r>
              <w:rPr>
                <w:rFonts w:ascii="Arial" w:cs="Arial" w:eastAsia="Arial" w:hAnsi="Arial"/>
                <w:color w:val="1A1A2E"/>
                <w:sz w:val="20"/>
                <w:szCs w:val="20"/>
              </w:rPr>
              <w:t xml:space="preserve">Recommendation: Report </w:t>
            </w:r>
            <w:r>
              <w:rPr>
                <w:rFonts w:ascii="Arial" w:cs="Arial" w:eastAsia="Arial" w:hAnsi="Arial"/>
                <w:b/>
                <w:bCs/>
                <w:color w:val="1A1A2E"/>
                <w:sz w:val="20"/>
                <w:szCs w:val="20"/>
              </w:rPr>
              <w:t xml:space="preserve">95% bootstrap confidence intervals</w:t>
            </w:r>
            <w:r>
              <w:rPr>
                <w:rFonts w:ascii="Arial" w:cs="Arial" w:eastAsia="Arial" w:hAnsi="Arial"/>
                <w:color w:val="1A1A2E"/>
                <w:sz w:val="20"/>
                <w:szCs w:val="20"/>
              </w:rPr>
              <w:t xml:space="preserve"> on all reported metrics, and clearly frame all results as </w:t>
            </w:r>
            <w:r>
              <w:rPr>
                <w:rFonts w:ascii="Arial" w:cs="Arial" w:eastAsia="Arial" w:hAnsi="Arial"/>
                <w:i/>
                <w:iCs/>
                <w:color w:val="555555"/>
                <w:sz w:val="20"/>
                <w:szCs w:val="20"/>
              </w:rPr>
              <w:t xml:space="preserve">proof-of-concept on a single-centre cohort</w:t>
            </w:r>
            <w:r>
              <w:rPr>
                <w:rFonts w:ascii="Arial" w:cs="Arial" w:eastAsia="Arial" w:hAnsi="Arial"/>
                <w:color w:val="1A1A2E"/>
                <w:sz w:val="20"/>
                <w:szCs w:val="20"/>
              </w:rPr>
              <w:t xml:space="preserve"> rather than clinical validation.</w:t>
            </w:r>
          </w:p>
        </w:tc>
      </w:tr>
    </w:tbl>
    <w:p>
      <w:pPr>
        <w:spacing w:after="0" w:before="80"/>
      </w:pPr>
    </w:p>
    <w:p>
      <w:pPr>
        <w:pStyle w:val="Heading2"/>
        <w:spacing w:after="120" w:before="240"/>
      </w:pPr>
      <w:r>
        <w:rPr>
          <w:rFonts w:ascii="Arial" w:cs="Arial" w:eastAsia="Arial" w:hAnsi="Arial"/>
          <w:b/>
          <w:bCs/>
          <w:color w:val="1B3A6B"/>
          <w:sz w:val="24"/>
          <w:szCs w:val="24"/>
        </w:rPr>
        <w:t xml:space="preserve">3.2  Trajectory Classification Performance  [SIGNIFICANT]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FDE8E8" w:val="clear"/>
            <w:tcMar>
              <w:top w:type="dxa" w:w="120"/>
              <w:left w:type="dxa" w:w="200"/>
              <w:bottom w:type="dxa" w:w="120"/>
              <w:right w:type="dxa" w:w="200"/>
            </w:tcMar>
          </w:tcPr>
          <w:p>
            <w:pPr>
              <w:spacing w:after="80" w:before="0"/>
            </w:pPr>
            <w:r>
              <w:rPr>
                <w:rFonts w:ascii="Arial" w:cs="Arial" w:eastAsia="Arial" w:hAnsi="Arial"/>
                <w:b/>
                <w:bCs/>
                <w:color w:val="6B1A1A"/>
                <w:sz w:val="20"/>
                <w:szCs w:val="20"/>
              </w:rPr>
              <w:t xml:space="preserve">✗  39.1% TrajAcc is only marginally above a random 33.3% baseline</w:t>
            </w:r>
          </w:p>
          <w:p>
            <w:pPr>
              <w:pStyle w:val="ListParagraph"/>
              <w:numPr>
                <w:ilvl w:val="0"/>
                <w:numId w:val="2"/>
              </w:numPr>
              <w:spacing w:after="40" w:before="40"/>
            </w:pPr>
            <w:r>
              <w:rPr>
                <w:rFonts w:ascii="Arial" w:cs="Arial" w:eastAsia="Arial" w:hAnsi="Arial"/>
                <w:color w:val="1A1A2E"/>
                <w:sz w:val="20"/>
                <w:szCs w:val="20"/>
              </w:rPr>
              <w:t xml:space="preserve">The </w:t>
            </w:r>
            <w:r>
              <w:rPr>
                <w:rFonts w:ascii="Arial" w:cs="Arial" w:eastAsia="Arial" w:hAnsi="Arial"/>
                <w:b/>
                <w:bCs/>
                <w:color w:val="1A1A2E"/>
                <w:sz w:val="20"/>
                <w:szCs w:val="20"/>
              </w:rPr>
              <w:t xml:space="preserve">+5.8 percentage-point improvement</w:t>
            </w:r>
            <w:r>
              <w:rPr>
                <w:rFonts w:ascii="Arial" w:cs="Arial" w:eastAsia="Arial" w:hAnsi="Arial"/>
                <w:color w:val="1A1A2E"/>
                <w:sz w:val="20"/>
                <w:szCs w:val="20"/>
              </w:rPr>
              <w:t xml:space="preserve"> over random chance for a 3-class problem is statistically fragile on 23 patients (roughly 1–2 patients). Cohen's κ should be reported alongside accuracy to account for chance agreement.</w:t>
            </w:r>
            <w:r>
              <w:rPr>
                <w:rFonts w:ascii="Arial" w:cs="Arial" w:eastAsia="Arial" w:hAnsi="Arial"/>
                <w:color w:val="0066CC"/>
                <w:sz w:val="18"/>
                <w:szCs w:val="18"/>
              </w:rPr>
              <w:t xml:space="preserve"> [17]</w:t>
            </w:r>
          </w:p>
          <w:p>
            <w:pPr>
              <w:pStyle w:val="ListParagraph"/>
              <w:numPr>
                <w:ilvl w:val="0"/>
                <w:numId w:val="2"/>
              </w:numPr>
              <w:spacing w:after="40" w:before="40"/>
            </w:pPr>
            <w:r>
              <w:rPr>
                <w:rFonts w:ascii="Arial" w:cs="Arial" w:eastAsia="Arial" w:hAnsi="Arial"/>
                <w:color w:val="1A1A2E"/>
                <w:sz w:val="20"/>
                <w:szCs w:val="20"/>
              </w:rPr>
              <w:t xml:space="preserve">The class imbalance (PROG 55%, STABLE 20%, RESP 25%) means a majority-class classifier would achieve 55% accuracy — making 39.1% appear </w:t>
            </w:r>
            <w:r>
              <w:rPr>
                <w:rFonts w:ascii="Arial" w:cs="Arial" w:eastAsia="Arial" w:hAnsi="Arial"/>
                <w:b/>
                <w:bCs/>
                <w:color w:val="1A1A2E"/>
                <w:sz w:val="20"/>
                <w:szCs w:val="20"/>
              </w:rPr>
              <w:t xml:space="preserve">below</w:t>
            </w:r>
            <w:r>
              <w:rPr>
                <w:rFonts w:ascii="Arial" w:cs="Arial" w:eastAsia="Arial" w:hAnsi="Arial"/>
                <w:color w:val="1A1A2E"/>
                <w:sz w:val="20"/>
                <w:szCs w:val="20"/>
              </w:rPr>
              <w:t xml:space="preserve"> the trivial baseline for this specific imbalance.</w:t>
            </w:r>
            <w:r>
              <w:rPr>
                <w:rFonts w:ascii="Arial" w:cs="Arial" w:eastAsia="Arial" w:hAnsi="Arial"/>
                <w:color w:val="0066CC"/>
                <w:sz w:val="18"/>
                <w:szCs w:val="18"/>
              </w:rPr>
              <w:t xml:space="preserve"> [12]</w:t>
            </w:r>
          </w:p>
          <w:p>
            <w:pPr>
              <w:pStyle w:val="ListParagraph"/>
              <w:numPr>
                <w:ilvl w:val="0"/>
                <w:numId w:val="2"/>
              </w:numPr>
              <w:spacing w:after="40" w:before="40"/>
            </w:pPr>
            <w:r>
              <w:rPr>
                <w:rFonts w:ascii="Arial" w:cs="Arial" w:eastAsia="Arial" w:hAnsi="Arial"/>
                <w:b/>
                <w:bCs/>
                <w:color w:val="1A1A2E"/>
                <w:sz w:val="20"/>
                <w:szCs w:val="20"/>
              </w:rPr>
              <w:t xml:space="preserve">Recommendation</w:t>
            </w:r>
            <w:r>
              <w:rPr>
                <w:rFonts w:ascii="Arial" w:cs="Arial" w:eastAsia="Arial" w:hAnsi="Arial"/>
                <w:color w:val="1A1A2E"/>
                <w:sz w:val="20"/>
                <w:szCs w:val="20"/>
              </w:rPr>
              <w:t xml:space="preserve">: (1) Report balanced accuracy, F1-macro, and Cohen's κ. (2) Investigate whether the CLS head benefits from the molecular prefix — attention visualisation may reveal whether the last token integrates molecular context.</w:t>
            </w:r>
          </w:p>
          <w:p>
            <w:pPr>
              <w:pStyle w:val="ListParagraph"/>
              <w:numPr>
                <w:ilvl w:val="0"/>
                <w:numId w:val="2"/>
              </w:numPr>
              <w:spacing w:after="40" w:before="40"/>
            </w:pPr>
            <w:r>
              <w:rPr>
                <w:rFonts w:ascii="Arial" w:cs="Arial" w:eastAsia="Arial" w:hAnsi="Arial"/>
                <w:color w:val="1A1A2E"/>
                <w:sz w:val="20"/>
                <w:szCs w:val="20"/>
              </w:rPr>
              <w:t xml:space="preserve">If classification remains weak, consider: reframing as </w:t>
            </w:r>
            <w:r>
              <w:rPr>
                <w:rFonts w:ascii="Arial" w:cs="Arial" w:eastAsia="Arial" w:hAnsi="Arial"/>
                <w:b/>
                <w:bCs/>
                <w:color w:val="1A1A2E"/>
                <w:sz w:val="20"/>
                <w:szCs w:val="20"/>
              </w:rPr>
              <w:t xml:space="preserve">binary PROG vs non-PROG</w:t>
            </w:r>
            <w:r>
              <w:rPr>
                <w:rFonts w:ascii="Arial" w:cs="Arial" w:eastAsia="Arial" w:hAnsi="Arial"/>
                <w:color w:val="1A1A2E"/>
                <w:sz w:val="20"/>
                <w:szCs w:val="20"/>
              </w:rPr>
              <w:t xml:space="preserve"> (more clinically actionable), or removing the CLS head and focusing on trajectory definition purely from the delta predictions.</w:t>
            </w:r>
          </w:p>
        </w:tc>
      </w:tr>
    </w:tbl>
    <w:p>
      <w:pPr>
        <w:spacing w:after="0" w:before="80"/>
      </w:pPr>
    </w:p>
    <w:p>
      <w:pPr>
        <w:pStyle w:val="Heading2"/>
        <w:spacing w:after="120" w:before="240"/>
      </w:pPr>
      <w:r>
        <w:rPr>
          <w:rFonts w:ascii="Arial" w:cs="Arial" w:eastAsia="Arial" w:hAnsi="Arial"/>
          <w:b/>
          <w:bCs/>
          <w:color w:val="1B3A6B"/>
          <w:sz w:val="24"/>
          <w:szCs w:val="24"/>
        </w:rPr>
        <w:t xml:space="preserve">3.3  Volume Anchor Leakage Risk  [SIGNIFICANT]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FFF8E8" w:val="clear"/>
            <w:tcMar>
              <w:top w:type="dxa" w:w="120"/>
              <w:left w:type="dxa" w:w="200"/>
              <w:bottom w:type="dxa" w:w="120"/>
              <w:right w:type="dxa" w:w="200"/>
            </w:tcMar>
          </w:tcPr>
          <w:p>
            <w:pPr>
              <w:spacing w:after="80" w:before="0"/>
            </w:pPr>
            <w:r>
              <w:rPr>
                <w:rFonts w:ascii="Arial" w:cs="Arial" w:eastAsia="Arial" w:hAnsi="Arial"/>
                <w:b/>
                <w:bCs/>
                <w:color w:val="7B4F00"/>
                <w:sz w:val="20"/>
                <w:szCs w:val="20"/>
              </w:rPr>
              <w:t xml:space="preserve">△  vol_feats bypass may inflate volume prediction metrics</w:t>
            </w:r>
          </w:p>
          <w:p>
            <w:pPr>
              <w:pStyle w:val="ListParagraph"/>
              <w:numPr>
                <w:ilvl w:val="0"/>
                <w:numId w:val="2"/>
              </w:numPr>
              <w:spacing w:after="40" w:before="40"/>
            </w:pPr>
            <w:r>
              <w:rPr>
                <w:rFonts w:ascii="Arial" w:cs="Arial" w:eastAsia="Arial" w:hAnsi="Arial"/>
                <w:color w:val="1A1A2E"/>
                <w:sz w:val="20"/>
                <w:szCs w:val="20"/>
              </w:rPr>
              <w:t xml:space="preserve">The </w:t>
            </w:r>
            <w:r>
              <w:rPr>
                <w:rFonts w:ascii="Arial" w:cs="Arial" w:eastAsia="Arial" w:hAnsi="Arial"/>
                <w:b/>
                <w:bCs/>
                <w:color w:val="1A1A2E"/>
                <w:sz w:val="20"/>
                <w:szCs w:val="20"/>
              </w:rPr>
              <w:t xml:space="preserve">9-D vol_feats</w:t>
            </w:r>
            <w:r>
              <w:rPr>
                <w:rFonts w:ascii="Arial" w:cs="Arial" w:eastAsia="Arial" w:hAnsi="Arial"/>
                <w:color w:val="1A1A2E"/>
                <w:sz w:val="20"/>
                <w:szCs w:val="20"/>
              </w:rPr>
              <w:t xml:space="preserve"> (dims 2816–2824 of the nnU-Net embedding) include log1p(WT), log1p(TC), log1p(ET) — i.e., near-direct representations of the ground-truth target — and these are fed </w:t>
            </w:r>
            <w:r>
              <w:rPr>
                <w:rFonts w:ascii="Arial" w:cs="Arial" w:eastAsia="Arial" w:hAnsi="Arial"/>
                <w:i/>
                <w:iCs/>
                <w:color w:val="555555"/>
                <w:sz w:val="20"/>
                <w:szCs w:val="20"/>
              </w:rPr>
              <w:t xml:space="preserve">directly</w:t>
            </w:r>
            <w:r>
              <w:rPr>
                <w:rFonts w:ascii="Arial" w:cs="Arial" w:eastAsia="Arial" w:hAnsi="Arial"/>
                <w:color w:val="1A1A2E"/>
                <w:sz w:val="20"/>
                <w:szCs w:val="20"/>
              </w:rPr>
              <w:t xml:space="preserve"> to the VolDecoder, bypassing the transformer.</w:t>
            </w:r>
            <w:r>
              <w:rPr>
                <w:rFonts w:ascii="Arial" w:cs="Arial" w:eastAsia="Arial" w:hAnsi="Arial"/>
                <w:color w:val="0066CC"/>
                <w:sz w:val="18"/>
                <w:szCs w:val="18"/>
              </w:rPr>
              <w:t xml:space="preserve"> [6]</w:t>
            </w:r>
          </w:p>
          <w:p>
            <w:pPr>
              <w:pStyle w:val="ListParagraph"/>
              <w:numPr>
                <w:ilvl w:val="0"/>
                <w:numId w:val="2"/>
              </w:numPr>
              <w:spacing w:after="40" w:before="40"/>
            </w:pPr>
            <w:r>
              <w:rPr>
                <w:rFonts w:ascii="Arial" w:cs="Arial" w:eastAsia="Arial" w:hAnsi="Arial"/>
                <w:color w:val="1A1A2E"/>
                <w:sz w:val="20"/>
                <w:szCs w:val="20"/>
              </w:rPr>
              <w:t xml:space="preserve">If </w:t>
            </w:r>
            <w:r>
              <w:rPr>
                <w:rFonts w:ascii="Arial" w:cs="Arial" w:eastAsia="Arial" w:hAnsi="Arial"/>
                <w:b/>
                <w:bCs/>
                <w:color w:val="1A1A2E"/>
                <w:sz w:val="20"/>
                <w:szCs w:val="20"/>
              </w:rPr>
              <w:t xml:space="preserve">vol_feats dominate</w:t>
            </w:r>
            <w:r>
              <w:rPr>
                <w:rFonts w:ascii="Arial" w:cs="Arial" w:eastAsia="Arial" w:hAnsi="Arial"/>
                <w:color w:val="1A1A2E"/>
                <w:sz w:val="20"/>
                <w:szCs w:val="20"/>
              </w:rPr>
              <w:t xml:space="preserve"> the VolDecoder's predictions (rather than tok_out), then reported R² values are measuring nnU-Net's intrinsic accuracy, not TaViT's trajectory-modelling contribution. Ablation B1 (removing vol_feats) is therefore the most important experiment to run.</w:t>
            </w:r>
          </w:p>
          <w:p>
            <w:pPr>
              <w:pStyle w:val="ListParagraph"/>
              <w:numPr>
                <w:ilvl w:val="0"/>
                <w:numId w:val="2"/>
              </w:numPr>
              <w:spacing w:after="40" w:before="40"/>
            </w:pPr>
            <w:r>
              <w:rPr>
                <w:rFonts w:ascii="Arial" w:cs="Arial" w:eastAsia="Arial" w:hAnsi="Arial"/>
                <w:b/>
                <w:bCs/>
                <w:color w:val="1A1A2E"/>
                <w:sz w:val="20"/>
                <w:szCs w:val="20"/>
              </w:rPr>
              <w:t xml:space="preserve">Recommendation</w:t>
            </w:r>
            <w:r>
              <w:rPr>
                <w:rFonts w:ascii="Arial" w:cs="Arial" w:eastAsia="Arial" w:hAnsi="Arial"/>
                <w:color w:val="1A1A2E"/>
                <w:sz w:val="20"/>
                <w:szCs w:val="20"/>
              </w:rPr>
              <w:t xml:space="preserve">: Run B1 urgently. If R² drops only modestly (&lt;5%), the transformer is genuinely contributing. If R² collapses, the reported metrics are primarily reflecting the nnU-Net quality, and the claim about TaViT's contribution must be qualified.</w:t>
            </w:r>
          </w:p>
        </w:tc>
      </w:tr>
    </w:tbl>
    <w:p>
      <w:pPr>
        <w:spacing w:after="0" w:before="80"/>
      </w:pPr>
    </w:p>
    <w:p>
      <w:pPr>
        <w:pStyle w:val="Heading2"/>
        <w:spacing w:after="120" w:before="240"/>
      </w:pPr>
      <w:r>
        <w:rPr>
          <w:rFonts w:ascii="Arial" w:cs="Arial" w:eastAsia="Arial" w:hAnsi="Arial"/>
          <w:b/>
          <w:bCs/>
          <w:color w:val="1B3A6B"/>
          <w:sz w:val="24"/>
          <w:szCs w:val="24"/>
        </w:rPr>
        <w:t xml:space="preserve">3.4  Lack of Uncertainty Quantification  [SIGNIFICANT]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FFF8E8" w:val="clear"/>
            <w:tcMar>
              <w:top w:type="dxa" w:w="120"/>
              <w:left w:type="dxa" w:w="200"/>
              <w:bottom w:type="dxa" w:w="120"/>
              <w:right w:type="dxa" w:w="200"/>
            </w:tcMar>
          </w:tcPr>
          <w:p>
            <w:pPr>
              <w:spacing w:after="80" w:before="0"/>
            </w:pPr>
            <w:r>
              <w:rPr>
                <w:rFonts w:ascii="Arial" w:cs="Arial" w:eastAsia="Arial" w:hAnsi="Arial"/>
                <w:b/>
                <w:bCs/>
                <w:color w:val="7B4F00"/>
                <w:sz w:val="20"/>
                <w:szCs w:val="20"/>
              </w:rPr>
              <w:t xml:space="preserve">△  Point predictions are insufficient for clinical decision support</w:t>
            </w:r>
          </w:p>
          <w:p>
            <w:pPr>
              <w:pStyle w:val="ListParagraph"/>
              <w:numPr>
                <w:ilvl w:val="0"/>
                <w:numId w:val="2"/>
              </w:numPr>
              <w:spacing w:after="40" w:before="40"/>
            </w:pPr>
            <w:r>
              <w:rPr>
                <w:rFonts w:ascii="Arial" w:cs="Arial" w:eastAsia="Arial" w:hAnsi="Arial"/>
                <w:color w:val="1A1A2E"/>
                <w:sz w:val="20"/>
                <w:szCs w:val="20"/>
              </w:rPr>
              <w:t xml:space="preserve">TaViT outputs single-point volume predictions with no measure of confidence. Clinical use of volume trajectories for treatment decisions requires </w:t>
            </w:r>
            <w:r>
              <w:rPr>
                <w:rFonts w:ascii="Arial" w:cs="Arial" w:eastAsia="Arial" w:hAnsi="Arial"/>
                <w:b/>
                <w:bCs/>
                <w:color w:val="1A1A2E"/>
                <w:sz w:val="20"/>
                <w:szCs w:val="20"/>
              </w:rPr>
              <w:t xml:space="preserve">calibrated prediction intervals.</w:t>
            </w:r>
            <w:r>
              <w:rPr>
                <w:rFonts w:ascii="Arial" w:cs="Arial" w:eastAsia="Arial" w:hAnsi="Arial"/>
                <w:color w:val="0066CC"/>
                <w:sz w:val="18"/>
                <w:szCs w:val="18"/>
              </w:rPr>
              <w:t xml:space="preserve"> [18]</w:t>
            </w:r>
          </w:p>
          <w:p>
            <w:pPr>
              <w:pStyle w:val="ListParagraph"/>
              <w:numPr>
                <w:ilvl w:val="0"/>
                <w:numId w:val="2"/>
              </w:numPr>
              <w:spacing w:after="40" w:before="40"/>
            </w:pPr>
            <w:r>
              <w:rPr>
                <w:rFonts w:ascii="Arial" w:cs="Arial" w:eastAsia="Arial" w:hAnsi="Arial"/>
                <w:b/>
                <w:bCs/>
                <w:color w:val="1A1A2E"/>
                <w:sz w:val="20"/>
                <w:szCs w:val="20"/>
              </w:rPr>
              <w:t xml:space="preserve">Recommended approaches (cheapest first):</w:t>
            </w:r>
            <w:r>
              <w:rPr>
                <w:rFonts w:ascii="Arial" w:cs="Arial" w:eastAsia="Arial" w:hAnsi="Arial"/>
                <w:color w:val="1A1A2E"/>
                <w:sz w:val="20"/>
                <w:szCs w:val="20"/>
              </w:rPr>
              <w:t xml:space="preserve"/>
            </w:r>
          </w:p>
          <w:p>
            <w:pPr>
              <w:pStyle w:val="ListParagraph"/>
              <w:numPr>
                <w:ilvl w:val="0"/>
                <w:numId w:val="2"/>
              </w:numPr>
              <w:spacing w:after="40" w:before="40"/>
            </w:pPr>
            <w:r>
              <w:rPr>
                <w:rFonts w:ascii="Arial" w:cs="Arial" w:eastAsia="Arial" w:hAnsi="Arial"/>
                <w:color w:val="1A1A2E"/>
                <w:sz w:val="20"/>
                <w:szCs w:val="20"/>
              </w:rPr>
              <w:t xml:space="preserve">(a) Monte Carlo Dropout</w:t>
            </w:r>
            <w:r>
              <w:rPr>
                <w:rFonts w:ascii="Arial" w:cs="Arial" w:eastAsia="Arial" w:hAnsi="Arial"/>
                <w:color w:val="1A1A2E"/>
                <w:sz w:val="20"/>
                <w:szCs w:val="20"/>
              </w:rPr>
              <w:t xml:space="preserve">: enable Dropout(0.2) at inference time, run N=100 forward passes, report mean ± 2σ. Zero additional training cost.</w:t>
            </w:r>
            <w:r>
              <w:rPr>
                <w:rFonts w:ascii="Arial" w:cs="Arial" w:eastAsia="Arial" w:hAnsi="Arial"/>
                <w:color w:val="0066CC"/>
                <w:sz w:val="18"/>
                <w:szCs w:val="18"/>
              </w:rPr>
              <w:t xml:space="preserve"> [18]</w:t>
            </w:r>
          </w:p>
          <w:p>
            <w:pPr>
              <w:pStyle w:val="ListParagraph"/>
              <w:numPr>
                <w:ilvl w:val="0"/>
                <w:numId w:val="2"/>
              </w:numPr>
              <w:spacing w:after="40" w:before="40"/>
            </w:pPr>
            <w:r>
              <w:rPr>
                <w:rFonts w:ascii="Arial" w:cs="Arial" w:eastAsia="Arial" w:hAnsi="Arial"/>
                <w:color w:val="1A1A2E"/>
                <w:sz w:val="20"/>
                <w:szCs w:val="20"/>
              </w:rPr>
              <w:t xml:space="preserve">(b) Deep Ensembles</w:t>
            </w:r>
            <w:r>
              <w:rPr>
                <w:rFonts w:ascii="Arial" w:cs="Arial" w:eastAsia="Arial" w:hAnsi="Arial"/>
                <w:color w:val="1A1A2E"/>
                <w:sz w:val="20"/>
                <w:szCs w:val="20"/>
              </w:rPr>
              <w:t xml:space="preserve">: train 5 independent models on the same folds, average predictions. Well-calibrated and consistently outperforms single models.</w:t>
            </w:r>
            <w:r>
              <w:rPr>
                <w:rFonts w:ascii="Arial" w:cs="Arial" w:eastAsia="Arial" w:hAnsi="Arial"/>
                <w:color w:val="0066CC"/>
                <w:sz w:val="18"/>
                <w:szCs w:val="18"/>
              </w:rPr>
              <w:t xml:space="preserve"> [19]</w:t>
            </w:r>
          </w:p>
          <w:p>
            <w:pPr>
              <w:pStyle w:val="ListParagraph"/>
              <w:numPr>
                <w:ilvl w:val="0"/>
                <w:numId w:val="2"/>
              </w:numPr>
              <w:spacing w:after="40" w:before="40"/>
            </w:pPr>
            <w:r>
              <w:rPr>
                <w:rFonts w:ascii="Arial" w:cs="Arial" w:eastAsia="Arial" w:hAnsi="Arial"/>
                <w:color w:val="1A1A2E"/>
                <w:sz w:val="20"/>
                <w:szCs w:val="20"/>
              </w:rPr>
              <w:t xml:space="preserve">(c) Conformal Prediction</w:t>
            </w:r>
            <w:r>
              <w:rPr>
                <w:rFonts w:ascii="Arial" w:cs="Arial" w:eastAsia="Arial" w:hAnsi="Arial"/>
                <w:color w:val="1A1A2E"/>
                <w:sz w:val="20"/>
                <w:szCs w:val="20"/>
              </w:rPr>
              <w:t xml:space="preserve">: provides distribution-free coverage guarantees on held-out calibration set — well-suited to small N.</w:t>
            </w:r>
            <w:r>
              <w:rPr>
                <w:rFonts w:ascii="Arial" w:cs="Arial" w:eastAsia="Arial" w:hAnsi="Arial"/>
                <w:color w:val="0066CC"/>
                <w:sz w:val="18"/>
                <w:szCs w:val="18"/>
              </w:rPr>
              <w:t xml:space="preserve"> [20]</w:t>
            </w:r>
          </w:p>
          <w:p>
            <w:pPr>
              <w:pStyle w:val="ListParagraph"/>
              <w:numPr>
                <w:ilvl w:val="0"/>
                <w:numId w:val="2"/>
              </w:numPr>
              <w:spacing w:after="40" w:before="40"/>
            </w:pPr>
            <w:r>
              <w:rPr>
                <w:rFonts w:ascii="Arial" w:cs="Arial" w:eastAsia="Arial" w:hAnsi="Arial"/>
                <w:b/>
                <w:bCs/>
                <w:color w:val="1A1A2E"/>
                <w:sz w:val="20"/>
                <w:szCs w:val="20"/>
              </w:rPr>
              <w:t xml:space="preserve">Recommendation</w:t>
            </w:r>
            <w:r>
              <w:rPr>
                <w:rFonts w:ascii="Arial" w:cs="Arial" w:eastAsia="Arial" w:hAnsi="Arial"/>
                <w:color w:val="1A1A2E"/>
                <w:sz w:val="20"/>
                <w:szCs w:val="20"/>
              </w:rPr>
              <w:t xml:space="preserve">: At minimum, implement MC Dropout (option a) and add a calibration plot (expected vs observed volume coverage) to the thesis.</w:t>
            </w:r>
          </w:p>
        </w:tc>
      </w:tr>
    </w:tbl>
    <w:p>
      <w:pPr>
        <w:spacing w:after="0" w:before="80"/>
      </w:pPr>
    </w:p>
    <w:p>
      <w:pPr>
        <w:pStyle w:val="Heading2"/>
        <w:spacing w:after="120" w:before="240"/>
      </w:pPr>
      <w:r>
        <w:rPr>
          <w:rFonts w:ascii="Arial" w:cs="Arial" w:eastAsia="Arial" w:hAnsi="Arial"/>
          <w:b/>
          <w:bCs/>
          <w:color w:val="1B3A6B"/>
          <w:sz w:val="24"/>
          <w:szCs w:val="24"/>
        </w:rPr>
        <w:t xml:space="preserve">3.5  VOCEG Causal Validity  [SIGNIFICANT]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FFF8E8" w:val="clear"/>
            <w:tcMar>
              <w:top w:type="dxa" w:w="120"/>
              <w:left w:type="dxa" w:w="200"/>
              <w:bottom w:type="dxa" w:w="120"/>
              <w:right w:type="dxa" w:w="200"/>
            </w:tcMar>
          </w:tcPr>
          <w:p>
            <w:pPr>
              <w:spacing w:after="80" w:before="0"/>
            </w:pPr>
            <w:r>
              <w:rPr>
                <w:rFonts w:ascii="Arial" w:cs="Arial" w:eastAsia="Arial" w:hAnsi="Arial"/>
                <w:b/>
                <w:bCs/>
                <w:color w:val="7B4F00"/>
                <w:sz w:val="20"/>
                <w:szCs w:val="20"/>
              </w:rPr>
              <w:t xml:space="preserve">△  Counterfactual projections conflate correlation with causal effect</w:t>
            </w:r>
          </w:p>
          <w:p>
            <w:pPr>
              <w:pStyle w:val="ListParagraph"/>
              <w:numPr>
                <w:ilvl w:val="0"/>
                <w:numId w:val="2"/>
              </w:numPr>
              <w:spacing w:after="40" w:before="40"/>
            </w:pPr>
            <w:r>
              <w:rPr>
                <w:rFonts w:ascii="Arial" w:cs="Arial" w:eastAsia="Arial" w:hAnsi="Arial"/>
                <w:color w:val="1A1A2E"/>
                <w:sz w:val="20"/>
                <w:szCs w:val="20"/>
              </w:rPr>
              <w:t xml:space="preserve">VOCEG generates counterfactual tumour trajectories (e.g., 'what if this patient had received RT?'), but the model is </w:t>
            </w:r>
            <w:r>
              <w:rPr>
                <w:rFonts w:ascii="Arial" w:cs="Arial" w:eastAsia="Arial" w:hAnsi="Arial"/>
                <w:b/>
                <w:bCs/>
                <w:color w:val="1A1A2E"/>
                <w:sz w:val="20"/>
                <w:szCs w:val="20"/>
              </w:rPr>
              <w:t xml:space="preserve">trained on observational data</w:t>
            </w:r>
            <w:r>
              <w:rPr>
                <w:rFonts w:ascii="Arial" w:cs="Arial" w:eastAsia="Arial" w:hAnsi="Arial"/>
                <w:color w:val="1A1A2E"/>
                <w:sz w:val="20"/>
                <w:szCs w:val="20"/>
              </w:rPr>
              <w:t xml:space="preserve"> where treatment assignment is confounded by patient severity. Sicker patients receive more aggressive treatment; this correlation is baked into the training distribution.</w:t>
            </w:r>
            <w:r>
              <w:rPr>
                <w:rFonts w:ascii="Arial" w:cs="Arial" w:eastAsia="Arial" w:hAnsi="Arial"/>
                <w:color w:val="0066CC"/>
                <w:sz w:val="18"/>
                <w:szCs w:val="18"/>
              </w:rPr>
              <w:t xml:space="preserve"> [21]</w:t>
            </w:r>
          </w:p>
          <w:p>
            <w:pPr>
              <w:pStyle w:val="ListParagraph"/>
              <w:numPr>
                <w:ilvl w:val="0"/>
                <w:numId w:val="2"/>
              </w:numPr>
              <w:spacing w:after="40" w:before="40"/>
            </w:pPr>
            <w:r>
              <w:rPr>
                <w:rFonts w:ascii="Arial" w:cs="Arial" w:eastAsia="Arial" w:hAnsi="Arial"/>
                <w:color w:val="1A1A2E"/>
                <w:sz w:val="20"/>
                <w:szCs w:val="20"/>
              </w:rPr>
              <w:t xml:space="preserve">A counterfactual prediction by VOCEG answers 'what would a similar patient in the training data show?' — </w:t>
            </w:r>
            <w:r>
              <w:rPr>
                <w:rFonts w:ascii="Arial" w:cs="Arial" w:eastAsia="Arial" w:hAnsi="Arial"/>
                <w:b/>
                <w:bCs/>
                <w:color w:val="1A1A2E"/>
                <w:sz w:val="20"/>
                <w:szCs w:val="20"/>
              </w:rPr>
              <w:t xml:space="preserve">not</w:t>
            </w:r>
            <w:r>
              <w:rPr>
                <w:rFonts w:ascii="Arial" w:cs="Arial" w:eastAsia="Arial" w:hAnsi="Arial"/>
                <w:color w:val="1A1A2E"/>
                <w:sz w:val="20"/>
                <w:szCs w:val="20"/>
              </w:rPr>
              <w:t xml:space="preserve"> 'what would happen causally if treatment were changed for this patient.'</w:t>
            </w:r>
            <w:r>
              <w:rPr>
                <w:rFonts w:ascii="Arial" w:cs="Arial" w:eastAsia="Arial" w:hAnsi="Arial"/>
                <w:color w:val="0066CC"/>
                <w:sz w:val="18"/>
                <w:szCs w:val="18"/>
              </w:rPr>
              <w:t xml:space="preserve"> [21,22]</w:t>
            </w:r>
          </w:p>
          <w:p>
            <w:pPr>
              <w:pStyle w:val="ListParagraph"/>
              <w:numPr>
                <w:ilvl w:val="0"/>
                <w:numId w:val="2"/>
              </w:numPr>
              <w:spacing w:after="40" w:before="40"/>
            </w:pPr>
            <w:r>
              <w:rPr>
                <w:rFonts w:ascii="Arial" w:cs="Arial" w:eastAsia="Arial" w:hAnsi="Arial"/>
                <w:b/>
                <w:bCs/>
                <w:color w:val="1A1A2E"/>
                <w:sz w:val="20"/>
                <w:szCs w:val="20"/>
              </w:rPr>
              <w:t xml:space="preserve">VOCEG R²=0.734 vs TaViT R²=0.917</w:t>
            </w:r>
            <w:r>
              <w:rPr>
                <w:rFonts w:ascii="Arial" w:cs="Arial" w:eastAsia="Arial" w:hAnsi="Arial"/>
                <w:color w:val="1A1A2E"/>
                <w:sz w:val="20"/>
                <w:szCs w:val="20"/>
              </w:rPr>
              <w:t xml:space="preserve"> on the same cohort suggests VOCEG is already substantially weaker — this gap widens in truly counterfactual scenarios that are unrepresented in training data.</w:t>
            </w:r>
          </w:p>
          <w:p>
            <w:pPr>
              <w:pStyle w:val="ListParagraph"/>
              <w:numPr>
                <w:ilvl w:val="0"/>
                <w:numId w:val="2"/>
              </w:numPr>
              <w:spacing w:after="40" w:before="40"/>
            </w:pPr>
            <w:r>
              <w:rPr>
                <w:rFonts w:ascii="Arial" w:cs="Arial" w:eastAsia="Arial" w:hAnsi="Arial"/>
                <w:b/>
                <w:bCs/>
                <w:color w:val="1A1A2E"/>
                <w:sz w:val="20"/>
                <w:szCs w:val="20"/>
              </w:rPr>
              <w:t xml:space="preserve">Recommendation</w:t>
            </w:r>
            <w:r>
              <w:rPr>
                <w:rFonts w:ascii="Arial" w:cs="Arial" w:eastAsia="Arial" w:hAnsi="Arial"/>
                <w:color w:val="1A1A2E"/>
                <w:sz w:val="20"/>
                <w:szCs w:val="20"/>
              </w:rPr>
              <w:t xml:space="preserve">: Clearly label VOCEG outputs as </w:t>
            </w:r>
            <w:r>
              <w:rPr>
                <w:rFonts w:ascii="Arial" w:cs="Arial" w:eastAsia="Arial" w:hAnsi="Arial"/>
                <w:i/>
                <w:iCs/>
                <w:color w:val="555555"/>
                <w:sz w:val="20"/>
                <w:szCs w:val="20"/>
              </w:rPr>
              <w:t xml:space="preserve">observational analogues</w:t>
            </w:r>
            <w:r>
              <w:rPr>
                <w:rFonts w:ascii="Arial" w:cs="Arial" w:eastAsia="Arial" w:hAnsi="Arial"/>
                <w:color w:val="1A1A2E"/>
                <w:sz w:val="20"/>
                <w:szCs w:val="20"/>
              </w:rPr>
              <w:t xml:space="preserve">, not causal counterfactuals. Consider adding an IPTW (Inverse Probability of Treatment Weighting) pre-processing step to partially de-confound the observational data, following standard causal ML practice.</w:t>
            </w:r>
            <w:r>
              <w:rPr>
                <w:rFonts w:ascii="Arial" w:cs="Arial" w:eastAsia="Arial" w:hAnsi="Arial"/>
                <w:color w:val="0066CC"/>
                <w:sz w:val="18"/>
                <w:szCs w:val="18"/>
              </w:rPr>
              <w:t xml:space="preserve"> [21]</w:t>
            </w:r>
          </w:p>
        </w:tc>
      </w:tr>
    </w:tbl>
    <w:p>
      <w:pPr>
        <w:spacing w:after="0" w:before="80"/>
      </w:pPr>
    </w:p>
    <w:p>
      <w:pPr>
        <w:pStyle w:val="Heading2"/>
        <w:spacing w:after="120" w:before="240"/>
      </w:pPr>
      <w:r>
        <w:rPr>
          <w:rFonts w:ascii="Arial" w:cs="Arial" w:eastAsia="Arial" w:hAnsi="Arial"/>
          <w:b/>
          <w:bCs/>
          <w:color w:val="1B3A6B"/>
          <w:sz w:val="24"/>
          <w:szCs w:val="24"/>
        </w:rPr>
        <w:t xml:space="preserve">3.6  Additional Technical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FFF8E8" w:val="clear"/>
            <w:tcMar>
              <w:top w:type="dxa" w:w="120"/>
              <w:left w:type="dxa" w:w="200"/>
              <w:bottom w:type="dxa" w:w="120"/>
              <w:right w:type="dxa" w:w="200"/>
            </w:tcMar>
          </w:tcPr>
          <w:p>
            <w:pPr>
              <w:spacing w:after="80" w:before="0"/>
            </w:pPr>
            <w:r>
              <w:rPr>
                <w:rFonts w:ascii="Arial" w:cs="Arial" w:eastAsia="Arial" w:hAnsi="Arial"/>
                <w:b/>
                <w:bCs/>
                <w:color w:val="7B4F00"/>
                <w:sz w:val="20"/>
                <w:szCs w:val="20"/>
              </w:rPr>
              <w:t xml:space="preserve">△  Normalisation scope, attention depth, and interpretability</w:t>
            </w:r>
          </w:p>
          <w:p>
            <w:pPr>
              <w:pStyle w:val="ListParagraph"/>
              <w:numPr>
                <w:ilvl w:val="0"/>
                <w:numId w:val="2"/>
              </w:numPr>
              <w:spacing w:after="40" w:before="40"/>
            </w:pPr>
            <w:r>
              <w:rPr>
                <w:rFonts w:ascii="Arial" w:cs="Arial" w:eastAsia="Arial" w:hAnsi="Arial"/>
                <w:b/>
                <w:bCs/>
                <w:color w:val="1A1A2E"/>
                <w:sz w:val="20"/>
                <w:szCs w:val="20"/>
              </w:rPr>
              <w:t xml:space="preserve">Sinusoidal encoding normalised to 730 days</w:t>
            </w:r>
            <w:r>
              <w:rPr>
                <w:rFonts w:ascii="Arial" w:cs="Arial" w:eastAsia="Arial" w:hAnsi="Arial"/>
                <w:color w:val="1A1A2E"/>
                <w:sz w:val="20"/>
                <w:szCs w:val="20"/>
              </w:rPr>
              <w:t xml:space="preserve">: patients with follow-up beyond 2 years (730 days) will have out-of-distribution temporal encodings. The normalisation constant should be set to the observed maximum in the dataset or use learned time embeddings.</w:t>
            </w:r>
          </w:p>
          <w:p>
            <w:pPr>
              <w:pStyle w:val="ListParagraph"/>
              <w:numPr>
                <w:ilvl w:val="0"/>
                <w:numId w:val="2"/>
              </w:numPr>
              <w:spacing w:after="40" w:before="40"/>
            </w:pPr>
            <w:r>
              <w:rPr>
                <w:rFonts w:ascii="Arial" w:cs="Arial" w:eastAsia="Arial" w:hAnsi="Arial"/>
                <w:b/>
                <w:bCs/>
                <w:color w:val="1A1A2E"/>
                <w:sz w:val="20"/>
                <w:szCs w:val="20"/>
              </w:rPr>
              <w:t xml:space="preserve">Max sequence length = 6</w:t>
            </w:r>
            <w:r>
              <w:rPr>
                <w:rFonts w:ascii="Arial" w:cs="Arial" w:eastAsia="Arial" w:hAnsi="Arial"/>
                <w:color w:val="1A1A2E"/>
                <w:sz w:val="20"/>
                <w:szCs w:val="20"/>
              </w:rPr>
              <w:t xml:space="preserve">: patients with more than 6 scans are silently truncated. The truncation strategy (early vs. late scans dropped) should be documented and its impact evaluated.</w:t>
            </w:r>
          </w:p>
          <w:p>
            <w:pPr>
              <w:pStyle w:val="ListParagraph"/>
              <w:numPr>
                <w:ilvl w:val="0"/>
                <w:numId w:val="2"/>
              </w:numPr>
              <w:spacing w:after="40" w:before="40"/>
            </w:pPr>
            <w:r>
              <w:rPr>
                <w:rFonts w:ascii="Arial" w:cs="Arial" w:eastAsia="Arial" w:hAnsi="Arial"/>
                <w:b/>
                <w:bCs/>
                <w:color w:val="1A1A2E"/>
                <w:sz w:val="20"/>
                <w:szCs w:val="20"/>
              </w:rPr>
              <w:t xml:space="preserve">Attention visualisation is absent</w:t>
            </w:r>
            <w:r>
              <w:rPr>
                <w:rFonts w:ascii="Arial" w:cs="Arial" w:eastAsia="Arial" w:hAnsi="Arial"/>
                <w:color w:val="1A1A2E"/>
                <w:sz w:val="20"/>
                <w:szCs w:val="20"/>
              </w:rPr>
              <w:t xml:space="preserve">: for clinical trust and interpretability, attention weight maps across scan sequences (e.g., 'which prior scan does the model attend to most when predicting scan N?') should be analysed and included in the thesis.</w:t>
            </w:r>
            <w:r>
              <w:rPr>
                <w:rFonts w:ascii="Arial" w:cs="Arial" w:eastAsia="Arial" w:hAnsi="Arial"/>
                <w:color w:val="0066CC"/>
                <w:sz w:val="18"/>
                <w:szCs w:val="18"/>
              </w:rPr>
              <w:t xml:space="preserve"> [23]</w:t>
            </w:r>
          </w:p>
          <w:p>
            <w:pPr>
              <w:pStyle w:val="ListParagraph"/>
              <w:numPr>
                <w:ilvl w:val="0"/>
                <w:numId w:val="2"/>
              </w:numPr>
              <w:spacing w:after="40" w:before="40"/>
            </w:pPr>
            <w:r>
              <w:rPr>
                <w:rFonts w:ascii="Arial" w:cs="Arial" w:eastAsia="Arial" w:hAnsi="Arial"/>
                <w:b/>
                <w:bCs/>
                <w:color w:val="1A1A2E"/>
                <w:sz w:val="20"/>
                <w:szCs w:val="20"/>
              </w:rPr>
              <w:t xml:space="preserve">Binary molecular markers</w:t>
            </w:r>
            <w:r>
              <w:rPr>
                <w:rFonts w:ascii="Arial" w:cs="Arial" w:eastAsia="Arial" w:hAnsi="Arial"/>
                <w:color w:val="1A1A2E"/>
                <w:sz w:val="20"/>
                <w:szCs w:val="20"/>
              </w:rPr>
              <w:t xml:space="preserve">: some markers (e.g., MGMT promoter methylation status) have continuous underlying measurements. Binarisation may lose prognostic information. A continuous or ordinal encoding of methylation percentages could be evaluated.</w:t>
            </w:r>
          </w:p>
          <w:p>
            <w:pPr>
              <w:pStyle w:val="ListParagraph"/>
              <w:numPr>
                <w:ilvl w:val="0"/>
                <w:numId w:val="2"/>
              </w:numPr>
              <w:spacing w:after="40" w:before="40"/>
            </w:pPr>
            <w:r>
              <w:rPr>
                <w:rFonts w:ascii="Arial" w:cs="Arial" w:eastAsia="Arial" w:hAnsi="Arial"/>
                <w:b/>
                <w:bCs/>
                <w:color w:val="1A1A2E"/>
                <w:sz w:val="20"/>
                <w:szCs w:val="20"/>
              </w:rPr>
              <w:t xml:space="preserve">26-D molecular token with potential multicollinearity</w:t>
            </w:r>
            <w:r>
              <w:rPr>
                <w:rFonts w:ascii="Arial" w:cs="Arial" w:eastAsia="Arial" w:hAnsi="Arial"/>
                <w:color w:val="1A1A2E"/>
                <w:sz w:val="20"/>
                <w:szCs w:val="20"/>
              </w:rPr>
              <w:t xml:space="preserve">: markers like IDH mutation and 1p/19q codeletion are biologically correlated (IDH-mutant oligodendroglioma has co-deletion). A PCA or structured encoding that respects these dependencies could improve the MolProjector's representational efficiency.</w:t>
            </w:r>
          </w:p>
        </w:tc>
      </w:tr>
    </w:tbl>
    <w:p>
      <w:pPr>
        <w:spacing w:after="0" w:before="100"/>
      </w:pPr>
    </w:p>
    <w:p>
      <w:pPr>
        <w:pStyle w:val="Heading1"/>
        <w:pBdr>
          <w:bottom w:val="single" w:color="1B3A6B" w:sz="6" w:space="1"/>
        </w:pBdr>
        <w:spacing w:after="160" w:before="320"/>
      </w:pPr>
      <w:r>
        <w:rPr>
          <w:rFonts w:ascii="Arial" w:cs="Arial" w:eastAsia="Arial" w:hAnsi="Arial"/>
          <w:b/>
          <w:bCs/>
          <w:color w:val="1B3A6B"/>
          <w:sz w:val="28"/>
          <w:szCs w:val="28"/>
        </w:rPr>
        <w:t xml:space="preserve">4.  Ablation Study Assessment</w:t>
      </w:r>
    </w:p>
    <w:p>
      <w:pPr>
        <w:spacing w:after="80" w:before="80"/>
      </w:pPr>
      <w:r>
        <w:rPr>
          <w:rFonts w:ascii="Arial" w:cs="Arial" w:eastAsia="Arial" w:hAnsi="Arial"/>
          <w:color w:val="1A1A2E"/>
          <w:sz w:val="20"/>
          <w:szCs w:val="20"/>
        </w:rPr>
        <w:t xml:space="preserve">The proposed ablation plan is logically structured. Below is a prioritised evaluation of each group.</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D0D7E3" w:sz="1"/>
              <w:left w:val="single" w:color="D0D7E3" w:sz="1"/>
              <w:bottom w:val="single" w:color="D0D7E3" w:sz="1"/>
              <w:right w:val="single" w:color="D0D7E3"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Ablation</w:t>
            </w:r>
          </w:p>
        </w:tc>
        <w:tc>
          <w:tcPr>
            <w:tcW w:type="dxa" w:w="4320"/>
            <w:tcBorders>
              <w:top w:val="single" w:color="D0D7E3" w:sz="1"/>
              <w:left w:val="single" w:color="D0D7E3" w:sz="1"/>
              <w:bottom w:val="single" w:color="D0D7E3" w:sz="1"/>
              <w:right w:val="single" w:color="D0D7E3"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Assessment &amp; Recommendation</w:t>
            </w:r>
          </w:p>
        </w:tc>
      </w:tr>
      <w:tr>
        <w:tc>
          <w:tcPr>
            <w:tcW w:type="dxa" w:w="504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A1 — No Treatment Token  ✓ Done</w:t>
            </w:r>
          </w:p>
        </w:tc>
        <w:tc>
          <w:tcPr>
            <w:tcW w:type="dxa" w:w="432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+23.7% is a strong result. Well-reported. Confirms treatment conditioning is not cosmetic.</w:t>
            </w:r>
          </w:p>
        </w:tc>
      </w:tr>
      <w:tr>
        <w:tc>
          <w:tcPr>
            <w:tcW w:type="dxa" w:w="5040"/>
            <w:tcBorders>
              <w:top w:val="single" w:color="D0D7E3" w:sz="1"/>
              <w:left w:val="single" w:color="D0D7E3" w:sz="1"/>
              <w:bottom w:val="single" w:color="D0D7E3" w:sz="1"/>
              <w:right w:val="single" w:color="D0D7E3" w:sz="1"/>
            </w:tcBorders>
            <w:shd w:fill="F4F6FA" w:val="clear"/>
            <w:tcMar>
              <w:top w:type="dxa" w:w="60"/>
              <w:left w:type="dxa" w:w="120"/>
              <w:bottom w:type="dxa" w:w="60"/>
              <w:right w:type="dxa" w:w="120"/>
            </w:tcMar>
          </w:tcPr>
          <w:p>
            <w:r>
              <w:rPr>
                <w:rFonts w:ascii="Arial" w:cs="Arial" w:eastAsia="Arial" w:hAnsi="Arial"/>
                <w:color w:val="1A1A2E"/>
                <w:sz w:val="18"/>
                <w:szCs w:val="18"/>
              </w:rPr>
              <w:t xml:space="preserve">A2 — No Molecular CLS  ★★★</w:t>
            </w:r>
          </w:p>
        </w:tc>
        <w:tc>
          <w:tcPr>
            <w:tcW w:type="dxa" w:w="4320"/>
            <w:tcBorders>
              <w:top w:val="single" w:color="D0D7E3" w:sz="1"/>
              <w:left w:val="single" w:color="D0D7E3" w:sz="1"/>
              <w:bottom w:val="single" w:color="D0D7E3" w:sz="1"/>
              <w:right w:val="single" w:color="D0D7E3" w:sz="1"/>
            </w:tcBorders>
            <w:shd w:fill="F4F6FA" w:val="clear"/>
            <w:tcMar>
              <w:top w:type="dxa" w:w="60"/>
              <w:left w:type="dxa" w:w="120"/>
              <w:bottom w:type="dxa" w:w="60"/>
              <w:right w:type="dxa" w:w="120"/>
            </w:tcMar>
          </w:tcPr>
          <w:p>
            <w:r>
              <w:rPr>
                <w:rFonts w:ascii="Arial" w:cs="Arial" w:eastAsia="Arial" w:hAnsi="Arial"/>
                <w:color w:val="1A1A2E"/>
                <w:sz w:val="18"/>
                <w:szCs w:val="18"/>
              </w:rPr>
              <w:t xml:space="preserve">Critical. Without this, the MolProjector's contribution is unsubstantiated. Run immediately.</w:t>
            </w:r>
          </w:p>
        </w:tc>
      </w:tr>
      <w:tr>
        <w:tc>
          <w:tcPr>
            <w:tcW w:type="dxa" w:w="504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A3 — No Temporal Encoding  ★★★</w:t>
            </w:r>
          </w:p>
        </w:tc>
        <w:tc>
          <w:tcPr>
            <w:tcW w:type="dxa" w:w="432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Critical. Validates the sinusoidal time embedding. If impact is low, consider simplifying to a linear day-ratio feature.</w:t>
            </w:r>
          </w:p>
        </w:tc>
      </w:tr>
      <w:tr>
        <w:tc>
          <w:tcPr>
            <w:tcW w:type="dxa" w:w="5040"/>
            <w:tcBorders>
              <w:top w:val="single" w:color="D0D7E3" w:sz="1"/>
              <w:left w:val="single" w:color="D0D7E3" w:sz="1"/>
              <w:bottom w:val="single" w:color="D0D7E3" w:sz="1"/>
              <w:right w:val="single" w:color="D0D7E3" w:sz="1"/>
            </w:tcBorders>
            <w:shd w:fill="F4F6FA" w:val="clear"/>
            <w:tcMar>
              <w:top w:type="dxa" w:w="60"/>
              <w:left w:type="dxa" w:w="120"/>
              <w:bottom w:type="dxa" w:w="60"/>
              <w:right w:type="dxa" w:w="120"/>
            </w:tcMar>
          </w:tcPr>
          <w:p>
            <w:r>
              <w:rPr>
                <w:rFonts w:ascii="Arial" w:cs="Arial" w:eastAsia="Arial" w:hAnsi="Arial"/>
                <w:color w:val="1A1A2E"/>
                <w:sz w:val="18"/>
                <w:szCs w:val="18"/>
              </w:rPr>
              <w:t xml:space="preserve">B1 — No Vol-Feats Anchor  ★★★ (Urgent)</w:t>
            </w:r>
          </w:p>
        </w:tc>
        <w:tc>
          <w:tcPr>
            <w:tcW w:type="dxa" w:w="4320"/>
            <w:tcBorders>
              <w:top w:val="single" w:color="D0D7E3" w:sz="1"/>
              <w:left w:val="single" w:color="D0D7E3" w:sz="1"/>
              <w:bottom w:val="single" w:color="D0D7E3" w:sz="1"/>
              <w:right w:val="single" w:color="D0D7E3" w:sz="1"/>
            </w:tcBorders>
            <w:shd w:fill="F4F6FA" w:val="clear"/>
            <w:tcMar>
              <w:top w:type="dxa" w:w="60"/>
              <w:left w:type="dxa" w:w="120"/>
              <w:bottom w:type="dxa" w:w="60"/>
              <w:right w:type="dxa" w:w="120"/>
            </w:tcMar>
          </w:tcPr>
          <w:p>
            <w:r>
              <w:rPr>
                <w:rFonts w:ascii="Arial" w:cs="Arial" w:eastAsia="Arial" w:hAnsi="Arial"/>
                <w:color w:val="1A1A2E"/>
                <w:sz w:val="18"/>
                <w:szCs w:val="18"/>
              </w:rPr>
              <w:t xml:space="preserve">Most important ablation. Determines whether TaViT or nnU-Net is doing the heavy lifting. Should be Phase 1.</w:t>
            </w:r>
          </w:p>
        </w:tc>
      </w:tr>
      <w:tr>
        <w:tc>
          <w:tcPr>
            <w:tcW w:type="dxa" w:w="504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C1 — No Delta Loss</w:t>
            </w:r>
          </w:p>
        </w:tc>
        <w:tc>
          <w:tcPr>
            <w:tcW w:type="dxa" w:w="432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Important for justifying multi-task design. Run in Phase 2.</w:t>
            </w:r>
          </w:p>
        </w:tc>
      </w:tr>
      <w:tr>
        <w:tc>
          <w:tcPr>
            <w:tcW w:type="dxa" w:w="5040"/>
            <w:tcBorders>
              <w:top w:val="single" w:color="D0D7E3" w:sz="1"/>
              <w:left w:val="single" w:color="D0D7E3" w:sz="1"/>
              <w:bottom w:val="single" w:color="D0D7E3" w:sz="1"/>
              <w:right w:val="single" w:color="D0D7E3" w:sz="1"/>
            </w:tcBorders>
            <w:shd w:fill="F4F6FA" w:val="clear"/>
            <w:tcMar>
              <w:top w:type="dxa" w:w="60"/>
              <w:left w:type="dxa" w:w="120"/>
              <w:bottom w:type="dxa" w:w="60"/>
              <w:right w:type="dxa" w:w="120"/>
            </w:tcMar>
          </w:tcPr>
          <w:p>
            <w:r>
              <w:rPr>
                <w:rFonts w:ascii="Arial" w:cs="Arial" w:eastAsia="Arial" w:hAnsi="Arial"/>
                <w:color w:val="1A1A2E"/>
                <w:sz w:val="18"/>
                <w:szCs w:val="18"/>
              </w:rPr>
              <w:t xml:space="preserve">C2 — No Classification Loss</w:t>
            </w:r>
          </w:p>
        </w:tc>
        <w:tc>
          <w:tcPr>
            <w:tcW w:type="dxa" w:w="4320"/>
            <w:tcBorders>
              <w:top w:val="single" w:color="D0D7E3" w:sz="1"/>
              <w:left w:val="single" w:color="D0D7E3" w:sz="1"/>
              <w:bottom w:val="single" w:color="D0D7E3" w:sz="1"/>
              <w:right w:val="single" w:color="D0D7E3" w:sz="1"/>
            </w:tcBorders>
            <w:shd w:fill="F4F6FA" w:val="clear"/>
            <w:tcMar>
              <w:top w:type="dxa" w:w="60"/>
              <w:left w:type="dxa" w:w="120"/>
              <w:bottom w:type="dxa" w:w="60"/>
              <w:right w:type="dxa" w:w="120"/>
            </w:tcMar>
          </w:tcPr>
          <w:p>
            <w:r>
              <w:rPr>
                <w:rFonts w:ascii="Arial" w:cs="Arial" w:eastAsia="Arial" w:hAnsi="Arial"/>
                <w:color w:val="1A1A2E"/>
                <w:sz w:val="18"/>
                <w:szCs w:val="18"/>
              </w:rPr>
              <w:t xml:space="preserve">Given weak TrajAcc (39.1%), this may show L_cls adds noise rather than signal to volume prediction.</w:t>
            </w:r>
          </w:p>
        </w:tc>
      </w:tr>
      <w:tr>
        <w:tc>
          <w:tcPr>
            <w:tcW w:type="dxa" w:w="504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C4 — Vol-Only Loss  ★★★</w:t>
            </w:r>
          </w:p>
        </w:tc>
        <w:tc>
          <w:tcPr>
            <w:tcW w:type="dxa" w:w="432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Essential. Multi-task vs. single-task comparison is a standard expected in ML papers.</w:t>
            </w:r>
          </w:p>
        </w:tc>
      </w:tr>
      <w:tr>
        <w:tc>
          <w:tcPr>
            <w:tcW w:type="dxa" w:w="5040"/>
            <w:tcBorders>
              <w:top w:val="single" w:color="D0D7E3" w:sz="1"/>
              <w:left w:val="single" w:color="D0D7E3" w:sz="1"/>
              <w:bottom w:val="single" w:color="D0D7E3" w:sz="1"/>
              <w:right w:val="single" w:color="D0D7E3" w:sz="1"/>
            </w:tcBorders>
            <w:shd w:fill="F4F6FA" w:val="clear"/>
            <w:tcMar>
              <w:top w:type="dxa" w:w="60"/>
              <w:left w:type="dxa" w:w="120"/>
              <w:bottom w:type="dxa" w:w="60"/>
              <w:right w:type="dxa" w:w="120"/>
            </w:tcMar>
          </w:tcPr>
          <w:p>
            <w:r>
              <w:rPr>
                <w:rFonts w:ascii="Arial" w:cs="Arial" w:eastAsia="Arial" w:hAnsi="Arial"/>
                <w:color w:val="1A1A2E"/>
                <w:sz w:val="18"/>
                <w:szCs w:val="18"/>
              </w:rPr>
              <w:t xml:space="preserve">E1 — VOCEG No Treatment  ✓ Done</w:t>
            </w:r>
          </w:p>
        </w:tc>
        <w:tc>
          <w:tcPr>
            <w:tcW w:type="dxa" w:w="4320"/>
            <w:tcBorders>
              <w:top w:val="single" w:color="D0D7E3" w:sz="1"/>
              <w:left w:val="single" w:color="D0D7E3" w:sz="1"/>
              <w:bottom w:val="single" w:color="D0D7E3" w:sz="1"/>
              <w:right w:val="single" w:color="D0D7E3" w:sz="1"/>
            </w:tcBorders>
            <w:shd w:fill="F4F6FA" w:val="clear"/>
            <w:tcMar>
              <w:top w:type="dxa" w:w="60"/>
              <w:left w:type="dxa" w:w="120"/>
              <w:bottom w:type="dxa" w:w="60"/>
              <w:right w:type="dxa" w:w="120"/>
            </w:tcMar>
          </w:tcPr>
          <w:p>
            <w:r>
              <w:rPr>
                <w:rFonts w:ascii="Arial" w:cs="Arial" w:eastAsia="Arial" w:hAnsi="Arial"/>
                <w:color w:val="1A1A2E"/>
                <w:sz w:val="18"/>
                <w:szCs w:val="18"/>
              </w:rPr>
              <w:t xml:space="preserve">+10.3%. Valid. Should be accompanied by a causal-validity caveat.</w:t>
            </w:r>
          </w:p>
        </w:tc>
      </w:tr>
      <w:tr>
        <w:tc>
          <w:tcPr>
            <w:tcW w:type="dxa" w:w="504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E2 — VOCEG No Delta-Days</w:t>
            </w:r>
          </w:p>
        </w:tc>
        <w:tc>
          <w:tcPr>
            <w:tcW w:type="dxa" w:w="432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Quick and informative. Validates VOCEG's time-sensitivity.</w:t>
            </w:r>
          </w:p>
        </w:tc>
      </w:tr>
      <w:tr>
        <w:tc>
          <w:tcPr>
            <w:tcW w:type="dxa" w:w="5040"/>
            <w:tcBorders>
              <w:top w:val="single" w:color="D0D7E3" w:sz="1"/>
              <w:left w:val="single" w:color="D0D7E3" w:sz="1"/>
              <w:bottom w:val="single" w:color="D0D7E3" w:sz="1"/>
              <w:right w:val="single" w:color="D0D7E3" w:sz="1"/>
            </w:tcBorders>
            <w:shd w:fill="F4F6FA" w:val="clear"/>
            <w:tcMar>
              <w:top w:type="dxa" w:w="60"/>
              <w:left w:type="dxa" w:w="120"/>
              <w:bottom w:type="dxa" w:w="60"/>
              <w:right w:type="dxa" w:w="120"/>
            </w:tcMar>
          </w:tcPr>
          <w:p>
            <w:r>
              <w:rPr>
                <w:rFonts w:ascii="Arial" w:cs="Arial" w:eastAsia="Arial" w:hAnsi="Arial"/>
                <w:color w:val="1A1A2E"/>
                <w:sz w:val="18"/>
                <w:szCs w:val="18"/>
              </w:rPr>
              <w:t xml:space="preserve">E3 — Volume-Only VOCEG</w:t>
            </w:r>
          </w:p>
        </w:tc>
        <w:tc>
          <w:tcPr>
            <w:tcW w:type="dxa" w:w="4320"/>
            <w:tcBorders>
              <w:top w:val="single" w:color="D0D7E3" w:sz="1"/>
              <w:left w:val="single" w:color="D0D7E3" w:sz="1"/>
              <w:bottom w:val="single" w:color="D0D7E3" w:sz="1"/>
              <w:right w:val="single" w:color="D0D7E3" w:sz="1"/>
            </w:tcBorders>
            <w:shd w:fill="F4F6FA" w:val="clear"/>
            <w:tcMar>
              <w:top w:type="dxa" w:w="60"/>
              <w:left w:type="dxa" w:w="120"/>
              <w:bottom w:type="dxa" w:w="60"/>
              <w:right w:type="dxa" w:w="120"/>
            </w:tcMar>
          </w:tcPr>
          <w:p>
            <w:r>
              <w:rPr>
                <w:rFonts w:ascii="Arial" w:cs="Arial" w:eastAsia="Arial" w:hAnsi="Arial"/>
                <w:color w:val="1A1A2E"/>
                <w:sz w:val="18"/>
                <w:szCs w:val="18"/>
              </w:rPr>
              <w:t xml:space="preserve">Useful lower bound to show that both treatment and time are needed.</w:t>
            </w:r>
          </w:p>
        </w:tc>
      </w:tr>
    </w:tbl>
    <w:p>
      <w:pPr>
        <w:spacing w:after="0" w:before="60"/>
      </w:pPr>
    </w:p>
    <w:p>
      <w:pPr>
        <w:spacing w:after="80" w:before="80"/>
      </w:pPr>
      <w:r>
        <w:rPr>
          <w:rFonts w:ascii="Arial" w:cs="Arial" w:eastAsia="Arial" w:hAnsi="Arial"/>
          <w:b/>
          <w:bCs/>
          <w:color w:val="1A1A2E"/>
          <w:sz w:val="20"/>
          <w:szCs w:val="20"/>
        </w:rPr>
        <w:t xml:space="preserve">Missing ablation: </w:t>
      </w:r>
      <w:r>
        <w:rPr>
          <w:rFonts w:ascii="Arial" w:cs="Arial" w:eastAsia="Arial" w:hAnsi="Arial"/>
          <w:color w:val="1A1A2E"/>
          <w:sz w:val="20"/>
          <w:szCs w:val="20"/>
        </w:rPr>
        <w:t xml:space="preserve">There is no ablation comparing </w:t>
      </w:r>
      <w:r>
        <w:rPr>
          <w:rFonts w:ascii="Arial" w:cs="Arial" w:eastAsia="Arial" w:hAnsi="Arial"/>
          <w:b/>
          <w:bCs/>
          <w:color w:val="1A1A2E"/>
          <w:sz w:val="20"/>
          <w:szCs w:val="20"/>
        </w:rPr>
        <w:t xml:space="preserve">TaViT vs. a linear baseline</w:t>
      </w:r>
      <w:r>
        <w:rPr>
          <w:rFonts w:ascii="Arial" w:cs="Arial" w:eastAsia="Arial" w:hAnsi="Arial"/>
          <w:color w:val="1A1A2E"/>
          <w:sz w:val="20"/>
          <w:szCs w:val="20"/>
        </w:rPr>
        <w:t xml:space="preserve"> (e.g., linear mixed-effects model on log1p volumes with treatment as covariate). Without this, it is impossible to assess how much the transformer architecture contributes over a simpler statistical model. This is a standard expectation in clinical AI papers.</w:t>
      </w:r>
      <w:r>
        <w:rPr>
          <w:rFonts w:ascii="Arial" w:cs="Arial" w:eastAsia="Arial" w:hAnsi="Arial"/>
          <w:color w:val="0066CC"/>
          <w:sz w:val="18"/>
          <w:szCs w:val="18"/>
        </w:rPr>
        <w:t xml:space="preserve"> [15,24]</w:t>
      </w:r>
    </w:p>
    <w:p>
      <w:pPr>
        <w:spacing w:after="0" w:before="100"/>
      </w:pPr>
    </w:p>
    <w:p>
      <w:pPr>
        <w:pStyle w:val="Heading1"/>
        <w:pBdr>
          <w:bottom w:val="single" w:color="1B3A6B" w:sz="6" w:space="1"/>
        </w:pBdr>
        <w:spacing w:after="160" w:before="320"/>
      </w:pPr>
      <w:r>
        <w:rPr>
          <w:rFonts w:ascii="Arial" w:cs="Arial" w:eastAsia="Arial" w:hAnsi="Arial"/>
          <w:b/>
          <w:bCs/>
          <w:color w:val="1B3A6B"/>
          <w:sz w:val="28"/>
          <w:szCs w:val="28"/>
        </w:rPr>
        <w:t xml:space="preserve">5.  Prioritised Recommendations</w:t>
      </w:r>
    </w:p>
    <w:p>
      <w:pPr>
        <w:pStyle w:val="Heading2"/>
        <w:spacing w:after="120" w:before="240"/>
      </w:pPr>
      <w:r>
        <w:rPr>
          <w:rFonts w:ascii="Arial" w:cs="Arial" w:eastAsia="Arial" w:hAnsi="Arial"/>
          <w:b/>
          <w:bCs/>
          <w:color w:val="1B3A6B"/>
          <w:sz w:val="24"/>
          <w:szCs w:val="24"/>
        </w:rPr>
        <w:t xml:space="preserve">Priority 1 — Before Thesis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FDE8E8" w:val="clear"/>
            <w:tcMar>
              <w:top w:type="dxa" w:w="120"/>
              <w:left w:type="dxa" w:w="200"/>
              <w:bottom w:type="dxa" w:w="120"/>
              <w:right w:type="dxa" w:w="200"/>
            </w:tcMar>
          </w:tcPr>
          <w:p>
            <w:pPr>
              <w:spacing w:after="80" w:before="0"/>
            </w:pPr>
            <w:r>
              <w:rPr>
                <w:rFonts w:ascii="Arial" w:cs="Arial" w:eastAsia="Arial" w:hAnsi="Arial"/>
                <w:b/>
                <w:bCs/>
                <w:color w:val="6B1A1A"/>
                <w:sz w:val="20"/>
                <w:szCs w:val="20"/>
              </w:rPr>
              <w:t xml:space="preserve">✗  Must-address items</w:t>
            </w:r>
          </w:p>
          <w:p>
            <w:pPr>
              <w:pStyle w:val="ListParagraph"/>
              <w:numPr>
                <w:ilvl w:val="0"/>
                <w:numId w:val="2"/>
              </w:numPr>
              <w:spacing w:after="40" w:before="40"/>
            </w:pPr>
            <w:r>
              <w:rPr>
                <w:rFonts w:ascii="Arial" w:cs="Arial" w:eastAsia="Arial" w:hAnsi="Arial"/>
                <w:color w:val="1A1A2E"/>
                <w:sz w:val="19"/>
                <w:szCs w:val="19"/>
              </w:rPr>
              <w:t xml:space="preserve">Run Ablation B1 (vol_feats removal) and report in the thesis as a validation of TaViT's genuine contribution. This is the single highest-value experiment.</w:t>
            </w:r>
          </w:p>
          <w:p>
            <w:pPr>
              <w:pStyle w:val="ListParagraph"/>
              <w:numPr>
                <w:ilvl w:val="0"/>
                <w:numId w:val="2"/>
              </w:numPr>
              <w:spacing w:after="40" w:before="40"/>
            </w:pPr>
            <w:r>
              <w:rPr>
                <w:rFonts w:ascii="Arial" w:cs="Arial" w:eastAsia="Arial" w:hAnsi="Arial"/>
                <w:color w:val="1A1A2E"/>
                <w:sz w:val="19"/>
                <w:szCs w:val="19"/>
              </w:rPr>
              <w:t xml:space="preserve">Report 95% bootstrap confidence intervals on all metrics (R², MAE, TrajAcc). With 23 test patients, point estimates alone are not credible.</w:t>
            </w:r>
          </w:p>
          <w:p>
            <w:pPr>
              <w:pStyle w:val="ListParagraph"/>
              <w:numPr>
                <w:ilvl w:val="0"/>
                <w:numId w:val="2"/>
              </w:numPr>
              <w:spacing w:after="40" w:before="40"/>
            </w:pPr>
            <w:r>
              <w:rPr>
                <w:rFonts w:ascii="Arial" w:cs="Arial" w:eastAsia="Arial" w:hAnsi="Arial"/>
                <w:color w:val="1A1A2E"/>
                <w:sz w:val="19"/>
                <w:szCs w:val="19"/>
              </w:rPr>
              <w:t xml:space="preserve">Replace accuracy with balanced accuracy + F1-macro + Cohen's κ for trajectory classification. Clarify that 39.1% &lt; 55% majority-class baseline.</w:t>
            </w:r>
          </w:p>
          <w:p>
            <w:pPr>
              <w:pStyle w:val="ListParagraph"/>
              <w:numPr>
                <w:ilvl w:val="0"/>
                <w:numId w:val="2"/>
              </w:numPr>
              <w:spacing w:after="40" w:before="40"/>
            </w:pPr>
            <w:r>
              <w:rPr>
                <w:rFonts w:ascii="Arial" w:cs="Arial" w:eastAsia="Arial" w:hAnsi="Arial"/>
                <w:color w:val="1A1A2E"/>
                <w:sz w:val="19"/>
                <w:szCs w:val="19"/>
              </w:rPr>
              <w:t xml:space="preserve">Add a causal-validity disclaimer to all VOCEG results, making clear these are observational analogues and not interventional predictions.</w:t>
            </w:r>
          </w:p>
          <w:p>
            <w:pPr>
              <w:pStyle w:val="ListParagraph"/>
              <w:numPr>
                <w:ilvl w:val="0"/>
                <w:numId w:val="2"/>
              </w:numPr>
              <w:spacing w:after="40" w:before="40"/>
            </w:pPr>
            <w:r>
              <w:rPr>
                <w:rFonts w:ascii="Arial" w:cs="Arial" w:eastAsia="Arial" w:hAnsi="Arial"/>
                <w:color w:val="1A1A2E"/>
                <w:sz w:val="19"/>
                <w:szCs w:val="19"/>
              </w:rPr>
              <w:t xml:space="preserve">Document the 730-day normalisation limit and the sequence truncation strategy for &gt;6-scan patients.</w:t>
            </w:r>
          </w:p>
        </w:tc>
      </w:tr>
    </w:tbl>
    <w:p>
      <w:pPr>
        <w:spacing w:after="0" w:before="80"/>
      </w:pPr>
    </w:p>
    <w:p>
      <w:pPr>
        <w:pStyle w:val="Heading2"/>
        <w:spacing w:after="120" w:before="240"/>
      </w:pPr>
      <w:r>
        <w:rPr>
          <w:rFonts w:ascii="Arial" w:cs="Arial" w:eastAsia="Arial" w:hAnsi="Arial"/>
          <w:b/>
          <w:bCs/>
          <w:color w:val="1B3A6B"/>
          <w:sz w:val="24"/>
          <w:szCs w:val="24"/>
        </w:rPr>
        <w:t xml:space="preserve">Priority 2 — For Journal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FFF8E8" w:val="clear"/>
            <w:tcMar>
              <w:top w:type="dxa" w:w="120"/>
              <w:left w:type="dxa" w:w="200"/>
              <w:bottom w:type="dxa" w:w="120"/>
              <w:right w:type="dxa" w:w="200"/>
            </w:tcMar>
          </w:tcPr>
          <w:p>
            <w:pPr>
              <w:spacing w:after="80" w:before="0"/>
            </w:pPr>
            <w:r>
              <w:rPr>
                <w:rFonts w:ascii="Arial" w:cs="Arial" w:eastAsia="Arial" w:hAnsi="Arial"/>
                <w:b/>
                <w:bCs/>
                <w:color w:val="7B4F00"/>
                <w:sz w:val="20"/>
                <w:szCs w:val="20"/>
              </w:rPr>
              <w:t xml:space="preserve">△  Strongly recommended additions</w:t>
            </w:r>
          </w:p>
          <w:p>
            <w:pPr>
              <w:pStyle w:val="ListParagraph"/>
              <w:numPr>
                <w:ilvl w:val="0"/>
                <w:numId w:val="2"/>
              </w:numPr>
              <w:spacing w:after="40" w:before="40"/>
            </w:pPr>
            <w:r>
              <w:rPr>
                <w:rFonts w:ascii="Arial" w:cs="Arial" w:eastAsia="Arial" w:hAnsi="Arial"/>
                <w:color w:val="1A1A2E"/>
                <w:sz w:val="19"/>
                <w:szCs w:val="19"/>
              </w:rPr>
              <w:t xml:space="preserve">Implement MC Dropout uncertainty estimation (enable Dropout at inference, N=100 passes). Add calibration plot. Estimated implementation time: 1–2 days.</w:t>
            </w:r>
          </w:p>
          <w:p>
            <w:pPr>
              <w:pStyle w:val="ListParagraph"/>
              <w:numPr>
                <w:ilvl w:val="0"/>
                <w:numId w:val="2"/>
              </w:numPr>
              <w:spacing w:after="40" w:before="40"/>
            </w:pPr>
            <w:r>
              <w:rPr>
                <w:rFonts w:ascii="Arial" w:cs="Arial" w:eastAsia="Arial" w:hAnsi="Arial"/>
                <w:color w:val="1A1A2E"/>
                <w:sz w:val="19"/>
                <w:szCs w:val="19"/>
              </w:rPr>
              <w:t xml:space="preserve">Add a linear mixed-effects model baseline to quantify the transformer's value-add over a simple statistical model.</w:t>
            </w:r>
          </w:p>
          <w:p>
            <w:pPr>
              <w:pStyle w:val="ListParagraph"/>
              <w:numPr>
                <w:ilvl w:val="0"/>
                <w:numId w:val="2"/>
              </w:numPr>
              <w:spacing w:after="40" w:before="40"/>
            </w:pPr>
            <w:r>
              <w:rPr>
                <w:rFonts w:ascii="Arial" w:cs="Arial" w:eastAsia="Arial" w:hAnsi="Arial"/>
                <w:color w:val="1A1A2E"/>
                <w:sz w:val="19"/>
                <w:szCs w:val="19"/>
              </w:rPr>
              <w:t xml:space="preserve">Add attention weight visualisation for 3–5 example patients to demonstrate interpretability and support clinical adoption arguments.</w:t>
            </w:r>
          </w:p>
          <w:p>
            <w:pPr>
              <w:pStyle w:val="ListParagraph"/>
              <w:numPr>
                <w:ilvl w:val="0"/>
                <w:numId w:val="2"/>
              </w:numPr>
              <w:spacing w:after="40" w:before="40"/>
            </w:pPr>
            <w:r>
              <w:rPr>
                <w:rFonts w:ascii="Arial" w:cs="Arial" w:eastAsia="Arial" w:hAnsi="Arial"/>
                <w:color w:val="1A1A2E"/>
                <w:sz w:val="19"/>
                <w:szCs w:val="19"/>
              </w:rPr>
              <w:t xml:space="preserve">Consider reframing trajectory classification as binary PROG vs. non-PROG to improve clinical actionability and likely improve classification metrics.</w:t>
            </w:r>
          </w:p>
          <w:p>
            <w:pPr>
              <w:pStyle w:val="ListParagraph"/>
              <w:numPr>
                <w:ilvl w:val="0"/>
                <w:numId w:val="2"/>
              </w:numPr>
              <w:spacing w:after="40" w:before="40"/>
            </w:pPr>
            <w:r>
              <w:rPr>
                <w:rFonts w:ascii="Arial" w:cs="Arial" w:eastAsia="Arial" w:hAnsi="Arial"/>
                <w:color w:val="1A1A2E"/>
                <w:sz w:val="19"/>
                <w:szCs w:val="19"/>
              </w:rPr>
              <w:t xml:space="preserve">Revise the sinusoidal encoding normalisation constant to the observed dataset maximum (or use a learned time MLP).</w:t>
            </w:r>
          </w:p>
        </w:tc>
      </w:tr>
    </w:tbl>
    <w:p>
      <w:pPr>
        <w:spacing w:after="0" w:before="80"/>
      </w:pPr>
    </w:p>
    <w:p>
      <w:pPr>
        <w:pStyle w:val="Heading2"/>
        <w:spacing w:after="120" w:before="240"/>
      </w:pPr>
      <w:r>
        <w:rPr>
          <w:rFonts w:ascii="Arial" w:cs="Arial" w:eastAsia="Arial" w:hAnsi="Arial"/>
          <w:b/>
          <w:bCs/>
          <w:color w:val="1B3A6B"/>
          <w:sz w:val="24"/>
          <w:szCs w:val="24"/>
        </w:rPr>
        <w:t xml:space="preserve">Priority 3 —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E8F5EE" w:val="clear"/>
            <w:tcMar>
              <w:top w:type="dxa" w:w="120"/>
              <w:left w:type="dxa" w:w="200"/>
              <w:bottom w:type="dxa" w:w="120"/>
              <w:right w:type="dxa" w:w="200"/>
            </w:tcMar>
          </w:tcPr>
          <w:p>
            <w:pPr>
              <w:spacing w:after="80" w:before="0"/>
            </w:pPr>
            <w:r>
              <w:rPr>
                <w:rFonts w:ascii="Arial" w:cs="Arial" w:eastAsia="Arial" w:hAnsi="Arial"/>
                <w:b/>
                <w:bCs/>
                <w:color w:val="1A6B3A"/>
                <w:sz w:val="20"/>
                <w:szCs w:val="20"/>
              </w:rPr>
              <w:t xml:space="preserve">✓  Longer-term improvements</w:t>
            </w:r>
          </w:p>
          <w:p>
            <w:pPr>
              <w:pStyle w:val="ListParagraph"/>
              <w:numPr>
                <w:ilvl w:val="0"/>
                <w:numId w:val="2"/>
              </w:numPr>
              <w:spacing w:after="40" w:before="40"/>
            </w:pPr>
            <w:r>
              <w:rPr>
                <w:rFonts w:ascii="Arial" w:cs="Arial" w:eastAsia="Arial" w:hAnsi="Arial"/>
                <w:color w:val="1A1A2E"/>
                <w:sz w:val="19"/>
                <w:szCs w:val="19"/>
              </w:rPr>
              <w:t xml:space="preserve">External cohort validation on a publicly available glioma dataset (e.g., TCGA-GBM or UPENN-GBM) to test generalisability.</w:t>
            </w:r>
          </w:p>
          <w:p>
            <w:pPr>
              <w:pStyle w:val="ListParagraph"/>
              <w:numPr>
                <w:ilvl w:val="0"/>
                <w:numId w:val="2"/>
              </w:numPr>
              <w:spacing w:after="40" w:before="40"/>
            </w:pPr>
            <w:r>
              <w:rPr>
                <w:rFonts w:ascii="Arial" w:cs="Arial" w:eastAsia="Arial" w:hAnsi="Arial"/>
                <w:color w:val="1A1A2E"/>
                <w:sz w:val="19"/>
                <w:szCs w:val="19"/>
              </w:rPr>
              <w:t xml:space="preserve">Replace binary molecular markers with continuous assay values (e.g., MGMT methylation percentage) where available.</w:t>
            </w:r>
          </w:p>
          <w:p>
            <w:pPr>
              <w:pStyle w:val="ListParagraph"/>
              <w:numPr>
                <w:ilvl w:val="0"/>
                <w:numId w:val="2"/>
              </w:numPr>
              <w:spacing w:after="40" w:before="40"/>
            </w:pPr>
            <w:r>
              <w:rPr>
                <w:rFonts w:ascii="Arial" w:cs="Arial" w:eastAsia="Arial" w:hAnsi="Arial"/>
                <w:color w:val="1A1A2E"/>
                <w:sz w:val="19"/>
                <w:szCs w:val="19"/>
              </w:rPr>
              <w:t xml:space="preserve">Explore IPTW de-confounding of the training data to move VOCEG projections closer to causal validity.</w:t>
            </w:r>
          </w:p>
          <w:p>
            <w:pPr>
              <w:pStyle w:val="ListParagraph"/>
              <w:numPr>
                <w:ilvl w:val="0"/>
                <w:numId w:val="2"/>
              </w:numPr>
              <w:spacing w:after="40" w:before="40"/>
            </w:pPr>
            <w:r>
              <w:rPr>
                <w:rFonts w:ascii="Arial" w:cs="Arial" w:eastAsia="Arial" w:hAnsi="Arial"/>
                <w:color w:val="1A1A2E"/>
                <w:sz w:val="19"/>
                <w:szCs w:val="19"/>
              </w:rPr>
              <w:t xml:space="preserve">Consider a Bayesian or ensemble approach to TaViT to produce well-calibrated predictive distributions for clinical risk stratification.</w:t>
            </w:r>
          </w:p>
        </w:tc>
      </w:tr>
    </w:tbl>
    <w:p>
      <w:pPr>
        <w:spacing w:after="0" w:before="100"/>
      </w:pPr>
    </w:p>
    <w:p>
      <w:pPr>
        <w:pStyle w:val="Heading1"/>
        <w:pBdr>
          <w:bottom w:val="single" w:color="1B3A6B" w:sz="6" w:space="1"/>
        </w:pBdr>
        <w:spacing w:after="160" w:before="320"/>
      </w:pPr>
      <w:r>
        <w:rPr>
          <w:rFonts w:ascii="Arial" w:cs="Arial" w:eastAsia="Arial" w:hAnsi="Arial"/>
          <w:b/>
          <w:bCs/>
          <w:color w:val="1B3A6B"/>
          <w:sz w:val="28"/>
          <w:szCs w:val="28"/>
        </w:rPr>
        <w:t xml:space="preserve">6.  Results Evaluation</w:t>
      </w:r>
    </w:p>
    <w:p>
      <w:pPr>
        <w:pStyle w:val="Heading2"/>
        <w:spacing w:after="120" w:before="240"/>
      </w:pPr>
      <w:r>
        <w:rPr>
          <w:rFonts w:ascii="Arial" w:cs="Arial" w:eastAsia="Arial" w:hAnsi="Arial"/>
          <w:b/>
          <w:bCs/>
          <w:color w:val="1B3A6B"/>
          <w:sz w:val="24"/>
          <w:szCs w:val="24"/>
        </w:rPr>
        <w:t xml:space="preserve">6.1  Volume Prediction — Strong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D0D7E3" w:sz="1"/>
              <w:left w:val="single" w:color="D0D7E3" w:sz="1"/>
              <w:bottom w:val="single" w:color="D0D7E3" w:sz="1"/>
              <w:right w:val="single" w:color="D0D7E3"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4320"/>
            <w:tcBorders>
              <w:top w:val="single" w:color="D0D7E3" w:sz="1"/>
              <w:left w:val="single" w:color="D0D7E3" w:sz="1"/>
              <w:bottom w:val="single" w:color="D0D7E3" w:sz="1"/>
              <w:right w:val="single" w:color="D0D7E3"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Value &amp; Context</w:t>
            </w:r>
          </w:p>
        </w:tc>
      </w:tr>
      <w:tr>
        <w:tc>
          <w:tcPr>
            <w:tcW w:type="dxa" w:w="504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WT R² = 0.917</w:t>
            </w:r>
          </w:p>
        </w:tc>
        <w:tc>
          <w:tcPr>
            <w:tcW w:type="dxa" w:w="432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Strong. 91.7% variance explained. Context: nnU-Net automatic segmentation R² on BraTS typically 0.85–0.95 [Ref 6].</w:t>
            </w:r>
          </w:p>
        </w:tc>
      </w:tr>
      <w:tr>
        <w:tc>
          <w:tcPr>
            <w:tcW w:type="dxa" w:w="5040"/>
            <w:tcBorders>
              <w:top w:val="single" w:color="D0D7E3" w:sz="1"/>
              <w:left w:val="single" w:color="D0D7E3" w:sz="1"/>
              <w:bottom w:val="single" w:color="D0D7E3" w:sz="1"/>
              <w:right w:val="single" w:color="D0D7E3" w:sz="1"/>
            </w:tcBorders>
            <w:shd w:fill="F4F6FA" w:val="clear"/>
            <w:tcMar>
              <w:top w:type="dxa" w:w="60"/>
              <w:left w:type="dxa" w:w="120"/>
              <w:bottom w:type="dxa" w:w="60"/>
              <w:right w:type="dxa" w:w="120"/>
            </w:tcMar>
          </w:tcPr>
          <w:p>
            <w:r>
              <w:rPr>
                <w:rFonts w:ascii="Arial" w:cs="Arial" w:eastAsia="Arial" w:hAnsi="Arial"/>
                <w:color w:val="1A1A2E"/>
                <w:sz w:val="18"/>
                <w:szCs w:val="18"/>
              </w:rPr>
              <w:t xml:space="preserve">TC R² = 0.957</w:t>
            </w:r>
          </w:p>
        </w:tc>
        <w:tc>
          <w:tcPr>
            <w:tcW w:type="dxa" w:w="4320"/>
            <w:tcBorders>
              <w:top w:val="single" w:color="D0D7E3" w:sz="1"/>
              <w:left w:val="single" w:color="D0D7E3" w:sz="1"/>
              <w:bottom w:val="single" w:color="D0D7E3" w:sz="1"/>
              <w:right w:val="single" w:color="D0D7E3" w:sz="1"/>
            </w:tcBorders>
            <w:shd w:fill="F4F6FA" w:val="clear"/>
            <w:tcMar>
              <w:top w:type="dxa" w:w="60"/>
              <w:left w:type="dxa" w:w="120"/>
              <w:bottom w:type="dxa" w:w="60"/>
              <w:right w:type="dxa" w:w="120"/>
            </w:tcMar>
          </w:tcPr>
          <w:p>
            <w:r>
              <w:rPr>
                <w:rFonts w:ascii="Arial" w:cs="Arial" w:eastAsia="Arial" w:hAnsi="Arial"/>
                <w:color w:val="1A1A2E"/>
                <w:sz w:val="18"/>
                <w:szCs w:val="18"/>
              </w:rPr>
              <w:t xml:space="preserve">Very strong. Tumour core is clinically the most relevant region for treatment planning.</w:t>
            </w:r>
          </w:p>
        </w:tc>
      </w:tr>
      <w:tr>
        <w:tc>
          <w:tcPr>
            <w:tcW w:type="dxa" w:w="504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ET R² = 0.959</w:t>
            </w:r>
          </w:p>
        </w:tc>
        <w:tc>
          <w:tcPr>
            <w:tcW w:type="dxa" w:w="432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Very strong. Enhancing tumour correlates with grade and active disease.</w:t>
            </w:r>
          </w:p>
        </w:tc>
      </w:tr>
      <w:tr>
        <w:tc>
          <w:tcPr>
            <w:tcW w:type="dxa" w:w="5040"/>
            <w:tcBorders>
              <w:top w:val="single" w:color="D0D7E3" w:sz="1"/>
              <w:left w:val="single" w:color="D0D7E3" w:sz="1"/>
              <w:bottom w:val="single" w:color="D0D7E3" w:sz="1"/>
              <w:right w:val="single" w:color="D0D7E3" w:sz="1"/>
            </w:tcBorders>
            <w:shd w:fill="F4F6FA" w:val="clear"/>
            <w:tcMar>
              <w:top w:type="dxa" w:w="60"/>
              <w:left w:type="dxa" w:w="120"/>
              <w:bottom w:type="dxa" w:w="60"/>
              <w:right w:type="dxa" w:w="120"/>
            </w:tcMar>
          </w:tcPr>
          <w:p>
            <w:r>
              <w:rPr>
                <w:rFonts w:ascii="Arial" w:cs="Arial" w:eastAsia="Arial" w:hAnsi="Arial"/>
                <w:color w:val="1A1A2E"/>
                <w:sz w:val="18"/>
                <w:szCs w:val="18"/>
              </w:rPr>
              <w:t xml:space="preserve">WT MAE = 15.2 mL</w:t>
            </w:r>
          </w:p>
        </w:tc>
        <w:tc>
          <w:tcPr>
            <w:tcW w:type="dxa" w:w="4320"/>
            <w:tcBorders>
              <w:top w:val="single" w:color="D0D7E3" w:sz="1"/>
              <w:left w:val="single" w:color="D0D7E3" w:sz="1"/>
              <w:bottom w:val="single" w:color="D0D7E3" w:sz="1"/>
              <w:right w:val="single" w:color="D0D7E3" w:sz="1"/>
            </w:tcBorders>
            <w:shd w:fill="F4F6FA" w:val="clear"/>
            <w:tcMar>
              <w:top w:type="dxa" w:w="60"/>
              <w:left w:type="dxa" w:w="120"/>
              <w:bottom w:type="dxa" w:w="60"/>
              <w:right w:type="dxa" w:w="120"/>
            </w:tcMar>
          </w:tcPr>
          <w:p>
            <w:r>
              <w:rPr>
                <w:rFonts w:ascii="Arial" w:cs="Arial" w:eastAsia="Arial" w:hAnsi="Arial"/>
                <w:color w:val="1A1A2E"/>
                <w:sz w:val="18"/>
                <w:szCs w:val="18"/>
              </w:rPr>
              <w:t xml:space="preserve">Moderate concern. 15.2 mL is clinically meaningful — small recurrent tumours may be 5–20 mL total. Wide errors here could mislead treatment decisions.</w:t>
            </w:r>
          </w:p>
        </w:tc>
      </w:tr>
      <w:tr>
        <w:tc>
          <w:tcPr>
            <w:tcW w:type="dxa" w:w="504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TC MAE = 4.8 mL  /  ET MAE = 3.2 mL</w:t>
            </w:r>
          </w:p>
        </w:tc>
        <w:tc>
          <w:tcPr>
            <w:tcW w:type="dxa" w:w="432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Acceptable. Errors are smaller relative to typical TC/ET volumes.</w:t>
            </w:r>
          </w:p>
        </w:tc>
      </w:tr>
    </w:tbl>
    <w:p>
      <w:pPr>
        <w:spacing w:after="0" w:before="60"/>
      </w:pPr>
    </w:p>
    <w:p>
      <w:pPr>
        <w:pStyle w:val="Heading2"/>
        <w:spacing w:after="120" w:before="240"/>
      </w:pPr>
      <w:r>
        <w:rPr>
          <w:rFonts w:ascii="Arial" w:cs="Arial" w:eastAsia="Arial" w:hAnsi="Arial"/>
          <w:b/>
          <w:bCs/>
          <w:color w:val="1B3A6B"/>
          <w:sz w:val="24"/>
          <w:szCs w:val="24"/>
        </w:rPr>
        <w:t xml:space="preserve">6.2  Trajectory Classification — Weak</w:t>
      </w:r>
    </w:p>
    <w:p>
      <w:pPr>
        <w:spacing w:after="80" w:before="80"/>
      </w:pPr>
      <w:r>
        <w:rPr>
          <w:rFonts w:ascii="Arial" w:cs="Arial" w:eastAsia="Arial" w:hAnsi="Arial"/>
          <w:b/>
          <w:bCs/>
          <w:color w:val="1A1A2E"/>
          <w:sz w:val="20"/>
          <w:szCs w:val="20"/>
        </w:rPr>
        <w:t xml:space="preserve">TrajAcc = 39.1%  vs  33.3% majority-class random baseline.</w:t>
      </w:r>
      <w:r>
        <w:rPr>
          <w:rFonts w:ascii="Arial" w:cs="Arial" w:eastAsia="Arial" w:hAnsi="Arial"/>
          <w:color w:val="1A1A2E"/>
          <w:sz w:val="20"/>
          <w:szCs w:val="20"/>
        </w:rPr>
        <w:t xml:space="preserve"> The more relevant baseline is the </w:t>
      </w:r>
      <w:r>
        <w:rPr>
          <w:rFonts w:ascii="Arial" w:cs="Arial" w:eastAsia="Arial" w:hAnsi="Arial"/>
          <w:b/>
          <w:bCs/>
          <w:color w:val="1A1A2E"/>
          <w:sz w:val="20"/>
          <w:szCs w:val="20"/>
        </w:rPr>
        <w:t xml:space="preserve">55% majority-class (PROG) classifier</w:t>
      </w:r>
      <w:r>
        <w:rPr>
          <w:rFonts w:ascii="Arial" w:cs="Arial" w:eastAsia="Arial" w:hAnsi="Arial"/>
          <w:color w:val="1A1A2E"/>
          <w:sz w:val="20"/>
          <w:szCs w:val="20"/>
        </w:rPr>
        <w:t xml:space="preserve">, against which 39.1% represents a </w:t>
      </w:r>
      <w:r>
        <w:rPr>
          <w:rFonts w:ascii="Arial" w:cs="Arial" w:eastAsia="Arial" w:hAnsi="Arial"/>
          <w:b/>
          <w:bCs/>
          <w:color w:val="1A1A2E"/>
          <w:sz w:val="20"/>
          <w:szCs w:val="20"/>
        </w:rPr>
        <w:t xml:space="preserve">negative</w:t>
      </w:r>
      <w:r>
        <w:rPr>
          <w:rFonts w:ascii="Arial" w:cs="Arial" w:eastAsia="Arial" w:hAnsi="Arial"/>
          <w:color w:val="1A1A2E"/>
          <w:sz w:val="20"/>
          <w:szCs w:val="20"/>
        </w:rPr>
        <w:t xml:space="preserve"> result — the model performs worse than always predicting 'Progressive.' This must be clearly contextualised in the thesis and the classification head's design reviewed.</w:t>
      </w:r>
    </w:p>
    <w:p>
      <w:pPr>
        <w:spacing w:after="0" w:before="60"/>
      </w:pPr>
    </w:p>
    <w:p>
      <w:pPr>
        <w:pStyle w:val="Heading2"/>
        <w:spacing w:after="120" w:before="240"/>
      </w:pPr>
      <w:r>
        <w:rPr>
          <w:rFonts w:ascii="Arial" w:cs="Arial" w:eastAsia="Arial" w:hAnsi="Arial"/>
          <w:b/>
          <w:bCs/>
          <w:color w:val="1B3A6B"/>
          <w:sz w:val="24"/>
          <w:szCs w:val="24"/>
        </w:rPr>
        <w:t xml:space="preserve">6.3  VOCEG — Adequate but Overstated</w:t>
      </w:r>
    </w:p>
    <w:p>
      <w:pPr>
        <w:spacing w:after="80" w:before="80"/>
      </w:pPr>
      <w:r>
        <w:rPr>
          <w:rFonts w:ascii="Arial" w:cs="Arial" w:eastAsia="Arial" w:hAnsi="Arial"/>
          <w:b/>
          <w:bCs/>
          <w:color w:val="1A1A2E"/>
          <w:sz w:val="20"/>
          <w:szCs w:val="20"/>
        </w:rPr>
        <w:t xml:space="preserve">VOCEG R² = 0.734</w:t>
      </w:r>
      <w:r>
        <w:rPr>
          <w:rFonts w:ascii="Arial" w:cs="Arial" w:eastAsia="Arial" w:hAnsi="Arial"/>
          <w:color w:val="1A1A2E"/>
          <w:sz w:val="20"/>
          <w:szCs w:val="20"/>
        </w:rPr>
        <w:t xml:space="preserve"> for counterfactual volume projection is substantially weaker than TaViT's direct prediction (0.917). This gap is expected for a generative counterfactual model, but the </w:t>
      </w:r>
      <w:r>
        <w:rPr>
          <w:rFonts w:ascii="Arial" w:cs="Arial" w:eastAsia="Arial" w:hAnsi="Arial"/>
          <w:b/>
          <w:bCs/>
          <w:color w:val="1A1A2E"/>
          <w:sz w:val="20"/>
          <w:szCs w:val="20"/>
        </w:rPr>
        <w:t xml:space="preserve">causal interpretation must not be overstated</w:t>
      </w:r>
      <w:r>
        <w:rPr>
          <w:rFonts w:ascii="Arial" w:cs="Arial" w:eastAsia="Arial" w:hAnsi="Arial"/>
          <w:color w:val="1A1A2E"/>
          <w:sz w:val="20"/>
          <w:szCs w:val="20"/>
        </w:rPr>
        <w:t xml:space="preserve">. VOCEG E1 (+10.3% with treatment) confirms treatment conditioning is useful, but the overall VOCEG framework needs the causal-validity caveats outlined in Section 3.5.</w:t>
      </w:r>
    </w:p>
    <w:p>
      <w:pPr>
        <w:spacing w:after="0" w:before="100"/>
      </w:pPr>
    </w:p>
    <w:p>
      <w:pPr>
        <w:pStyle w:val="Heading1"/>
        <w:pBdr>
          <w:bottom w:val="single" w:color="1B3A6B" w:sz="6" w:space="1"/>
        </w:pBdr>
        <w:spacing w:after="160" w:before="320"/>
      </w:pPr>
      <w:r>
        <w:rPr>
          <w:rFonts w:ascii="Arial" w:cs="Arial" w:eastAsia="Arial" w:hAnsi="Arial"/>
          <w:b/>
          <w:bCs/>
          <w:color w:val="1B3A6B"/>
          <w:sz w:val="28"/>
          <w:szCs w:val="28"/>
        </w:rPr>
        <w:t xml:space="preserve">7.  References</w:t>
      </w:r>
    </w:p>
    <w:p>
      <w:pPr>
        <w:spacing w:after="60" w:before="60"/>
        <w:ind w:left="360" w:hanging="360"/>
      </w:pPr>
      <w:r>
        <w:rPr>
          <w:rFonts w:ascii="Arial" w:cs="Arial" w:eastAsia="Arial" w:hAnsi="Arial"/>
          <w:b/>
          <w:bCs/>
          <w:color w:val="0066CC"/>
          <w:sz w:val="18"/>
          <w:szCs w:val="18"/>
        </w:rPr>
        <w:t xml:space="preserve">[1]  </w:t>
      </w:r>
      <w:r>
        <w:rPr>
          <w:rFonts w:ascii="Arial" w:cs="Arial" w:eastAsia="Arial" w:hAnsi="Arial"/>
          <w:color w:val="1A1A2E"/>
          <w:sz w:val="18"/>
          <w:szCs w:val="18"/>
        </w:rPr>
        <w:t xml:space="preserve">Vaswani, A., et al. (2017). Attention Is All You Need. NeurIPS 30.</w:t>
      </w:r>
    </w:p>
    <w:p>
      <w:pPr>
        <w:spacing w:after="60" w:before="60"/>
        <w:ind w:left="360" w:hanging="360"/>
      </w:pPr>
      <w:r>
        <w:rPr>
          <w:rFonts w:ascii="Arial" w:cs="Arial" w:eastAsia="Arial" w:hAnsi="Arial"/>
          <w:b/>
          <w:bCs/>
          <w:color w:val="0066CC"/>
          <w:sz w:val="18"/>
          <w:szCs w:val="18"/>
        </w:rPr>
        <w:t xml:space="preserve">[2]  </w:t>
      </w:r>
      <w:r>
        <w:rPr>
          <w:rFonts w:ascii="Arial" w:cs="Arial" w:eastAsia="Arial" w:hAnsi="Arial"/>
          <w:color w:val="1A1A2E"/>
          <w:sz w:val="18"/>
          <w:szCs w:val="18"/>
        </w:rPr>
        <w:t xml:space="preserve">Dai, Z., et al. (2019). Transformer-XL: Attentive Language Models Beyond a Fixed-Length Context. ACL 2019.</w:t>
      </w:r>
    </w:p>
    <w:p>
      <w:pPr>
        <w:spacing w:after="60" w:before="60"/>
        <w:ind w:left="360" w:hanging="360"/>
      </w:pPr>
      <w:r>
        <w:rPr>
          <w:rFonts w:ascii="Arial" w:cs="Arial" w:eastAsia="Arial" w:hAnsi="Arial"/>
          <w:b/>
          <w:bCs/>
          <w:color w:val="0066CC"/>
          <w:sz w:val="18"/>
          <w:szCs w:val="18"/>
        </w:rPr>
        <w:t xml:space="preserve">[3]  </w:t>
      </w:r>
      <w:r>
        <w:rPr>
          <w:rFonts w:ascii="Arial" w:cs="Arial" w:eastAsia="Arial" w:hAnsi="Arial"/>
          <w:color w:val="1A1A2E"/>
          <w:sz w:val="18"/>
          <w:szCs w:val="18"/>
        </w:rPr>
        <w:t xml:space="preserve">Xiong, R., et al. (2020). On Layer Normalization in the Transformer Architecture. ICML 2020.</w:t>
      </w:r>
    </w:p>
    <w:p>
      <w:pPr>
        <w:spacing w:after="60" w:before="60"/>
        <w:ind w:left="360" w:hanging="360"/>
      </w:pPr>
      <w:r>
        <w:rPr>
          <w:rFonts w:ascii="Arial" w:cs="Arial" w:eastAsia="Arial" w:hAnsi="Arial"/>
          <w:b/>
          <w:bCs/>
          <w:color w:val="0066CC"/>
          <w:sz w:val="18"/>
          <w:szCs w:val="18"/>
        </w:rPr>
        <w:t xml:space="preserve">[4]  </w:t>
      </w:r>
      <w:r>
        <w:rPr>
          <w:rFonts w:ascii="Arial" w:cs="Arial" w:eastAsia="Arial" w:hAnsi="Arial"/>
          <w:color w:val="1A1A2E"/>
          <w:sz w:val="18"/>
          <w:szCs w:val="18"/>
        </w:rPr>
        <w:t xml:space="preserve">Horn, M., et al. (2020). Set Functions for Time Series. ICML 2020.</w:t>
      </w:r>
    </w:p>
    <w:p>
      <w:pPr>
        <w:spacing w:after="60" w:before="60"/>
        <w:ind w:left="360" w:hanging="360"/>
      </w:pPr>
      <w:r>
        <w:rPr>
          <w:rFonts w:ascii="Arial" w:cs="Arial" w:eastAsia="Arial" w:hAnsi="Arial"/>
          <w:b/>
          <w:bCs/>
          <w:color w:val="0066CC"/>
          <w:sz w:val="18"/>
          <w:szCs w:val="18"/>
        </w:rPr>
        <w:t xml:space="preserve">[5]  </w:t>
      </w:r>
      <w:r>
        <w:rPr>
          <w:rFonts w:ascii="Arial" w:cs="Arial" w:eastAsia="Arial" w:hAnsi="Arial"/>
          <w:color w:val="1A1A2E"/>
          <w:sz w:val="18"/>
          <w:szCs w:val="18"/>
        </w:rPr>
        <w:t xml:space="preserve">Huang, S.-C., et al. (2021). Fusion of Medical Imaging and Electronic Health Records Using Deep Learning. npj Digital Medicine.</w:t>
      </w:r>
    </w:p>
    <w:p>
      <w:pPr>
        <w:spacing w:after="60" w:before="60"/>
        <w:ind w:left="360" w:hanging="360"/>
      </w:pPr>
      <w:r>
        <w:rPr>
          <w:rFonts w:ascii="Arial" w:cs="Arial" w:eastAsia="Arial" w:hAnsi="Arial"/>
          <w:b/>
          <w:bCs/>
          <w:color w:val="0066CC"/>
          <w:sz w:val="18"/>
          <w:szCs w:val="18"/>
        </w:rPr>
        <w:t xml:space="preserve">[6]  </w:t>
      </w:r>
      <w:r>
        <w:rPr>
          <w:rFonts w:ascii="Arial" w:cs="Arial" w:eastAsia="Arial" w:hAnsi="Arial"/>
          <w:color w:val="1A1A2E"/>
          <w:sz w:val="18"/>
          <w:szCs w:val="18"/>
        </w:rPr>
        <w:t xml:space="preserve">Isensee, F., et al. (2021). nnU-Net: a self-configuring method for deep learning-based biomedical image segmentation. Nature Methods, 18, 203–211.</w:t>
      </w:r>
    </w:p>
    <w:p>
      <w:pPr>
        <w:spacing w:after="60" w:before="60"/>
        <w:ind w:left="360" w:hanging="360"/>
      </w:pPr>
      <w:r>
        <w:rPr>
          <w:rFonts w:ascii="Arial" w:cs="Arial" w:eastAsia="Arial" w:hAnsi="Arial"/>
          <w:b/>
          <w:bCs/>
          <w:color w:val="0066CC"/>
          <w:sz w:val="18"/>
          <w:szCs w:val="18"/>
        </w:rPr>
        <w:t xml:space="preserve">[7]  </w:t>
      </w:r>
      <w:r>
        <w:rPr>
          <w:rFonts w:ascii="Arial" w:cs="Arial" w:eastAsia="Arial" w:hAnsi="Arial"/>
          <w:color w:val="1A1A2E"/>
          <w:sz w:val="18"/>
          <w:szCs w:val="18"/>
        </w:rPr>
        <w:t xml:space="preserve">Devlin, J., et al. (2019). BERT: Pre-training of Deep Bidirectional Transformers. NAACL 2019.</w:t>
      </w:r>
    </w:p>
    <w:p>
      <w:pPr>
        <w:spacing w:after="60" w:before="60"/>
        <w:ind w:left="360" w:hanging="360"/>
      </w:pPr>
      <w:r>
        <w:rPr>
          <w:rFonts w:ascii="Arial" w:cs="Arial" w:eastAsia="Arial" w:hAnsi="Arial"/>
          <w:b/>
          <w:bCs/>
          <w:color w:val="0066CC"/>
          <w:sz w:val="18"/>
          <w:szCs w:val="18"/>
        </w:rPr>
        <w:t xml:space="preserve">[8]  </w:t>
      </w:r>
      <w:r>
        <w:rPr>
          <w:rFonts w:ascii="Arial" w:cs="Arial" w:eastAsia="Arial" w:hAnsi="Arial"/>
          <w:color w:val="1A1A2E"/>
          <w:sz w:val="18"/>
          <w:szCs w:val="18"/>
        </w:rPr>
        <w:t xml:space="preserve">Chen, R. J., et al. (2022). Scaling Vision Transformers to Gigapixel Images via Hierarchical Self-Supervised Learning. CVPR 2022.</w:t>
      </w:r>
    </w:p>
    <w:p>
      <w:pPr>
        <w:spacing w:after="60" w:before="60"/>
        <w:ind w:left="360" w:hanging="360"/>
      </w:pPr>
      <w:r>
        <w:rPr>
          <w:rFonts w:ascii="Arial" w:cs="Arial" w:eastAsia="Arial" w:hAnsi="Arial"/>
          <w:b/>
          <w:bCs/>
          <w:color w:val="0066CC"/>
          <w:sz w:val="18"/>
          <w:szCs w:val="18"/>
        </w:rPr>
        <w:t xml:space="preserve">[9]  </w:t>
      </w:r>
      <w:r>
        <w:rPr>
          <w:rFonts w:ascii="Arial" w:cs="Arial" w:eastAsia="Arial" w:hAnsi="Arial"/>
          <w:color w:val="1A1A2E"/>
          <w:sz w:val="18"/>
          <w:szCs w:val="18"/>
        </w:rPr>
        <w:t xml:space="preserve">Louis, D. N., et al. (2021). The 2021 WHO Classification of Tumors of the Central Nervous System. Neuro-Oncology, 23(8), 1231–1251.</w:t>
      </w:r>
    </w:p>
    <w:p>
      <w:pPr>
        <w:spacing w:after="60" w:before="60"/>
        <w:ind w:left="360" w:hanging="360"/>
      </w:pPr>
      <w:r>
        <w:rPr>
          <w:rFonts w:ascii="Arial" w:cs="Arial" w:eastAsia="Arial" w:hAnsi="Arial"/>
          <w:b/>
          <w:bCs/>
          <w:color w:val="0066CC"/>
          <w:sz w:val="18"/>
          <w:szCs w:val="18"/>
        </w:rPr>
        <w:t xml:space="preserve">[10]  </w:t>
      </w:r>
      <w:r>
        <w:rPr>
          <w:rFonts w:ascii="Arial" w:cs="Arial" w:eastAsia="Arial" w:hAnsi="Arial"/>
          <w:color w:val="1A1A2E"/>
          <w:sz w:val="18"/>
          <w:szCs w:val="18"/>
        </w:rPr>
        <w:t xml:space="preserve">Girshick, R. (2015). Fast R-CNN. ICCV 2015. [SmoothL1 origin]</w:t>
      </w:r>
    </w:p>
    <w:p>
      <w:pPr>
        <w:spacing w:after="60" w:before="60"/>
        <w:ind w:left="360" w:hanging="360"/>
      </w:pPr>
      <w:r>
        <w:rPr>
          <w:rFonts w:ascii="Arial" w:cs="Arial" w:eastAsia="Arial" w:hAnsi="Arial"/>
          <w:b/>
          <w:bCs/>
          <w:color w:val="0066CC"/>
          <w:sz w:val="18"/>
          <w:szCs w:val="18"/>
        </w:rPr>
        <w:t xml:space="preserve">[11]  </w:t>
      </w:r>
      <w:r>
        <w:rPr>
          <w:rFonts w:ascii="Arial" w:cs="Arial" w:eastAsia="Arial" w:hAnsi="Arial"/>
          <w:color w:val="1A1A2E"/>
          <w:sz w:val="18"/>
          <w:szCs w:val="18"/>
        </w:rPr>
        <w:t xml:space="preserve">Kickingereder, P., et al. (2019). Automated quantitative tumour response assessment of MRI in neuro-oncology. The Lancet Oncology, 20(5), 728–740.</w:t>
      </w:r>
    </w:p>
    <w:p>
      <w:pPr>
        <w:spacing w:after="60" w:before="60"/>
        <w:ind w:left="360" w:hanging="360"/>
      </w:pPr>
      <w:r>
        <w:rPr>
          <w:rFonts w:ascii="Arial" w:cs="Arial" w:eastAsia="Arial" w:hAnsi="Arial"/>
          <w:b/>
          <w:bCs/>
          <w:color w:val="0066CC"/>
          <w:sz w:val="18"/>
          <w:szCs w:val="18"/>
        </w:rPr>
        <w:t xml:space="preserve">[12]  </w:t>
      </w:r>
      <w:r>
        <w:rPr>
          <w:rFonts w:ascii="Arial" w:cs="Arial" w:eastAsia="Arial" w:hAnsi="Arial"/>
          <w:color w:val="1A1A2E"/>
          <w:sz w:val="18"/>
          <w:szCs w:val="18"/>
        </w:rPr>
        <w:t xml:space="preserve">Lin, T.-Y., et al. (2017). Focal Loss for Dense Object Detection. ICCV 2017.</w:t>
      </w:r>
    </w:p>
    <w:p>
      <w:pPr>
        <w:spacing w:after="60" w:before="60"/>
        <w:ind w:left="360" w:hanging="360"/>
      </w:pPr>
      <w:r>
        <w:rPr>
          <w:rFonts w:ascii="Arial" w:cs="Arial" w:eastAsia="Arial" w:hAnsi="Arial"/>
          <w:b/>
          <w:bCs/>
          <w:color w:val="0066CC"/>
          <w:sz w:val="18"/>
          <w:szCs w:val="18"/>
        </w:rPr>
        <w:t xml:space="preserve">[13]  </w:t>
      </w:r>
      <w:r>
        <w:rPr>
          <w:rFonts w:ascii="Arial" w:cs="Arial" w:eastAsia="Arial" w:hAnsi="Arial"/>
          <w:color w:val="1A1A2E"/>
          <w:sz w:val="18"/>
          <w:szCs w:val="18"/>
        </w:rPr>
        <w:t xml:space="preserve">Loshchilov, I. &amp; Hutter, F. (2019). Decoupled Weight Decay Regularization. ICLR 2019.</w:t>
      </w:r>
    </w:p>
    <w:p>
      <w:pPr>
        <w:spacing w:after="60" w:before="60"/>
        <w:ind w:left="360" w:hanging="360"/>
      </w:pPr>
      <w:r>
        <w:rPr>
          <w:rFonts w:ascii="Arial" w:cs="Arial" w:eastAsia="Arial" w:hAnsi="Arial"/>
          <w:b/>
          <w:bCs/>
          <w:color w:val="0066CC"/>
          <w:sz w:val="18"/>
          <w:szCs w:val="18"/>
        </w:rPr>
        <w:t xml:space="preserve">[14]  </w:t>
      </w:r>
      <w:r>
        <w:rPr>
          <w:rFonts w:ascii="Arial" w:cs="Arial" w:eastAsia="Arial" w:hAnsi="Arial"/>
          <w:color w:val="1A1A2E"/>
          <w:sz w:val="18"/>
          <w:szCs w:val="18"/>
        </w:rPr>
        <w:t xml:space="preserve">Kohavi, R. (1995). A Study of Cross-Validation and Bootstrap for Accuracy Estimation. IJCAI 1995.</w:t>
      </w:r>
    </w:p>
    <w:p>
      <w:pPr>
        <w:spacing w:after="60" w:before="60"/>
        <w:ind w:left="360" w:hanging="360"/>
      </w:pPr>
      <w:r>
        <w:rPr>
          <w:rFonts w:ascii="Arial" w:cs="Arial" w:eastAsia="Arial" w:hAnsi="Arial"/>
          <w:b/>
          <w:bCs/>
          <w:color w:val="0066CC"/>
          <w:sz w:val="18"/>
          <w:szCs w:val="18"/>
        </w:rPr>
        <w:t xml:space="preserve">[15]  </w:t>
      </w:r>
      <w:r>
        <w:rPr>
          <w:rFonts w:ascii="Arial" w:cs="Arial" w:eastAsia="Arial" w:hAnsi="Arial"/>
          <w:color w:val="1A1A2E"/>
          <w:sz w:val="18"/>
          <w:szCs w:val="18"/>
        </w:rPr>
        <w:t xml:space="preserve">Wynants, L., et al. (2020). Prediction models for diagnosis and prognosis of covid-19 infection. BMJ 369. [Reporting standards for clinical prediction models]</w:t>
      </w:r>
    </w:p>
    <w:p>
      <w:pPr>
        <w:spacing w:after="60" w:before="60"/>
        <w:ind w:left="360" w:hanging="360"/>
      </w:pPr>
      <w:r>
        <w:rPr>
          <w:rFonts w:ascii="Arial" w:cs="Arial" w:eastAsia="Arial" w:hAnsi="Arial"/>
          <w:b/>
          <w:bCs/>
          <w:color w:val="0066CC"/>
          <w:sz w:val="18"/>
          <w:szCs w:val="18"/>
        </w:rPr>
        <w:t xml:space="preserve">[16]  </w:t>
      </w:r>
      <w:r>
        <w:rPr>
          <w:rFonts w:ascii="Arial" w:cs="Arial" w:eastAsia="Arial" w:hAnsi="Arial"/>
          <w:color w:val="1A1A2E"/>
          <w:sz w:val="18"/>
          <w:szCs w:val="18"/>
        </w:rPr>
        <w:t xml:space="preserve">Menze, B. H., et al. (2015). The Multimodal Brain Tumor Image Segmentation Benchmark (BRATS). IEEE Trans. Med. Imaging, 34(10), 1993–2024.</w:t>
      </w:r>
    </w:p>
    <w:p>
      <w:pPr>
        <w:spacing w:after="60" w:before="60"/>
        <w:ind w:left="360" w:hanging="360"/>
      </w:pPr>
      <w:r>
        <w:rPr>
          <w:rFonts w:ascii="Arial" w:cs="Arial" w:eastAsia="Arial" w:hAnsi="Arial"/>
          <w:b/>
          <w:bCs/>
          <w:color w:val="0066CC"/>
          <w:sz w:val="18"/>
          <w:szCs w:val="18"/>
        </w:rPr>
        <w:t xml:space="preserve">[17]  </w:t>
      </w:r>
      <w:r>
        <w:rPr>
          <w:rFonts w:ascii="Arial" w:cs="Arial" w:eastAsia="Arial" w:hAnsi="Arial"/>
          <w:color w:val="1A1A2E"/>
          <w:sz w:val="18"/>
          <w:szCs w:val="18"/>
        </w:rPr>
        <w:t xml:space="preserve">Cohen, J. (1960). A coefficient of agreement for nominal scales. Educational and Psychological Measurement, 20(1), 37–46.</w:t>
      </w:r>
    </w:p>
    <w:p>
      <w:pPr>
        <w:spacing w:after="60" w:before="60"/>
        <w:ind w:left="360" w:hanging="360"/>
      </w:pPr>
      <w:r>
        <w:rPr>
          <w:rFonts w:ascii="Arial" w:cs="Arial" w:eastAsia="Arial" w:hAnsi="Arial"/>
          <w:b/>
          <w:bCs/>
          <w:color w:val="0066CC"/>
          <w:sz w:val="18"/>
          <w:szCs w:val="18"/>
        </w:rPr>
        <w:t xml:space="preserve">[18]  </w:t>
      </w:r>
      <w:r>
        <w:rPr>
          <w:rFonts w:ascii="Arial" w:cs="Arial" w:eastAsia="Arial" w:hAnsi="Arial"/>
          <w:color w:val="1A1A2E"/>
          <w:sz w:val="18"/>
          <w:szCs w:val="18"/>
        </w:rPr>
        <w:t xml:space="preserve">Gal, Y. &amp; Ghahramani, Z. (2016). Dropout as a Bayesian Approximation. ICML 2016.</w:t>
      </w:r>
    </w:p>
    <w:p>
      <w:pPr>
        <w:spacing w:after="60" w:before="60"/>
        <w:ind w:left="360" w:hanging="360"/>
      </w:pPr>
      <w:r>
        <w:rPr>
          <w:rFonts w:ascii="Arial" w:cs="Arial" w:eastAsia="Arial" w:hAnsi="Arial"/>
          <w:b/>
          <w:bCs/>
          <w:color w:val="0066CC"/>
          <w:sz w:val="18"/>
          <w:szCs w:val="18"/>
        </w:rPr>
        <w:t xml:space="preserve">[19]  </w:t>
      </w:r>
      <w:r>
        <w:rPr>
          <w:rFonts w:ascii="Arial" w:cs="Arial" w:eastAsia="Arial" w:hAnsi="Arial"/>
          <w:color w:val="1A1A2E"/>
          <w:sz w:val="18"/>
          <w:szCs w:val="18"/>
        </w:rPr>
        <w:t xml:space="preserve">Lakshminarayanan, B., et al. (2017). Simple and Scalable Predictive Uncertainty Estimation using Deep Ensembles. NeurIPS 2017.</w:t>
      </w:r>
    </w:p>
    <w:p>
      <w:pPr>
        <w:spacing w:after="60" w:before="60"/>
        <w:ind w:left="360" w:hanging="360"/>
      </w:pPr>
      <w:r>
        <w:rPr>
          <w:rFonts w:ascii="Arial" w:cs="Arial" w:eastAsia="Arial" w:hAnsi="Arial"/>
          <w:b/>
          <w:bCs/>
          <w:color w:val="0066CC"/>
          <w:sz w:val="18"/>
          <w:szCs w:val="18"/>
        </w:rPr>
        <w:t xml:space="preserve">[20]  </w:t>
      </w:r>
      <w:r>
        <w:rPr>
          <w:rFonts w:ascii="Arial" w:cs="Arial" w:eastAsia="Arial" w:hAnsi="Arial"/>
          <w:color w:val="1A1A2E"/>
          <w:sz w:val="18"/>
          <w:szCs w:val="18"/>
        </w:rPr>
        <w:t xml:space="preserve">Angelopoulos, A. N. &amp; Bates, S. (2021). A Gentle Introduction to Conformal Prediction and Distribution-Free Uncertainty Quantification. arXiv:2107.07511.</w:t>
      </w:r>
    </w:p>
    <w:p>
      <w:pPr>
        <w:spacing w:after="60" w:before="60"/>
        <w:ind w:left="360" w:hanging="360"/>
      </w:pPr>
      <w:r>
        <w:rPr>
          <w:rFonts w:ascii="Arial" w:cs="Arial" w:eastAsia="Arial" w:hAnsi="Arial"/>
          <w:b/>
          <w:bCs/>
          <w:color w:val="0066CC"/>
          <w:sz w:val="18"/>
          <w:szCs w:val="18"/>
        </w:rPr>
        <w:t xml:space="preserve">[21]  </w:t>
      </w:r>
      <w:r>
        <w:rPr>
          <w:rFonts w:ascii="Arial" w:cs="Arial" w:eastAsia="Arial" w:hAnsi="Arial"/>
          <w:color w:val="1A1A2E"/>
          <w:sz w:val="18"/>
          <w:szCs w:val="18"/>
        </w:rPr>
        <w:t xml:space="preserve">Hernan, M. A. &amp; Robins, J. M. (2020). Causal Inference: What If. Chapman &amp; Hall / CRC.</w:t>
      </w:r>
    </w:p>
    <w:p>
      <w:pPr>
        <w:spacing w:after="60" w:before="60"/>
        <w:ind w:left="360" w:hanging="360"/>
      </w:pPr>
      <w:r>
        <w:rPr>
          <w:rFonts w:ascii="Arial" w:cs="Arial" w:eastAsia="Arial" w:hAnsi="Arial"/>
          <w:b/>
          <w:bCs/>
          <w:color w:val="0066CC"/>
          <w:sz w:val="18"/>
          <w:szCs w:val="18"/>
        </w:rPr>
        <w:t xml:space="preserve">[22]  </w:t>
      </w:r>
      <w:r>
        <w:rPr>
          <w:rFonts w:ascii="Arial" w:cs="Arial" w:eastAsia="Arial" w:hAnsi="Arial"/>
          <w:color w:val="1A1A2E"/>
          <w:sz w:val="18"/>
          <w:szCs w:val="18"/>
        </w:rPr>
        <w:t xml:space="preserve">Prosperi, M., et al. (2020). Causal inference and counterfactual prediction in machine learning. Nature Machine Intelligence, 2, 369–375.</w:t>
      </w:r>
    </w:p>
    <w:p>
      <w:pPr>
        <w:spacing w:after="60" w:before="60"/>
        <w:ind w:left="360" w:hanging="360"/>
      </w:pPr>
      <w:r>
        <w:rPr>
          <w:rFonts w:ascii="Arial" w:cs="Arial" w:eastAsia="Arial" w:hAnsi="Arial"/>
          <w:b/>
          <w:bCs/>
          <w:color w:val="0066CC"/>
          <w:sz w:val="18"/>
          <w:szCs w:val="18"/>
        </w:rPr>
        <w:t xml:space="preserve">[23]  </w:t>
      </w:r>
      <w:r>
        <w:rPr>
          <w:rFonts w:ascii="Arial" w:cs="Arial" w:eastAsia="Arial" w:hAnsi="Arial"/>
          <w:color w:val="1A1A2E"/>
          <w:sz w:val="18"/>
          <w:szCs w:val="18"/>
        </w:rPr>
        <w:t xml:space="preserve">Chefer, H., et al. (2021). Transformer Interpretability Beyond Attention Visualization. CVPR 2021.</w:t>
      </w:r>
    </w:p>
    <w:p>
      <w:pPr>
        <w:spacing w:after="60" w:before="60"/>
        <w:ind w:left="360" w:hanging="360"/>
      </w:pPr>
      <w:r>
        <w:rPr>
          <w:rFonts w:ascii="Arial" w:cs="Arial" w:eastAsia="Arial" w:hAnsi="Arial"/>
          <w:b/>
          <w:bCs/>
          <w:color w:val="0066CC"/>
          <w:sz w:val="18"/>
          <w:szCs w:val="18"/>
        </w:rPr>
        <w:t xml:space="preserve">[24]  </w:t>
      </w:r>
      <w:r>
        <w:rPr>
          <w:rFonts w:ascii="Arial" w:cs="Arial" w:eastAsia="Arial" w:hAnsi="Arial"/>
          <w:color w:val="1A1A2E"/>
          <w:sz w:val="18"/>
          <w:szCs w:val="18"/>
        </w:rPr>
        <w:t xml:space="preserve">Bzdok, D., et al. (2018). Statistics versus machine learning. Nature Methods, 15, 233–234.</w:t>
      </w:r>
    </w:p>
    <w:p>
      <w:pPr>
        <w:spacing w:after="0" w:before="100"/>
      </w:pPr>
    </w:p>
    <w:p>
      <w:pPr>
        <w:pBdr>
          <w:top w:val="single" w:color="D0D7E3" w:sz="4" w:space="1"/>
        </w:pBdr>
        <w:spacing w:after="0" w:before="200"/>
      </w:pPr>
      <w:r>
        <w:rPr>
          <w:rFonts w:ascii="Arial" w:cs="Arial" w:eastAsia="Arial" w:hAnsi="Arial"/>
          <w:i/>
          <w:iCs/>
          <w:color w:val="555555"/>
          <w:sz w:val="20"/>
          <w:szCs w:val="20"/>
        </w:rPr>
        <w:t xml:space="preserve">This review was prepared based on the TaViT V3.2 full project report and architecture guide provided. All recommendations are grounded in peer-reviewed literature as cited. The authors are encouraged to address Priority 1 items before thesis submission.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TaViT V3.2 Technical Review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2026-05-09T22:15:09.881Z</dcterms:created>
  <dcterms:modified xsi:type="dcterms:W3CDTF">2026-05-09T22:15:09.881Z</dcterms:modified>
</cp:coreProperties>
</file>

<file path=docProps/custom.xml><?xml version="1.0" encoding="utf-8"?>
<Properties xmlns="http://schemas.openxmlformats.org/officeDocument/2006/custom-properties" xmlns:vt="http://schemas.openxmlformats.org/officeDocument/2006/docPropsVTypes"/>
</file>