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media/image1.png" ContentType="image/png"/>
  <Override PartName="/word/media/image2.png" ContentType="image/png"/>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160"/>
        <w:rPr>
          <w:b/>
          <w:bCs/>
        </w:rPr>
      </w:pPr>
      <w:r>
        <w:rPr>
          <w:b/>
          <w:bCs/>
        </w:rPr>
      </w:r>
    </w:p>
    <w:p>
      <w:pPr>
        <w:pStyle w:val="Normal"/>
        <w:rPr>
          <w:b/>
          <w:bCs/>
        </w:rPr>
      </w:pPr>
      <w:r>
        <w:rPr>
          <w:b/>
          <w:bCs/>
        </w:rPr>
      </w:r>
    </w:p>
    <w:p>
      <w:pPr>
        <w:pStyle w:val="ListParagraph"/>
        <w:ind w:left="360"/>
        <w:rPr>
          <w:b/>
          <w:bCs/>
        </w:rPr>
      </w:pPr>
      <w:r>
        <w:rPr>
          <w:b/>
          <w:bCs/>
        </w:rPr>
      </w:r>
    </w:p>
    <w:p>
      <w:pPr>
        <w:pStyle w:val="Normal"/>
        <w:jc w:val="center"/>
        <w:rPr>
          <w:b/>
          <w:bCs/>
          <w:sz w:val="32"/>
          <w:szCs w:val="32"/>
        </w:rPr>
      </w:pPr>
      <w:r>
        <w:rPr>
          <w:b/>
          <w:bCs/>
          <w:color w:val="00B0F0"/>
          <w:sz w:val="32"/>
          <w:szCs w:val="32"/>
        </w:rPr>
        <w:t>Research proposal</w:t>
      </w:r>
    </w:p>
    <w:p>
      <w:pPr>
        <w:pStyle w:val="Normal"/>
        <w:jc w:val="center"/>
        <w:rPr>
          <w:b/>
          <w:bCs/>
          <w:color w:val="00B0F0"/>
          <w:sz w:val="32"/>
          <w:szCs w:val="32"/>
        </w:rPr>
      </w:pPr>
      <w:r>
        <w:rPr>
          <w:b/>
          <w:bCs/>
          <w:color w:val="00B0F0"/>
          <w:sz w:val="32"/>
          <w:szCs w:val="32"/>
        </w:rPr>
      </w:r>
    </w:p>
    <w:p>
      <w:pPr>
        <w:pStyle w:val="Normal"/>
        <w:rPr>
          <w:rFonts w:ascii="Aptos" w:hAnsi="Aptos" w:eastAsia="Aptos" w:cs="Aptos"/>
          <w:b/>
          <w:bCs/>
          <w:lang w:val="en-US"/>
        </w:rPr>
      </w:pPr>
      <w:r>
        <w:rPr>
          <w:rFonts w:eastAsia="Aptos" w:cs="Aptos" w:ascii="Aptos" w:hAnsi="Aptos"/>
          <w:b/>
          <w:bCs/>
          <w:lang w:val="en-US"/>
        </w:rPr>
      </w:r>
    </w:p>
    <w:p>
      <w:pPr>
        <w:pStyle w:val="Normal"/>
        <w:rPr>
          <w:rFonts w:ascii="Aptos" w:hAnsi="Aptos" w:eastAsia="Aptos" w:cs="Aptos"/>
          <w:b/>
          <w:bCs/>
          <w:lang w:val="en-US"/>
        </w:rPr>
      </w:pPr>
      <w:r>
        <w:rPr>
          <w:rFonts w:eastAsia="Aptos" w:cs="Aptos" w:ascii="Aptos" w:hAnsi="Aptos"/>
          <w:b/>
          <w:bCs/>
          <w:lang w:val="en-US"/>
        </w:rPr>
        <w:t>*An incomplete or modified application (including deleting any instructions or sections in this form) will result in a delay in the proposal evaluation process or its rejection.</w:t>
      </w:r>
    </w:p>
    <w:p>
      <w:pPr>
        <w:pStyle w:val="Normal"/>
        <w:jc w:val="both"/>
        <w:rPr>
          <w:rFonts w:cs="Arial"/>
          <w:b/>
          <w:lang w:val="en-US"/>
        </w:rPr>
      </w:pPr>
      <w:r>
        <w:rPr>
          <w:rFonts w:cs="Arial"/>
          <w:b/>
          <w:lang w:val="en-US"/>
        </w:rPr>
      </w:r>
    </w:p>
    <w:p>
      <w:pPr>
        <w:pStyle w:val="Normal"/>
        <w:jc w:val="both"/>
        <w:rPr>
          <w:rFonts w:cs="Arial"/>
          <w:b/>
          <w:bCs/>
        </w:rPr>
      </w:pPr>
      <w:r>
        <w:rPr>
          <w:rFonts w:cs="Arial"/>
          <w:b/>
          <w:bCs/>
        </w:rPr>
      </w:r>
    </w:p>
    <w:p>
      <w:pPr>
        <w:pStyle w:val="Normal"/>
        <w:tabs>
          <w:tab w:val="clear" w:pos="720"/>
          <w:tab w:val="left" w:pos="360" w:leader="none"/>
        </w:tabs>
        <w:jc w:val="both"/>
        <w:rPr>
          <w:b/>
          <w:bCs/>
          <w:sz w:val="24"/>
          <w:szCs w:val="24"/>
          <w:u w:val="single"/>
        </w:rPr>
      </w:pPr>
      <w:r>
        <w:rPr>
          <w:b/>
          <w:bCs/>
          <w:sz w:val="24"/>
          <w:szCs w:val="24"/>
          <w:u w:val="single"/>
        </w:rPr>
        <w:t>1. List interns who will be travelling (maximum of 5)</w:t>
      </w:r>
    </w:p>
    <w:p>
      <w:pPr>
        <w:pStyle w:val="Normal"/>
        <w:tabs>
          <w:tab w:val="clear" w:pos="720"/>
          <w:tab w:val="left" w:pos="360" w:leader="none"/>
        </w:tabs>
        <w:jc w:val="both"/>
        <w:rPr/>
      </w:pPr>
      <w:r>
        <w:rPr/>
        <w:t>Each internship unit (IU) must be for 12 to 24 weeks and each intern can do up to 2 IUs (either consecutive or not). The maximum duration of a project is 2 years.</w:t>
      </w:r>
    </w:p>
    <w:p>
      <w:pPr>
        <w:pStyle w:val="Normal"/>
        <w:rPr/>
      </w:pPr>
      <w:r>
        <w:rPr/>
        <w:t>Indicate the travel destination for each intern AND the travel dates for each unit.</w:t>
      </w:r>
    </w:p>
    <w:p>
      <w:pPr>
        <w:pStyle w:val="Normal"/>
        <w:rPr>
          <w:b/>
          <w:bCs/>
        </w:rPr>
      </w:pPr>
      <w:r>
        <w:rPr/>
        <w:br/>
      </w:r>
    </w:p>
    <w:tbl>
      <w:tblPr>
        <w:tblW w:w="9507" w:type="dxa"/>
        <w:jc w:val="left"/>
        <w:tblInd w:w="-5" w:type="dxa"/>
        <w:tblLayout w:type="fixed"/>
        <w:tblCellMar>
          <w:top w:w="0" w:type="dxa"/>
          <w:left w:w="108" w:type="dxa"/>
          <w:bottom w:w="0" w:type="dxa"/>
          <w:right w:w="108" w:type="dxa"/>
        </w:tblCellMar>
      </w:tblPr>
      <w:tblGrid>
        <w:gridCol w:w="1592"/>
        <w:gridCol w:w="1794"/>
        <w:gridCol w:w="1940"/>
        <w:gridCol w:w="2404"/>
        <w:gridCol w:w="1777"/>
      </w:tblGrid>
      <w:tr>
        <w:trPr>
          <w:trHeight w:val="300" w:hRule="atLeast"/>
        </w:trPr>
        <w:tc>
          <w:tcPr>
            <w:tcW w:w="1592" w:type="dxa"/>
            <w:tcBorders>
              <w:top w:val="single" w:sz="4" w:space="0" w:color="000000"/>
              <w:left w:val="single" w:sz="4" w:space="0" w:color="000000"/>
              <w:bottom w:val="single" w:sz="4" w:space="0" w:color="000000"/>
              <w:right w:val="single" w:sz="4" w:space="0" w:color="000000"/>
            </w:tcBorders>
            <w:shd w:fill="D9E2F3" w:val="clear"/>
          </w:tcPr>
          <w:p>
            <w:pPr>
              <w:pStyle w:val="Normal"/>
              <w:widowControl/>
              <w:spacing w:before="0" w:after="0"/>
              <w:ind w:firstLine="295" w:left="-295"/>
              <w:jc w:val="center"/>
              <w:rPr>
                <w:sz w:val="20"/>
                <w:szCs w:val="20"/>
              </w:rPr>
            </w:pPr>
            <w:r>
              <w:rPr>
                <w:rFonts w:eastAsia="Calibri" w:cs="Arial"/>
                <w:kern w:val="0"/>
                <w:sz w:val="20"/>
                <w:szCs w:val="20"/>
                <w:lang w:eastAsia="en-US" w:bidi="ar-SA"/>
              </w:rPr>
              <w:t>Name</w:t>
            </w:r>
          </w:p>
          <w:p>
            <w:pPr>
              <w:pStyle w:val="Normal"/>
              <w:widowControl/>
              <w:spacing w:before="0" w:after="0"/>
              <w:ind w:firstLine="295" w:left="-295"/>
              <w:jc w:val="center"/>
              <w:rPr>
                <w:sz w:val="20"/>
                <w:szCs w:val="20"/>
              </w:rPr>
            </w:pPr>
            <w:r>
              <w:rPr>
                <w:rFonts w:eastAsia="Calibri" w:cs="Arial"/>
                <w:kern w:val="0"/>
                <w:sz w:val="20"/>
                <w:szCs w:val="20"/>
                <w:lang w:eastAsia="en-US" w:bidi="ar-SA"/>
              </w:rPr>
              <w:t>of intern(s)</w:t>
            </w:r>
          </w:p>
        </w:tc>
        <w:tc>
          <w:tcPr>
            <w:tcW w:w="1794" w:type="dxa"/>
            <w:tcBorders>
              <w:top w:val="single" w:sz="4" w:space="0" w:color="000000"/>
              <w:left w:val="single" w:sz="4" w:space="0" w:color="000000"/>
              <w:bottom w:val="single" w:sz="4" w:space="0" w:color="000000"/>
              <w:right w:val="single" w:sz="4" w:space="0" w:color="000000"/>
            </w:tcBorders>
            <w:shd w:fill="D9E2F3" w:val="clear"/>
          </w:tcPr>
          <w:p>
            <w:pPr>
              <w:pStyle w:val="Normal"/>
              <w:widowControl/>
              <w:spacing w:before="0" w:after="0"/>
              <w:jc w:val="center"/>
              <w:rPr>
                <w:sz w:val="20"/>
                <w:szCs w:val="20"/>
              </w:rPr>
            </w:pPr>
            <w:r>
              <w:rPr>
                <w:rFonts w:eastAsia="Calibri" w:cs="Arial"/>
                <w:kern w:val="0"/>
                <w:sz w:val="20"/>
                <w:szCs w:val="20"/>
                <w:lang w:eastAsia="en-US" w:bidi="ar-SA"/>
              </w:rPr>
              <w:t>Destination (Canada or name of the other country)</w:t>
            </w:r>
          </w:p>
        </w:tc>
        <w:tc>
          <w:tcPr>
            <w:tcW w:w="1940" w:type="dxa"/>
            <w:tcBorders>
              <w:top w:val="single" w:sz="4" w:space="0" w:color="000000"/>
              <w:left w:val="single" w:sz="4" w:space="0" w:color="000000"/>
              <w:bottom w:val="single" w:sz="4" w:space="0" w:color="000000"/>
              <w:right w:val="single" w:sz="4" w:space="0" w:color="000000"/>
            </w:tcBorders>
            <w:shd w:fill="D9E2F3" w:val="clear"/>
          </w:tcPr>
          <w:p>
            <w:pPr>
              <w:pStyle w:val="Normal"/>
              <w:widowControl/>
              <w:spacing w:before="0" w:after="0"/>
              <w:jc w:val="center"/>
              <w:rPr>
                <w:sz w:val="20"/>
                <w:szCs w:val="20"/>
              </w:rPr>
            </w:pPr>
            <w:r>
              <w:rPr>
                <w:rFonts w:eastAsia="Calibri" w:cs="Arial"/>
                <w:kern w:val="0"/>
                <w:sz w:val="20"/>
                <w:szCs w:val="20"/>
                <w:lang w:eastAsia="en-US" w:bidi="ar-SA"/>
              </w:rPr>
              <w:t>Degree level during the internship</w:t>
            </w:r>
          </w:p>
        </w:tc>
        <w:tc>
          <w:tcPr>
            <w:tcW w:w="2404" w:type="dxa"/>
            <w:tcBorders>
              <w:top w:val="single" w:sz="4" w:space="0" w:color="000000"/>
              <w:left w:val="single" w:sz="4" w:space="0" w:color="000000"/>
              <w:bottom w:val="single" w:sz="4" w:space="0" w:color="000000"/>
              <w:right w:val="single" w:sz="4" w:space="0" w:color="000000"/>
            </w:tcBorders>
            <w:shd w:fill="D9E2F3" w:val="clear"/>
          </w:tcPr>
          <w:p>
            <w:pPr>
              <w:pStyle w:val="Normal"/>
              <w:widowControl/>
              <w:spacing w:before="0" w:after="0"/>
              <w:jc w:val="center"/>
              <w:rPr>
                <w:sz w:val="20"/>
                <w:szCs w:val="20"/>
              </w:rPr>
            </w:pPr>
            <w:r>
              <w:rPr>
                <w:rFonts w:eastAsia="Calibri" w:cs="Arial"/>
                <w:kern w:val="0"/>
                <w:sz w:val="20"/>
                <w:szCs w:val="20"/>
                <w:lang w:eastAsia="en-US" w:bidi="ar-SA"/>
              </w:rPr>
              <w:t>Project dates (dd/mm/yy) and internship length (number of weeks)</w:t>
            </w:r>
          </w:p>
        </w:tc>
        <w:tc>
          <w:tcPr>
            <w:tcW w:w="1777" w:type="dxa"/>
            <w:tcBorders>
              <w:top w:val="single" w:sz="4" w:space="0" w:color="000000"/>
              <w:left w:val="single" w:sz="4" w:space="0" w:color="000000"/>
              <w:bottom w:val="single" w:sz="4" w:space="0" w:color="000000"/>
              <w:right w:val="single" w:sz="4" w:space="0" w:color="000000"/>
            </w:tcBorders>
            <w:shd w:fill="D9E2F3" w:val="clear"/>
          </w:tcPr>
          <w:p>
            <w:pPr>
              <w:pStyle w:val="Normal"/>
              <w:widowControl/>
              <w:spacing w:before="0" w:after="0"/>
              <w:jc w:val="center"/>
              <w:rPr>
                <w:sz w:val="20"/>
                <w:szCs w:val="20"/>
              </w:rPr>
            </w:pPr>
            <w:r>
              <w:rPr>
                <w:rFonts w:eastAsia="Calibri" w:cs="Arial"/>
                <w:kern w:val="0"/>
                <w:sz w:val="20"/>
                <w:szCs w:val="20"/>
                <w:lang w:eastAsia="en-US" w:bidi="ar-SA"/>
              </w:rPr>
              <w:t>If applicable, % of project conducted at the home institution</w:t>
            </w:r>
          </w:p>
          <w:p>
            <w:pPr>
              <w:pStyle w:val="Normal"/>
              <w:widowControl/>
              <w:spacing w:before="0" w:after="0"/>
              <w:jc w:val="center"/>
              <w:rPr>
                <w:sz w:val="20"/>
                <w:szCs w:val="20"/>
              </w:rPr>
            </w:pPr>
            <w:r>
              <w:rPr>
                <w:rFonts w:eastAsia="Calibri" w:cs="Arial"/>
                <w:kern w:val="0"/>
                <w:sz w:val="20"/>
                <w:szCs w:val="20"/>
                <w:lang w:eastAsia="en-US" w:bidi="ar-SA"/>
              </w:rPr>
              <w:t>(to a maximum of 25%)</w:t>
            </w:r>
          </w:p>
        </w:tc>
      </w:tr>
      <w:tr>
        <w:trPr>
          <w:trHeight w:val="300" w:hRule="atLeast"/>
        </w:trPr>
        <w:tc>
          <w:tcPr>
            <w:tcW w:w="1592"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jc w:val="left"/>
              <w:rPr>
                <w:sz w:val="20"/>
                <w:szCs w:val="20"/>
              </w:rPr>
            </w:pPr>
            <w:r>
              <w:rPr>
                <w:rFonts w:eastAsia="Calibri" w:cs="Arial"/>
                <w:kern w:val="0"/>
                <w:sz w:val="20"/>
                <w:szCs w:val="20"/>
                <w:lang w:eastAsia="en-US" w:bidi="ar-SA"/>
              </w:rPr>
              <w:t>Mohamed Boufafa</w:t>
            </w:r>
          </w:p>
        </w:tc>
        <w:tc>
          <w:tcPr>
            <w:tcW w:w="1794"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jc w:val="left"/>
              <w:rPr>
                <w:sz w:val="20"/>
                <w:szCs w:val="20"/>
              </w:rPr>
            </w:pPr>
            <w:r>
              <w:rPr>
                <w:rFonts w:eastAsia="Calibri" w:cs="Arial"/>
                <w:kern w:val="0"/>
                <w:sz w:val="20"/>
                <w:szCs w:val="20"/>
                <w:lang w:eastAsia="en-US" w:bidi="ar-SA"/>
              </w:rPr>
              <w:t>Canada</w:t>
            </w:r>
          </w:p>
        </w:tc>
        <w:tc>
          <w:tcPr>
            <w:tcW w:w="1940"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jc w:val="left"/>
              <w:rPr>
                <w:sz w:val="20"/>
                <w:szCs w:val="20"/>
              </w:rPr>
            </w:pPr>
            <w:r>
              <w:rPr>
                <w:rFonts w:eastAsia="Calibri" w:cs="Arial"/>
                <w:kern w:val="0"/>
                <w:sz w:val="20"/>
                <w:szCs w:val="20"/>
                <w:lang w:eastAsia="en-US" w:bidi="ar-SA"/>
              </w:rPr>
              <w:t>Master</w:t>
            </w:r>
          </w:p>
        </w:tc>
        <w:tc>
          <w:tcPr>
            <w:tcW w:w="2404"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jc w:val="left"/>
              <w:rPr>
                <w:sz w:val="20"/>
                <w:szCs w:val="20"/>
              </w:rPr>
            </w:pPr>
            <w:r>
              <w:rPr>
                <w:rFonts w:eastAsia="Calibri" w:cs="Arial"/>
                <w:kern w:val="0"/>
                <w:sz w:val="20"/>
                <w:szCs w:val="20"/>
                <w:lang w:eastAsia="en-US" w:bidi="ar-SA"/>
              </w:rPr>
              <w:t>01/04/2026 -30/08/2026</w:t>
            </w:r>
          </w:p>
          <w:p>
            <w:pPr>
              <w:pStyle w:val="Normal"/>
              <w:widowControl/>
              <w:spacing w:before="0" w:after="0"/>
              <w:jc w:val="left"/>
              <w:rPr>
                <w:sz w:val="20"/>
                <w:szCs w:val="20"/>
              </w:rPr>
            </w:pPr>
            <w:r>
              <w:rPr>
                <w:rFonts w:eastAsia="Calibri" w:cs="Arial"/>
                <w:kern w:val="0"/>
                <w:sz w:val="20"/>
                <w:szCs w:val="20"/>
                <w:lang w:eastAsia="en-US" w:bidi="ar-SA"/>
              </w:rPr>
              <w:t>20 weeks</w:t>
            </w:r>
          </w:p>
        </w:tc>
        <w:tc>
          <w:tcPr>
            <w:tcW w:w="1777"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jc w:val="left"/>
              <w:rPr>
                <w:sz w:val="20"/>
                <w:szCs w:val="20"/>
              </w:rPr>
            </w:pPr>
            <w:r>
              <w:rPr>
                <w:rFonts w:eastAsia="Calibri" w:cs="Arial"/>
                <w:kern w:val="0"/>
                <w:sz w:val="20"/>
                <w:szCs w:val="20"/>
                <w:lang w:eastAsia="en-US" w:bidi="ar-SA"/>
              </w:rPr>
              <w:t>25</w:t>
            </w:r>
          </w:p>
        </w:tc>
      </w:tr>
      <w:tr>
        <w:trPr>
          <w:trHeight w:val="300" w:hRule="atLeast"/>
        </w:trPr>
        <w:tc>
          <w:tcPr>
            <w:tcW w:w="1592"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jc w:val="left"/>
              <w:rPr>
                <w:sz w:val="20"/>
                <w:szCs w:val="20"/>
              </w:rPr>
            </w:pPr>
            <w:r>
              <w:rPr>
                <w:sz w:val="20"/>
                <w:szCs w:val="20"/>
              </w:rPr>
            </w:r>
          </w:p>
        </w:tc>
        <w:tc>
          <w:tcPr>
            <w:tcW w:w="1794"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jc w:val="left"/>
              <w:rPr>
                <w:sz w:val="20"/>
                <w:szCs w:val="20"/>
              </w:rPr>
            </w:pPr>
            <w:r>
              <w:rPr>
                <w:sz w:val="20"/>
                <w:szCs w:val="20"/>
              </w:rPr>
            </w:r>
          </w:p>
        </w:tc>
        <w:tc>
          <w:tcPr>
            <w:tcW w:w="1940"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jc w:val="left"/>
              <w:rPr>
                <w:sz w:val="20"/>
                <w:szCs w:val="20"/>
              </w:rPr>
            </w:pPr>
            <w:r>
              <w:rPr>
                <w:sz w:val="20"/>
                <w:szCs w:val="20"/>
              </w:rPr>
            </w:r>
          </w:p>
        </w:tc>
        <w:tc>
          <w:tcPr>
            <w:tcW w:w="2404"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jc w:val="left"/>
              <w:rPr>
                <w:sz w:val="20"/>
                <w:szCs w:val="20"/>
              </w:rPr>
            </w:pPr>
            <w:r>
              <w:rPr>
                <w:sz w:val="20"/>
                <w:szCs w:val="20"/>
              </w:rPr>
            </w:r>
          </w:p>
        </w:tc>
        <w:tc>
          <w:tcPr>
            <w:tcW w:w="1777"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jc w:val="left"/>
              <w:rPr>
                <w:sz w:val="20"/>
                <w:szCs w:val="20"/>
              </w:rPr>
            </w:pPr>
            <w:r>
              <w:rPr>
                <w:sz w:val="20"/>
                <w:szCs w:val="20"/>
              </w:rPr>
            </w:r>
          </w:p>
        </w:tc>
      </w:tr>
    </w:tbl>
    <w:p>
      <w:pPr>
        <w:pStyle w:val="Normal"/>
        <w:jc w:val="both"/>
        <w:rPr>
          <w:rFonts w:cs="Arial"/>
          <w:b/>
          <w:bCs/>
        </w:rPr>
      </w:pPr>
      <w:r>
        <w:rPr>
          <w:rFonts w:cs="Arial"/>
          <w:b/>
          <w:bCs/>
        </w:rPr>
      </w:r>
    </w:p>
    <w:p>
      <w:pPr>
        <w:pStyle w:val="Normal"/>
        <w:jc w:val="both"/>
        <w:rPr>
          <w:rFonts w:cs="Arial"/>
          <w:b/>
          <w:bCs/>
        </w:rPr>
      </w:pPr>
      <w:r>
        <w:rPr>
          <w:rFonts w:cs="Arial"/>
          <w:b/>
          <w:bCs/>
        </w:rPr>
      </w:r>
    </w:p>
    <w:p>
      <w:pPr>
        <w:pStyle w:val="Normal"/>
        <w:jc w:val="both"/>
        <w:rPr>
          <w:b/>
          <w:bCs/>
          <w:sz w:val="24"/>
          <w:szCs w:val="24"/>
          <w:u w:val="single"/>
        </w:rPr>
      </w:pPr>
      <w:r>
        <w:rPr>
          <w:b/>
          <w:bCs/>
          <w:sz w:val="24"/>
          <w:szCs w:val="24"/>
          <w:u w:val="single"/>
        </w:rPr>
        <w:t>2. Proposed Research:</w:t>
      </w:r>
    </w:p>
    <w:p>
      <w:pPr>
        <w:pStyle w:val="ListParagraph"/>
        <w:rPr/>
      </w:pPr>
      <w:r>
        <w:rPr/>
      </w:r>
    </w:p>
    <w:p>
      <w:pPr>
        <w:pStyle w:val="Normal"/>
        <w:jc w:val="both"/>
        <w:rPr>
          <w:rFonts w:cs="Arial"/>
          <w:b/>
          <w:bCs/>
        </w:rPr>
      </w:pPr>
      <w:r>
        <w:rPr>
          <w:rFonts w:cs="Arial"/>
          <w:b/>
        </w:rPr>
        <w:t xml:space="preserve">2.1 </w:t>
      </w:r>
      <w:r>
        <w:rPr>
          <w:rFonts w:cs="Arial"/>
          <w:b/>
          <w:bCs/>
        </w:rPr>
        <w:t>Background (1 to 2 pages)</w:t>
      </w:r>
    </w:p>
    <w:p>
      <w:pPr>
        <w:pStyle w:val="ListParagraph"/>
        <w:ind w:left="0"/>
        <w:rPr>
          <w:sz w:val="20"/>
          <w:szCs w:val="20"/>
        </w:rPr>
      </w:pPr>
      <w:r>
        <w:rPr>
          <w:sz w:val="20"/>
          <w:szCs w:val="20"/>
        </w:rPr>
        <w:t xml:space="preserve">(a) Provide a review of the existing literature with references to relevant prior works. Explain the state of knowledge and the contribution of your project to this literature and to the general research field. </w:t>
      </w:r>
      <w:r>
        <w:rPr/>
        <w:br/>
      </w:r>
      <w:r>
        <w:rPr>
          <w:sz w:val="20"/>
          <w:szCs w:val="20"/>
        </w:rPr>
        <w:t>(b) Clearly state the research problem, knowledge gaps and questions that your objectives are attempting to investigate, solve, and/or answer.</w:t>
      </w:r>
    </w:p>
    <w:p>
      <w:pPr>
        <w:pStyle w:val="Normal"/>
        <w:jc w:val="both"/>
        <w:rPr>
          <w:rFonts w:cs="Arial"/>
          <w:b/>
        </w:rPr>
      </w:pPr>
      <w:r>
        <w:rPr>
          <w:rFonts w:cs="Arial"/>
          <w:b/>
        </w:rPr>
      </w:r>
    </w:p>
    <w:p>
      <w:pPr>
        <w:pStyle w:val="Normal"/>
        <w:jc w:val="both"/>
        <w:rPr>
          <w:rFonts w:cs="Arial"/>
          <w:b/>
          <w:bCs/>
        </w:rPr>
      </w:pPr>
      <w:r>
        <w:rPr>
          <w:rFonts w:cs="Arial"/>
          <w:b/>
          <w:bCs/>
        </w:rPr>
        <w:t>(a) State of the Art and Relevant Literature</w:t>
      </w:r>
    </w:p>
    <w:p>
      <w:pPr>
        <w:pStyle w:val="Normal"/>
        <w:jc w:val="both"/>
        <w:rPr>
          <w:rFonts w:cs="Arial"/>
          <w:bCs/>
        </w:rPr>
      </w:pPr>
      <w:r>
        <w:rPr>
          <w:rFonts w:cs="Arial"/>
          <w:bCs/>
        </w:rPr>
        <w:t>Deep learning has become a dominant paradigm in medical imaging analysis, with significant impact in oncology. Convolutional neural networks (CNNs) have been extensively used for tumor detection, segmentation, and classification across diverse modalities such as CT, MRI, and histopathology images. Large public datasets, including The Cancer Genome Atlas (TCGA), BraTS, and LIDC-IDRI, have played a critical role in advancing data-driven cancer imaging research by enabling reproducible benchmarking and model comparison [1–3].</w:t>
      </w:r>
    </w:p>
    <w:p>
      <w:pPr>
        <w:pStyle w:val="Normal"/>
        <w:jc w:val="both"/>
        <w:rPr>
          <w:rFonts w:cs="Arial"/>
          <w:bCs/>
        </w:rPr>
      </w:pPr>
      <w:r>
        <w:rPr>
          <w:rFonts w:cs="Arial"/>
          <w:bCs/>
        </w:rPr>
        <w:t>More recently, Vision Transformers (ViTs) have emerged as a powerful alternative to CNNs by modeling long-range spatial dependencies through self-attention mechanisms. Originally proposed by Dosovitskiy et al. [4], ViTs have been successfully adapted for medical imaging tasks, demonstrating strong performance in tumor segmentation and classification due to their ability to capture global context [5,6]. Hierarchical transformer architectures such as Swin Transformer further improve scalability and have been applied to medical image analysis, including cancer imaging [7].</w:t>
      </w:r>
    </w:p>
    <w:p>
      <w:pPr>
        <w:pStyle w:val="Normal"/>
        <w:jc w:val="both"/>
        <w:rPr>
          <w:rFonts w:cs="Arial"/>
          <w:bCs/>
        </w:rPr>
      </w:pPr>
      <w:r>
        <w:rPr>
          <w:rFonts w:cs="Arial"/>
          <w:bCs/>
        </w:rPr>
        <w:t>Despite these advances, most cancer-related AI models operate on static images, focusing on single time-point analysis. Cancer, however, is a progressive disease whose behavior depends on time, biological processes, and treatment interventions. Some studies have explored longitudinal modeling using recurrent neural networks or temporal CNNs; however, these approaches typically output numerical predictions such as survival probabilities or growth rates, which are often difficult for clinicians and patients to interpret visually [8].</w:t>
      </w:r>
    </w:p>
    <w:p>
      <w:pPr>
        <w:pStyle w:val="Normal"/>
        <w:jc w:val="both"/>
        <w:rPr>
          <w:rFonts w:cs="Arial"/>
          <w:bCs/>
        </w:rPr>
      </w:pPr>
      <w:r>
        <w:rPr>
          <w:rFonts w:cs="Arial"/>
          <w:bCs/>
        </w:rPr>
        <w:t>Parallel to progress in vision modeling, Large Language Models (LLMs) have demonstrated strong capabilities in natural language understanding, reasoning, and multimodal integration. In the medical domain, LLMs have been applied to clinical text summarization, radiology report generation, and question answering, showing promise in supporting clinical reasoning [9–11]. Recent works highlight the ability of LLMs to combine medical knowledge with structured inputs; however, their integration with medical imaging features remains limited and is often restricted to generating textual reports rather than actionable multimodal reasoning [12].</w:t>
      </w:r>
    </w:p>
    <w:p>
      <w:pPr>
        <w:pStyle w:val="Normal"/>
        <w:jc w:val="both"/>
        <w:rPr>
          <w:rFonts w:cs="Arial"/>
          <w:bCs/>
        </w:rPr>
      </w:pPr>
      <w:r>
        <w:rPr>
          <w:rFonts w:cs="Arial"/>
          <w:bCs/>
        </w:rPr>
        <w:t>Another rapidly evolving area is generative modeling, particularly diffusion-based models for image and video synthesis. Diffusion models have achieved state-of-the-art results in generating high-quality images and videos in natural domains [13,14]. In medical imaging, generative models have primarily been explored for data augmentation, reconstruction, and privacy-preserving synthetic data generation [15,16]. While these applications are valuable, they generally do not address disease progression or clinical interpretability.</w:t>
      </w:r>
    </w:p>
    <w:p>
      <w:pPr>
        <w:pStyle w:val="Normal"/>
        <w:jc w:val="both"/>
        <w:rPr>
          <w:rFonts w:cs="Arial"/>
          <w:bCs/>
        </w:rPr>
      </w:pPr>
      <w:r>
        <w:rPr>
          <w:rFonts w:cs="Arial"/>
          <w:bCs/>
        </w:rPr>
        <w:t>At present, there is limited research combining vision-based representations, language-based clinical reasoning, and generative video modeling to explicitly visualize disease evolution over time. In oncology, no established method exists that can generate interpretable, temporally coherent visualizations of tumor progression conditioned on different treatment strategies, leaving a significant gap between advanced AI modeling and real clinical needs.</w:t>
      </w:r>
    </w:p>
    <w:p>
      <w:pPr>
        <w:pStyle w:val="Normal"/>
        <w:jc w:val="both"/>
        <w:rPr>
          <w:rFonts w:cs="Arial"/>
          <w:b/>
        </w:rPr>
      </w:pPr>
      <w:r>
        <w:rPr>
          <w:rFonts w:cs="Arial"/>
          <w:b/>
        </w:rPr>
      </w:r>
    </w:p>
    <w:p>
      <w:pPr>
        <w:pStyle w:val="Normal"/>
        <w:jc w:val="both"/>
        <w:rPr>
          <w:rFonts w:cs="Arial"/>
          <w:b/>
          <w:bCs/>
        </w:rPr>
      </w:pPr>
      <w:r>
        <w:rPr>
          <w:rFonts w:cs="Arial"/>
          <w:b/>
          <w:bCs/>
        </w:rPr>
        <w:t>(b) Research Problem, Knowledge Gaps, and Research Questions</w:t>
      </w:r>
    </w:p>
    <w:p>
      <w:pPr>
        <w:pStyle w:val="Normal"/>
        <w:jc w:val="both"/>
        <w:rPr>
          <w:rFonts w:cs="Arial"/>
          <w:bCs/>
        </w:rPr>
      </w:pPr>
      <w:r>
        <w:rPr>
          <w:rFonts w:cs="Arial"/>
          <w:bCs/>
        </w:rPr>
        <w:t>The primary research problem addressed by this project is the lack of interpretable and dynamic AI models for longitudinal cancer progression analysis. While current deep learning systems can achieve high predictive accuracy, they suffer from three critical limitations.</w:t>
      </w:r>
    </w:p>
    <w:p>
      <w:pPr>
        <w:pStyle w:val="Normal"/>
        <w:jc w:val="both"/>
        <w:rPr>
          <w:rFonts w:cs="Arial"/>
          <w:bCs/>
        </w:rPr>
      </w:pPr>
      <w:r>
        <w:rPr>
          <w:rFonts w:cs="Arial"/>
          <w:bCs/>
        </w:rPr>
        <w:t>First, most existing approaches rely on static image analysis, which does not adequately reflect the temporal nature of cancer development or response to treatment. Second, predictions are typically expressed as abstract numerical outputs (e.g., probabilities or risk scores), offering limited interpretability and minimal support for clinical decision-making or patient communication. Third, existing models do not support counterfactual reasoning, an essential component of personalized medicine that allows clinicians to explore alternative treatment outcomes.</w:t>
      </w:r>
    </w:p>
    <w:p>
      <w:pPr>
        <w:pStyle w:val="Normal"/>
        <w:jc w:val="both"/>
        <w:rPr>
          <w:rFonts w:cs="Arial"/>
          <w:bCs/>
        </w:rPr>
      </w:pPr>
      <w:r>
        <w:rPr>
          <w:rFonts w:cs="Arial"/>
          <w:bCs/>
        </w:rPr>
        <w:t>These gaps motivate the following research questions:</w:t>
      </w:r>
    </w:p>
    <w:p>
      <w:pPr>
        <w:pStyle w:val="Normal"/>
        <w:numPr>
          <w:ilvl w:val="0"/>
          <w:numId w:val="1"/>
        </w:numPr>
        <w:jc w:val="both"/>
        <w:rPr>
          <w:rFonts w:cs="Arial"/>
          <w:bCs/>
        </w:rPr>
      </w:pPr>
      <w:r>
        <w:rPr>
          <w:rFonts w:cs="Arial"/>
          <w:bCs/>
        </w:rPr>
        <w:t>Can Vision Transformer-based models capture meaningful representations of tumor morphology</w:t>
      </w:r>
    </w:p>
    <w:p>
      <w:pPr>
        <w:pStyle w:val="Normal"/>
        <w:numPr>
          <w:ilvl w:val="0"/>
          <w:numId w:val="0"/>
        </w:numPr>
        <w:ind w:hanging="0" w:left="720"/>
        <w:jc w:val="both"/>
        <w:rPr>
          <w:rFonts w:cs="Arial"/>
          <w:bCs/>
        </w:rPr>
      </w:pPr>
      <w:r>
        <w:rPr>
          <w:rFonts w:cs="Arial"/>
          <w:bCs/>
        </w:rPr>
        <w:t>and its evolution from longitudinal medical imaging?</w:t>
      </w:r>
    </w:p>
    <w:p>
      <w:pPr>
        <w:pStyle w:val="Normal"/>
        <w:jc w:val="both"/>
        <w:rPr>
          <w:rFonts w:cs="Arial"/>
          <w:bCs/>
        </w:rPr>
      </w:pPr>
      <w:r>
        <w:rPr>
          <w:rFonts w:cs="Arial"/>
          <w:bCs/>
        </w:rPr>
        <w:tab/>
        <w:tab/>
      </w:r>
    </w:p>
    <w:p>
      <w:pPr>
        <w:pStyle w:val="Normal"/>
        <w:numPr>
          <w:ilvl w:val="0"/>
          <w:numId w:val="1"/>
        </w:numPr>
        <w:jc w:val="both"/>
        <w:rPr>
          <w:rFonts w:cs="Arial"/>
          <w:bCs/>
        </w:rPr>
      </w:pPr>
      <w:r>
        <w:rPr>
          <w:rFonts w:cs="Arial"/>
          <w:bCs/>
        </w:rPr>
        <w:t>Can Large Language Models integrate imaging-derived features with clinical metadata to provide coherent, medically grounded reasoning about disease progression?</w:t>
      </w:r>
    </w:p>
    <w:p>
      <w:pPr>
        <w:pStyle w:val="Normal"/>
        <w:numPr>
          <w:ilvl w:val="0"/>
          <w:numId w:val="1"/>
        </w:numPr>
        <w:jc w:val="both"/>
        <w:rPr>
          <w:rFonts w:cs="Arial"/>
          <w:bCs/>
        </w:rPr>
      </w:pPr>
      <w:r>
        <w:rPr>
          <w:rFonts w:cs="Arial"/>
          <w:bCs/>
        </w:rPr>
        <w:t>Is it possible to generate temporally consistent and clinically plausible videos that visualize cancer progression over time?</w:t>
      </w:r>
    </w:p>
    <w:p>
      <w:pPr>
        <w:pStyle w:val="Normal"/>
        <w:numPr>
          <w:ilvl w:val="0"/>
          <w:numId w:val="1"/>
        </w:numPr>
        <w:jc w:val="both"/>
        <w:rPr>
          <w:rFonts w:cs="Arial"/>
          <w:bCs/>
        </w:rPr>
      </w:pPr>
      <w:r>
        <w:rPr>
          <w:rFonts w:cs="Arial"/>
          <w:bCs/>
        </w:rPr>
        <w:t>Can such a system support counterfactual analysis by simulating alternative tumor trajectories under different treatment scenarios?</w:t>
      </w:r>
    </w:p>
    <w:p>
      <w:pPr>
        <w:pStyle w:val="Normal"/>
        <w:numPr>
          <w:ilvl w:val="0"/>
          <w:numId w:val="0"/>
        </w:numPr>
        <w:ind w:hanging="0" w:left="720"/>
        <w:jc w:val="both"/>
        <w:rPr>
          <w:rFonts w:cs="Arial"/>
          <w:bCs/>
        </w:rPr>
      </w:pPr>
      <w:r>
        <w:rPr/>
      </w:r>
    </w:p>
    <w:p>
      <w:pPr>
        <w:pStyle w:val="Normal"/>
        <w:jc w:val="both"/>
        <w:rPr>
          <w:rFonts w:cs="Arial"/>
          <w:bCs/>
        </w:rPr>
      </w:pPr>
      <w:r>
        <w:rPr>
          <w:rFonts w:cs="Arial"/>
          <w:bCs/>
        </w:rPr>
        <w:t>By addressing these questions, the proposed project aims to advance the state of the art in multimodal, explainable AI for oncology, moving beyond static prediction toward interpretable and clinically meaningful disease modeling.</w:t>
      </w:r>
    </w:p>
    <w:p>
      <w:pPr>
        <w:pStyle w:val="Normal"/>
        <w:jc w:val="both"/>
        <w:rPr>
          <w:rFonts w:cs="Arial"/>
          <w:b/>
        </w:rPr>
      </w:pPr>
      <w:r>
        <w:rPr>
          <w:rFonts w:cs="Arial"/>
          <w:b/>
        </w:rPr>
      </w:r>
    </w:p>
    <w:p>
      <w:pPr>
        <w:pStyle w:val="Normal"/>
        <w:jc w:val="both"/>
        <w:rPr>
          <w:rFonts w:cs="Arial"/>
          <w:b/>
        </w:rPr>
      </w:pPr>
      <w:r>
        <w:rPr>
          <w:rFonts w:cs="Arial"/>
          <w:b/>
        </w:rPr>
      </w:r>
    </w:p>
    <w:p>
      <w:pPr>
        <w:pStyle w:val="Normal"/>
        <w:jc w:val="both"/>
        <w:rPr>
          <w:rFonts w:cs="Arial"/>
          <w:b/>
          <w:bCs/>
        </w:rPr>
      </w:pPr>
      <w:r>
        <w:rPr>
          <w:rFonts w:cs="Arial"/>
          <w:b/>
          <w:bCs/>
        </w:rPr>
        <w:t>2.2 Objectives of the Mitacs Globalink research project (1 to 3 pages max. depending on the number of interns)</w:t>
      </w:r>
    </w:p>
    <w:p>
      <w:pPr>
        <w:pStyle w:val="ListParagraph"/>
        <w:ind w:left="0"/>
        <w:rPr>
          <w:sz w:val="20"/>
          <w:szCs w:val="20"/>
        </w:rPr>
      </w:pPr>
      <w:r>
        <w:rPr>
          <w:sz w:val="20"/>
          <w:szCs w:val="20"/>
        </w:rPr>
        <w:t>Describe the objectives and sub-objectives of the Globalink research project and specify whether they are part of a bigger initiative (e.g., intern’s thesis/dissertation or team project). Provide enough details for the reviewers to clearly understand what the intern(s) will be doing during their internship(s) and how they will achieve each objective. For Globalink research projects with multiple interns, explain which objectives or sub-objectives will be tackled by each intern. Distribution of the tasks among the interns must be explicit.</w:t>
      </w:r>
    </w:p>
    <w:p>
      <w:pPr>
        <w:pStyle w:val="Normal"/>
        <w:rPr>
          <w:sz w:val="20"/>
          <w:szCs w:val="20"/>
        </w:rPr>
      </w:pPr>
      <w:r>
        <w:rPr>
          <w:sz w:val="20"/>
          <w:szCs w:val="20"/>
        </w:rPr>
      </w:r>
    </w:p>
    <w:p>
      <w:pPr>
        <w:pStyle w:val="Normal"/>
        <w:rPr>
          <w:b/>
          <w:bCs/>
          <w:sz w:val="20"/>
          <w:szCs w:val="20"/>
        </w:rPr>
      </w:pPr>
      <w:r>
        <w:rPr>
          <w:b/>
          <w:bCs/>
          <w:sz w:val="20"/>
          <w:szCs w:val="20"/>
        </w:rPr>
        <w:t>Overall Objective</w:t>
      </w:r>
    </w:p>
    <w:p>
      <w:pPr>
        <w:pStyle w:val="Normal"/>
        <w:rPr>
          <w:sz w:val="20"/>
          <w:szCs w:val="20"/>
        </w:rPr>
      </w:pPr>
      <w:r>
        <w:rPr>
          <w:sz w:val="20"/>
          <w:szCs w:val="20"/>
        </w:rPr>
        <w:t>The primary objective is to design, implement, and evaluate a multimodal artificial intelligence framework that integrates Large Vision Models (LVMs), Vision Transformers (ViTs), and Large Language Models (LLMs) to analyze, explain, and simulate cancer progression from longitudinal medical imaging data.</w:t>
      </w:r>
    </w:p>
    <w:p>
      <w:pPr>
        <w:pStyle w:val="Normal"/>
        <w:rPr>
          <w:sz w:val="20"/>
          <w:szCs w:val="20"/>
        </w:rPr>
      </w:pPr>
      <w:r>
        <w:rPr>
          <w:sz w:val="20"/>
          <w:szCs w:val="20"/>
        </w:rPr>
        <w:t>The project aims to move beyond conventional static cancer image analysis by enabling temporal modeling, multimodal reasoning, and explainable clinical insights, with a particular emphasis on interpretability and generative modeling of disease trajectories.</w:t>
      </w:r>
    </w:p>
    <w:p>
      <w:pPr>
        <w:pStyle w:val="Normal"/>
        <w:rPr>
          <w:sz w:val="20"/>
          <w:szCs w:val="20"/>
        </w:rPr>
      </w:pPr>
      <w:r>
        <w:rPr>
          <w:sz w:val="20"/>
          <w:szCs w:val="20"/>
        </w:rPr>
        <w:t>This project is part of a broader research initiative led by Dr. Belkacem Chikhaoui at TELUQ university on multimodal AI for medical decision support and explainable clinical intelligence, targeting applications in oncology and precision medicine. The outcomes of this internship are expected to contribute to a peer-reviewed publication, as well as to serve as a foundation for future MSc/PhD theses and collaborative projects in medical AI.</w:t>
      </w:r>
    </w:p>
    <w:p>
      <w:pPr>
        <w:pStyle w:val="Normal"/>
        <w:rPr>
          <w:sz w:val="20"/>
          <w:szCs w:val="20"/>
        </w:rPr>
      </w:pPr>
      <w:r>
        <w:rPr>
          <w:sz w:val="20"/>
          <w:szCs w:val="20"/>
        </w:rPr>
      </w:r>
    </w:p>
    <w:p>
      <w:pPr>
        <w:pStyle w:val="Normal"/>
        <w:rPr>
          <w:b/>
          <w:bCs/>
          <w:sz w:val="20"/>
          <w:szCs w:val="20"/>
        </w:rPr>
      </w:pPr>
      <w:r>
        <w:rPr>
          <w:b/>
          <w:bCs/>
          <w:sz w:val="20"/>
          <w:szCs w:val="20"/>
        </w:rPr>
        <w:t>Specific Objectives and Sub-Objectives</w:t>
      </w:r>
    </w:p>
    <w:p>
      <w:pPr>
        <w:pStyle w:val="Normal"/>
        <w:rPr>
          <w:sz w:val="20"/>
          <w:szCs w:val="20"/>
        </w:rPr>
      </w:pPr>
      <w:r>
        <w:rPr>
          <w:sz w:val="20"/>
          <w:szCs w:val="20"/>
        </w:rPr>
        <w:t>The project is structured around five tightly connected objectives, each associated with concrete technical tasks and learning outcomes for the intern.</w:t>
      </w:r>
    </w:p>
    <w:p>
      <w:pPr>
        <w:pStyle w:val="Normal"/>
        <w:rPr>
          <w:sz w:val="20"/>
          <w:szCs w:val="20"/>
        </w:rPr>
      </w:pPr>
      <w:r>
        <w:rPr>
          <w:sz w:val="20"/>
          <w:szCs w:val="20"/>
        </w:rPr>
      </w:r>
    </w:p>
    <w:p>
      <w:pPr>
        <w:pStyle w:val="Normal"/>
        <w:rPr>
          <w:b/>
          <w:bCs/>
          <w:sz w:val="20"/>
          <w:szCs w:val="20"/>
        </w:rPr>
      </w:pPr>
      <w:r>
        <w:rPr>
          <w:b/>
          <w:bCs/>
          <w:sz w:val="20"/>
          <w:szCs w:val="20"/>
        </w:rPr>
        <w:t>Objective 1 – Develop a Robust Pipeline for Longitudinal Cancer Imaging Analysis</w:t>
      </w:r>
    </w:p>
    <w:p>
      <w:pPr>
        <w:pStyle w:val="Normal"/>
        <w:rPr>
          <w:sz w:val="20"/>
          <w:szCs w:val="20"/>
        </w:rPr>
      </w:pPr>
      <w:r>
        <w:rPr>
          <w:b/>
          <w:bCs/>
          <w:sz w:val="20"/>
          <w:szCs w:val="20"/>
        </w:rPr>
        <w:t>Goal:</w:t>
      </w:r>
      <w:r>
        <w:rPr>
          <w:sz w:val="20"/>
          <w:szCs w:val="20"/>
        </w:rPr>
        <w:br/>
        <w:t>To build a reproducible and clinically meaningful data pipeline for processing and organizing longitudinal cancer imaging data (MRI or CT).</w:t>
      </w:r>
    </w:p>
    <w:p>
      <w:pPr>
        <w:pStyle w:val="Normal"/>
        <w:rPr>
          <w:sz w:val="20"/>
          <w:szCs w:val="20"/>
        </w:rPr>
      </w:pPr>
      <w:r>
        <w:rPr>
          <w:b/>
          <w:bCs/>
          <w:sz w:val="20"/>
          <w:szCs w:val="20"/>
        </w:rPr>
        <w:t>Sub-objectives:</w:t>
      </w:r>
    </w:p>
    <w:p>
      <w:pPr>
        <w:pStyle w:val="Normal"/>
        <w:numPr>
          <w:ilvl w:val="0"/>
          <w:numId w:val="15"/>
        </w:numPr>
        <w:rPr>
          <w:sz w:val="20"/>
          <w:szCs w:val="20"/>
        </w:rPr>
      </w:pPr>
      <w:r>
        <w:rPr>
          <w:sz w:val="20"/>
          <w:szCs w:val="20"/>
        </w:rPr>
        <w:t>Acquire and curate publicly available oncology datasets (e.g., TCGA, BraTS, LIDC-IDRI).</w:t>
      </w:r>
    </w:p>
    <w:p>
      <w:pPr>
        <w:pStyle w:val="Normal"/>
        <w:numPr>
          <w:ilvl w:val="0"/>
          <w:numId w:val="15"/>
        </w:numPr>
        <w:rPr>
          <w:sz w:val="20"/>
          <w:szCs w:val="20"/>
        </w:rPr>
      </w:pPr>
      <w:r>
        <w:rPr>
          <w:sz w:val="20"/>
          <w:szCs w:val="20"/>
        </w:rPr>
        <w:t>Perform standardized preprocessing, including normalization, spatial alignment, and temporal consistency checks across patient visits.</w:t>
      </w:r>
    </w:p>
    <w:p>
      <w:pPr>
        <w:pStyle w:val="Normal"/>
        <w:numPr>
          <w:ilvl w:val="0"/>
          <w:numId w:val="15"/>
        </w:numPr>
        <w:rPr>
          <w:sz w:val="20"/>
          <w:szCs w:val="20"/>
        </w:rPr>
      </w:pPr>
      <w:r>
        <w:rPr>
          <w:sz w:val="20"/>
          <w:szCs w:val="20"/>
        </w:rPr>
        <w:t>Structure patient data into longitudinal image sequences suitable for temporal and generative modeling.</w:t>
      </w:r>
    </w:p>
    <w:p>
      <w:pPr>
        <w:pStyle w:val="Normal"/>
        <w:rPr>
          <w:sz w:val="20"/>
          <w:szCs w:val="20"/>
        </w:rPr>
      </w:pPr>
      <w:r>
        <w:rPr>
          <w:sz w:val="20"/>
          <w:szCs w:val="20"/>
        </w:rPr>
        <w:t>The intern will implement preprocessing pipelines using Python-based medical imaging libraries (e.g., MONAI, SimpleITK), validate consistency across time points, and systematically document data quality and limitations.</w:t>
      </w:r>
    </w:p>
    <w:p>
      <w:pPr>
        <w:pStyle w:val="Normal"/>
        <w:rPr>
          <w:sz w:val="20"/>
          <w:szCs w:val="20"/>
        </w:rPr>
      </w:pPr>
      <w:r>
        <w:rPr>
          <w:sz w:val="20"/>
          <w:szCs w:val="20"/>
        </w:rPr>
      </w:r>
    </w:p>
    <w:p>
      <w:pPr>
        <w:pStyle w:val="Normal"/>
        <w:rPr>
          <w:b/>
          <w:bCs/>
          <w:sz w:val="20"/>
          <w:szCs w:val="20"/>
        </w:rPr>
      </w:pPr>
      <w:r>
        <w:rPr>
          <w:b/>
          <w:bCs/>
          <w:sz w:val="20"/>
          <w:szCs w:val="20"/>
        </w:rPr>
        <w:t>Objective 2 – Learn High-Level Tumor Representations Using Vision Transformers</w:t>
      </w:r>
    </w:p>
    <w:p>
      <w:pPr>
        <w:pStyle w:val="Normal"/>
        <w:rPr>
          <w:sz w:val="20"/>
          <w:szCs w:val="20"/>
        </w:rPr>
      </w:pPr>
      <w:r>
        <w:rPr>
          <w:b/>
          <w:bCs/>
          <w:sz w:val="20"/>
          <w:szCs w:val="20"/>
        </w:rPr>
        <w:t>Goal:</w:t>
      </w:r>
      <w:r>
        <w:rPr>
          <w:sz w:val="20"/>
          <w:szCs w:val="20"/>
        </w:rPr>
        <w:br/>
        <w:t>To extract semantically rich and temporally informative representations of tumors using state-of-the-art Vision Transformer architectures.</w:t>
      </w:r>
    </w:p>
    <w:p>
      <w:pPr>
        <w:pStyle w:val="Normal"/>
        <w:rPr>
          <w:sz w:val="20"/>
          <w:szCs w:val="20"/>
        </w:rPr>
      </w:pPr>
      <w:r>
        <w:rPr>
          <w:b/>
          <w:bCs/>
          <w:sz w:val="20"/>
          <w:szCs w:val="20"/>
        </w:rPr>
        <w:t>Sub-objectives:</w:t>
      </w:r>
    </w:p>
    <w:p>
      <w:pPr>
        <w:pStyle w:val="Normal"/>
        <w:numPr>
          <w:ilvl w:val="0"/>
          <w:numId w:val="16"/>
        </w:numPr>
        <w:rPr>
          <w:sz w:val="20"/>
          <w:szCs w:val="20"/>
        </w:rPr>
      </w:pPr>
      <w:r>
        <w:rPr>
          <w:sz w:val="20"/>
          <w:szCs w:val="20"/>
        </w:rPr>
        <w:t>Implement and fine-tune Vision Transformer models (e.g., ViT, Swin Transformer) on cancer imaging data.</w:t>
      </w:r>
    </w:p>
    <w:p>
      <w:pPr>
        <w:pStyle w:val="Normal"/>
        <w:numPr>
          <w:ilvl w:val="0"/>
          <w:numId w:val="16"/>
        </w:numPr>
        <w:rPr>
          <w:sz w:val="20"/>
          <w:szCs w:val="20"/>
        </w:rPr>
      </w:pPr>
      <w:r>
        <w:rPr>
          <w:sz w:val="20"/>
          <w:szCs w:val="20"/>
        </w:rPr>
        <w:t>Compare Transformer-based representations with CNN baselines.</w:t>
      </w:r>
    </w:p>
    <w:p>
      <w:pPr>
        <w:pStyle w:val="Normal"/>
        <w:numPr>
          <w:ilvl w:val="0"/>
          <w:numId w:val="16"/>
        </w:numPr>
        <w:rPr>
          <w:sz w:val="20"/>
          <w:szCs w:val="20"/>
        </w:rPr>
      </w:pPr>
      <w:r>
        <w:rPr>
          <w:sz w:val="20"/>
          <w:szCs w:val="20"/>
        </w:rPr>
        <w:t>Learn embeddings that capture tumor morphology, spatial heterogeneity, and temporal evolution.</w:t>
      </w:r>
    </w:p>
    <w:p>
      <w:pPr>
        <w:pStyle w:val="Normal"/>
        <w:rPr>
          <w:sz w:val="20"/>
          <w:szCs w:val="20"/>
        </w:rPr>
      </w:pPr>
      <w:r>
        <w:rPr>
          <w:sz w:val="20"/>
          <w:szCs w:val="20"/>
        </w:rPr>
        <w:t>The intern will train transformer-based models using longitudinal imaging snapshots, analyze embedding evolution across time, and evaluate representation quality using downstream prediction and clustering tasks.</w:t>
      </w:r>
    </w:p>
    <w:p>
      <w:pPr>
        <w:pStyle w:val="Normal"/>
        <w:rPr>
          <w:sz w:val="20"/>
          <w:szCs w:val="20"/>
        </w:rPr>
      </w:pPr>
      <w:r>
        <w:rPr>
          <w:sz w:val="20"/>
          <w:szCs w:val="20"/>
        </w:rPr>
      </w:r>
    </w:p>
    <w:p>
      <w:pPr>
        <w:pStyle w:val="Normal"/>
        <w:rPr>
          <w:b/>
          <w:bCs/>
          <w:sz w:val="20"/>
          <w:szCs w:val="20"/>
        </w:rPr>
      </w:pPr>
      <w:r>
        <w:rPr>
          <w:b/>
          <w:bCs/>
          <w:sz w:val="20"/>
          <w:szCs w:val="20"/>
        </w:rPr>
        <w:t>Objective 3 – Integrate Imaging and Clinical Context Using Large Language Models</w:t>
      </w:r>
    </w:p>
    <w:p>
      <w:pPr>
        <w:pStyle w:val="Normal"/>
        <w:rPr>
          <w:sz w:val="20"/>
          <w:szCs w:val="20"/>
        </w:rPr>
      </w:pPr>
      <w:r>
        <w:rPr>
          <w:b/>
          <w:bCs/>
          <w:sz w:val="20"/>
          <w:szCs w:val="20"/>
        </w:rPr>
        <w:t>Goal:</w:t>
      </w:r>
      <w:r>
        <w:rPr>
          <w:sz w:val="20"/>
          <w:szCs w:val="20"/>
        </w:rPr>
        <w:br/>
        <w:t>To enable multimodal clinical reasoning by combining visual tumor representations with structured clinical metadata using LLMs.</w:t>
      </w:r>
    </w:p>
    <w:p>
      <w:pPr>
        <w:pStyle w:val="Normal"/>
        <w:rPr>
          <w:sz w:val="20"/>
          <w:szCs w:val="20"/>
        </w:rPr>
      </w:pPr>
      <w:r>
        <w:rPr>
          <w:b/>
          <w:bCs/>
          <w:sz w:val="20"/>
          <w:szCs w:val="20"/>
        </w:rPr>
        <w:t>Sub-objectives:</w:t>
      </w:r>
    </w:p>
    <w:p>
      <w:pPr>
        <w:pStyle w:val="Normal"/>
        <w:numPr>
          <w:ilvl w:val="0"/>
          <w:numId w:val="17"/>
        </w:numPr>
        <w:rPr>
          <w:sz w:val="20"/>
          <w:szCs w:val="20"/>
        </w:rPr>
      </w:pPr>
      <w:r>
        <w:rPr>
          <w:sz w:val="20"/>
          <w:szCs w:val="20"/>
        </w:rPr>
        <w:t>Design multimodal representations that fuse imaging embeddings with clinical variables (e.g., cancer stage, treatment type).</w:t>
      </w:r>
    </w:p>
    <w:p>
      <w:pPr>
        <w:pStyle w:val="Normal"/>
        <w:numPr>
          <w:ilvl w:val="0"/>
          <w:numId w:val="17"/>
        </w:numPr>
        <w:rPr>
          <w:sz w:val="20"/>
          <w:szCs w:val="20"/>
        </w:rPr>
      </w:pPr>
      <w:r>
        <w:rPr>
          <w:sz w:val="20"/>
          <w:szCs w:val="20"/>
        </w:rPr>
        <w:t>Develop prompt-based strategies to guide LLMs in generating clinically coherent explanations of disease progression.</w:t>
      </w:r>
    </w:p>
    <w:p>
      <w:pPr>
        <w:pStyle w:val="Normal"/>
        <w:numPr>
          <w:ilvl w:val="0"/>
          <w:numId w:val="17"/>
        </w:numPr>
        <w:rPr>
          <w:sz w:val="20"/>
          <w:szCs w:val="20"/>
        </w:rPr>
      </w:pPr>
      <w:r>
        <w:rPr>
          <w:sz w:val="20"/>
          <w:szCs w:val="20"/>
        </w:rPr>
        <w:t>Align visual evidence with textual medical reasoning for interpretability.</w:t>
      </w:r>
    </w:p>
    <w:p>
      <w:pPr>
        <w:pStyle w:val="Normal"/>
        <w:rPr>
          <w:sz w:val="20"/>
          <w:szCs w:val="20"/>
        </w:rPr>
      </w:pPr>
      <w:r>
        <w:rPr>
          <w:sz w:val="20"/>
          <w:szCs w:val="20"/>
        </w:rPr>
        <w:t>The intern will experiment with LLM prompting and embedding alignment techniques, generating explanatory text linked explicitly to temporal imaging changes.</w:t>
      </w:r>
    </w:p>
    <w:p>
      <w:pPr>
        <w:pStyle w:val="Normal"/>
        <w:rPr>
          <w:sz w:val="20"/>
          <w:szCs w:val="20"/>
        </w:rPr>
      </w:pPr>
      <w:r>
        <w:rPr>
          <w:sz w:val="20"/>
          <w:szCs w:val="20"/>
        </w:rPr>
      </w:r>
    </w:p>
    <w:p>
      <w:pPr>
        <w:pStyle w:val="Normal"/>
        <w:rPr>
          <w:b/>
          <w:bCs/>
          <w:sz w:val="20"/>
          <w:szCs w:val="20"/>
        </w:rPr>
      </w:pPr>
      <w:r>
        <w:rPr>
          <w:b/>
          <w:bCs/>
          <w:sz w:val="20"/>
          <w:szCs w:val="20"/>
        </w:rPr>
        <w:t>Objective 4 – Generate and Analyze Cancer Progression Videos</w:t>
      </w:r>
    </w:p>
    <w:p>
      <w:pPr>
        <w:pStyle w:val="Normal"/>
        <w:rPr>
          <w:sz w:val="20"/>
          <w:szCs w:val="20"/>
        </w:rPr>
      </w:pPr>
      <w:r>
        <w:rPr>
          <w:b/>
          <w:bCs/>
          <w:sz w:val="20"/>
          <w:szCs w:val="20"/>
        </w:rPr>
        <w:t>Goal:</w:t>
      </w:r>
      <w:r>
        <w:rPr>
          <w:sz w:val="20"/>
          <w:szCs w:val="20"/>
        </w:rPr>
        <w:br/>
        <w:t>To model and visualize cancer progression through AI-generated video sequences conditioned on multimodal inputs.</w:t>
      </w:r>
    </w:p>
    <w:p>
      <w:pPr>
        <w:pStyle w:val="Normal"/>
        <w:rPr>
          <w:sz w:val="20"/>
          <w:szCs w:val="20"/>
        </w:rPr>
      </w:pPr>
      <w:r>
        <w:rPr>
          <w:b/>
          <w:bCs/>
          <w:sz w:val="20"/>
          <w:szCs w:val="20"/>
        </w:rPr>
        <w:t>Sub-objectives:</w:t>
      </w:r>
    </w:p>
    <w:p>
      <w:pPr>
        <w:pStyle w:val="Normal"/>
        <w:numPr>
          <w:ilvl w:val="0"/>
          <w:numId w:val="18"/>
        </w:numPr>
        <w:rPr>
          <w:sz w:val="20"/>
          <w:szCs w:val="20"/>
        </w:rPr>
      </w:pPr>
      <w:r>
        <w:rPr>
          <w:sz w:val="20"/>
          <w:szCs w:val="20"/>
        </w:rPr>
        <w:t>Adapt diffusion-based or transformer-based video generation models to medical imaging data.</w:t>
      </w:r>
    </w:p>
    <w:p>
      <w:pPr>
        <w:pStyle w:val="Normal"/>
        <w:numPr>
          <w:ilvl w:val="0"/>
          <w:numId w:val="18"/>
        </w:numPr>
        <w:rPr>
          <w:sz w:val="20"/>
          <w:szCs w:val="20"/>
        </w:rPr>
      </w:pPr>
      <w:r>
        <w:rPr>
          <w:sz w:val="20"/>
          <w:szCs w:val="20"/>
        </w:rPr>
        <w:t>Generate temporally consistent disease progression videos.</w:t>
      </w:r>
    </w:p>
    <w:p>
      <w:pPr>
        <w:pStyle w:val="Normal"/>
        <w:numPr>
          <w:ilvl w:val="0"/>
          <w:numId w:val="18"/>
        </w:numPr>
        <w:rPr>
          <w:sz w:val="20"/>
          <w:szCs w:val="20"/>
        </w:rPr>
      </w:pPr>
      <w:r>
        <w:rPr>
          <w:sz w:val="20"/>
          <w:szCs w:val="20"/>
        </w:rPr>
        <w:t>Explore counterfactual scenarios (e.g., treatment vs. no treatment trajectories).</w:t>
      </w:r>
    </w:p>
    <w:p>
      <w:pPr>
        <w:pStyle w:val="Normal"/>
        <w:rPr>
          <w:sz w:val="20"/>
          <w:szCs w:val="20"/>
        </w:rPr>
      </w:pPr>
      <w:r>
        <w:rPr>
          <w:sz w:val="20"/>
          <w:szCs w:val="20"/>
        </w:rPr>
        <w:br/>
        <w:t>The intern will condition generative models on vision and language embeddings, evaluate temporal coherence, and analyze the clinical plausibility of generated trajectories.</w:t>
      </w:r>
    </w:p>
    <w:p>
      <w:pPr>
        <w:pStyle w:val="Normal"/>
        <w:rPr>
          <w:sz w:val="20"/>
          <w:szCs w:val="20"/>
        </w:rPr>
      </w:pPr>
      <w:r>
        <w:rPr>
          <w:sz w:val="20"/>
          <w:szCs w:val="20"/>
        </w:rPr>
      </w:r>
    </w:p>
    <w:p>
      <w:pPr>
        <w:pStyle w:val="Normal"/>
        <w:rPr>
          <w:b/>
          <w:bCs/>
          <w:sz w:val="20"/>
          <w:szCs w:val="20"/>
        </w:rPr>
      </w:pPr>
      <w:r>
        <w:rPr>
          <w:b/>
          <w:bCs/>
          <w:sz w:val="20"/>
          <w:szCs w:val="20"/>
        </w:rPr>
        <w:t>Objective 5 – Evaluate Explainability, Clinical Plausibility, and Scientific Impact</w:t>
      </w:r>
    </w:p>
    <w:p>
      <w:pPr>
        <w:pStyle w:val="Normal"/>
        <w:rPr>
          <w:sz w:val="20"/>
          <w:szCs w:val="20"/>
        </w:rPr>
      </w:pPr>
      <w:r>
        <w:rPr>
          <w:b/>
          <w:bCs/>
          <w:sz w:val="20"/>
          <w:szCs w:val="20"/>
        </w:rPr>
        <w:t>Goal:</w:t>
      </w:r>
      <w:r>
        <w:rPr>
          <w:sz w:val="20"/>
          <w:szCs w:val="20"/>
        </w:rPr>
        <w:br/>
        <w:t>To rigorously assess the performance, interpretability, and medical relevance of the proposed multimodal framework.</w:t>
      </w:r>
    </w:p>
    <w:p>
      <w:pPr>
        <w:pStyle w:val="Normal"/>
        <w:rPr>
          <w:sz w:val="20"/>
          <w:szCs w:val="20"/>
        </w:rPr>
      </w:pPr>
      <w:r>
        <w:rPr>
          <w:b/>
          <w:bCs/>
          <w:sz w:val="20"/>
          <w:szCs w:val="20"/>
        </w:rPr>
        <w:t>Sub-objectives:</w:t>
      </w:r>
    </w:p>
    <w:p>
      <w:pPr>
        <w:pStyle w:val="Normal"/>
        <w:numPr>
          <w:ilvl w:val="0"/>
          <w:numId w:val="19"/>
        </w:numPr>
        <w:rPr>
          <w:sz w:val="20"/>
          <w:szCs w:val="20"/>
        </w:rPr>
      </w:pPr>
      <w:r>
        <w:rPr>
          <w:sz w:val="20"/>
          <w:szCs w:val="20"/>
        </w:rPr>
        <w:t>Quantitatively evaluate model performance and temporal consistency.</w:t>
      </w:r>
    </w:p>
    <w:p>
      <w:pPr>
        <w:pStyle w:val="Normal"/>
        <w:numPr>
          <w:ilvl w:val="0"/>
          <w:numId w:val="19"/>
        </w:numPr>
        <w:rPr>
          <w:sz w:val="20"/>
          <w:szCs w:val="20"/>
        </w:rPr>
      </w:pPr>
      <w:r>
        <w:rPr>
          <w:sz w:val="20"/>
          <w:szCs w:val="20"/>
        </w:rPr>
        <w:t>Qualitatively assess explainability through clinician-aligned interpretations.</w:t>
      </w:r>
    </w:p>
    <w:p>
      <w:pPr>
        <w:pStyle w:val="Normal"/>
        <w:numPr>
          <w:ilvl w:val="0"/>
          <w:numId w:val="19"/>
        </w:numPr>
        <w:rPr>
          <w:sz w:val="20"/>
          <w:szCs w:val="20"/>
        </w:rPr>
      </w:pPr>
      <w:r>
        <w:rPr>
          <w:sz w:val="20"/>
          <w:szCs w:val="20"/>
        </w:rPr>
        <w:t>Prepare a comprehensive technical report and a publication-ready manuscript draft.</w:t>
      </w:r>
    </w:p>
    <w:p>
      <w:pPr>
        <w:pStyle w:val="Normal"/>
        <w:rPr>
          <w:sz w:val="20"/>
          <w:szCs w:val="20"/>
        </w:rPr>
      </w:pPr>
      <w:r>
        <w:rPr>
          <w:sz w:val="20"/>
          <w:szCs w:val="20"/>
        </w:rPr>
        <w:t>The intern will apply quantitative metrics, conduct qualitative analysis of explanations and videos, and synthesize results into structured scientific documentation.</w:t>
      </w:r>
    </w:p>
    <w:p>
      <w:pPr>
        <w:pStyle w:val="NormalWeb"/>
        <w:spacing w:before="280" w:after="280"/>
        <w:rPr>
          <w:rFonts w:ascii="Calibri" w:hAnsi="Calibri" w:eastAsia="Calibri" w:cs="Arial"/>
          <w:sz w:val="20"/>
          <w:szCs w:val="20"/>
          <w:lang w:eastAsia="en-US"/>
        </w:rPr>
      </w:pPr>
      <w:r>
        <w:rPr>
          <w:rFonts w:eastAsia="ＭＳ 明朝" w:cs="Arial" w:ascii="Calibri" w:hAnsi="Calibri"/>
          <w:b/>
          <w:bCs/>
          <w:sz w:val="22"/>
          <w:szCs w:val="22"/>
          <w:lang w:eastAsia="en-US"/>
        </w:rPr>
        <w:t>2.3. Indigenous community involvement or impact (if applicable):</w:t>
      </w:r>
      <w:r>
        <w:rPr>
          <w:color w:themeColor="dark1" w:val="000000"/>
          <w:sz w:val="27"/>
          <w:szCs w:val="27"/>
        </w:rPr>
        <w:t xml:space="preserve"> </w:t>
      </w:r>
      <w:r>
        <w:rPr/>
        <w:br/>
      </w:r>
      <w:r>
        <w:rPr>
          <w:rFonts w:eastAsia="ＭＳ 明朝" w:cs="Arial" w:ascii="Calibri" w:hAnsi="Calibri"/>
          <w:sz w:val="20"/>
          <w:szCs w:val="20"/>
          <w:lang w:eastAsia="en-US"/>
        </w:rPr>
        <w:t xml:space="preserve">Globalink research projects that involve or impact Indigenous communities must comply with </w:t>
      </w:r>
      <w:hyperlink r:id="rId2">
        <w:r>
          <w:rPr>
            <w:rStyle w:val="Hyperlink"/>
            <w:rFonts w:eastAsia="ＭＳ 明朝" w:cs="Arial" w:ascii="Calibri" w:hAnsi="Calibri"/>
            <w:sz w:val="20"/>
            <w:szCs w:val="20"/>
            <w:lang w:eastAsia="en-US"/>
          </w:rPr>
          <w:t>the Mitacs Indigenous Research Policy</w:t>
        </w:r>
      </w:hyperlink>
      <w:r>
        <w:rPr>
          <w:rFonts w:eastAsia="ＭＳ 明朝" w:cs="Arial" w:ascii="Calibri" w:hAnsi="Calibri"/>
          <w:sz w:val="20"/>
          <w:szCs w:val="20"/>
          <w:lang w:eastAsia="en-US"/>
        </w:rPr>
        <w:t xml:space="preserve">. </w:t>
      </w:r>
      <w:r>
        <w:rPr/>
        <w:br/>
      </w:r>
      <w:r>
        <w:rPr>
          <w:rFonts w:eastAsia="ＭＳ 明朝" w:cs="Arial" w:ascii="Calibri" w:hAnsi="Calibri"/>
          <w:sz w:val="20"/>
          <w:szCs w:val="20"/>
          <w:lang w:eastAsia="en-US"/>
        </w:rPr>
        <w:t>Provide information on i) Indigenous community support for the project, and their role in shaping its objectives &amp; approach, ii) plans for Indigenous community access, use, and governance of resulting knowledge / data, and iii) the team’s background in Indigenous research, including any planned training / mentorship the intern(s) will receive to address deficits in experience.</w:t>
      </w:r>
    </w:p>
    <w:p>
      <w:pPr>
        <w:pStyle w:val="NormalWeb"/>
        <w:spacing w:before="280" w:after="280"/>
        <w:rPr>
          <w:color w:val="000000"/>
          <w:sz w:val="27"/>
          <w:szCs w:val="27"/>
        </w:rPr>
      </w:pPr>
      <w:r>
        <w:rPr>
          <w:rFonts w:eastAsia="Calibri" w:cs="Arial" w:ascii="Calibri" w:hAnsi="Calibri"/>
          <w:sz w:val="20"/>
          <w:szCs w:val="20"/>
          <w:lang w:eastAsia="en-US"/>
        </w:rPr>
        <w:t>You may also submit 1-2 letter(s) of support from Indigenous Elders who are members of the partner community / communities and possess the authority to speak on community interests</w:t>
      </w:r>
      <w:r>
        <w:rPr>
          <w:color w:val="000000"/>
          <w:sz w:val="27"/>
          <w:szCs w:val="27"/>
        </w:rPr>
        <w:t>.</w:t>
      </w:r>
    </w:p>
    <w:p>
      <w:pPr>
        <w:pStyle w:val="Normal"/>
        <w:tabs>
          <w:tab w:val="clear" w:pos="720"/>
          <w:tab w:val="left" w:pos="426" w:leader="none"/>
        </w:tabs>
        <w:jc w:val="both"/>
        <w:rPr>
          <w:rFonts w:cs="Arial"/>
        </w:rPr>
      </w:pPr>
      <w:r>
        <w:rPr>
          <w:rFonts w:cs="Arial"/>
        </w:rPr>
      </w:r>
    </w:p>
    <w:p>
      <w:pPr>
        <w:pStyle w:val="ListParagraph"/>
        <w:ind w:left="0"/>
        <w:jc w:val="both"/>
        <w:rPr>
          <w:rFonts w:cs="Arial"/>
        </w:rPr>
      </w:pPr>
      <w:r>
        <w:rPr>
          <w:rFonts w:cs="Arial"/>
          <w:b/>
          <w:bCs/>
        </w:rPr>
        <w:t>2.4 Timeline showing which task will be done when to achieve each objective</w:t>
      </w:r>
    </w:p>
    <w:p>
      <w:pPr>
        <w:pStyle w:val="ListParagraph"/>
        <w:ind w:hanging="720" w:left="720"/>
        <w:jc w:val="both"/>
        <w:rPr>
          <w:rFonts w:cs="Arial"/>
          <w:sz w:val="20"/>
          <w:szCs w:val="20"/>
        </w:rPr>
      </w:pPr>
      <w:r>
        <w:rPr>
          <w:rFonts w:cs="Arial"/>
          <w:sz w:val="20"/>
          <w:szCs w:val="20"/>
        </w:rPr>
        <w:t xml:space="preserve">Provide details about </w:t>
      </w:r>
      <w:r>
        <w:rPr>
          <w:rFonts w:cs="Arial"/>
          <w:sz w:val="20"/>
          <w:szCs w:val="20"/>
          <w:u w:val="single"/>
        </w:rPr>
        <w:t>when and where</w:t>
      </w:r>
      <w:r>
        <w:rPr>
          <w:rFonts w:cs="Arial"/>
          <w:sz w:val="20"/>
          <w:szCs w:val="20"/>
        </w:rPr>
        <w:t xml:space="preserve"> the tasks and activities will be conducted, and </w:t>
      </w:r>
      <w:r>
        <w:rPr>
          <w:rFonts w:cs="Arial"/>
          <w:sz w:val="20"/>
          <w:szCs w:val="20"/>
          <w:u w:val="single"/>
        </w:rPr>
        <w:t>by which intern</w:t>
      </w:r>
      <w:r>
        <w:rPr>
          <w:rFonts w:cs="Arial"/>
          <w:sz w:val="20"/>
          <w:szCs w:val="20"/>
        </w:rPr>
        <w:t>.</w:t>
      </w:r>
    </w:p>
    <w:p>
      <w:pPr>
        <w:pStyle w:val="ListParagraph"/>
        <w:ind w:hanging="720" w:left="720"/>
        <w:jc w:val="both"/>
        <w:rPr>
          <w:rFonts w:cs="Arial"/>
          <w:sz w:val="20"/>
          <w:szCs w:val="20"/>
        </w:rPr>
      </w:pPr>
      <w:r>
        <w:rPr>
          <w:rFonts w:cs="Arial"/>
          <w:sz w:val="20"/>
          <w:szCs w:val="20"/>
        </w:rPr>
        <w:t>We suggest using a Gantt chart.</w:t>
      </w:r>
    </w:p>
    <w:p>
      <w:pPr>
        <w:pStyle w:val="Normal"/>
        <w:jc w:val="both"/>
        <w:rPr>
          <w:rFonts w:cs="Arial"/>
          <w:sz w:val="20"/>
          <w:szCs w:val="20"/>
        </w:rPr>
      </w:pPr>
      <w:r>
        <w:rPr>
          <w:rFonts w:cs="Arial"/>
          <w:sz w:val="20"/>
          <w:szCs w:val="20"/>
        </w:rPr>
      </w:r>
    </w:p>
    <w:p>
      <w:pPr>
        <w:pStyle w:val="Normal"/>
        <w:jc w:val="both"/>
        <w:rPr>
          <w:rFonts w:cs="Arial"/>
          <w:sz w:val="20"/>
          <w:szCs w:val="20"/>
        </w:rPr>
      </w:pPr>
      <w:r>
        <w:rPr>
          <w:rFonts w:cs="Arial"/>
          <w:sz w:val="20"/>
          <w:szCs w:val="20"/>
        </w:rPr>
        <w:t xml:space="preserve">The project is structured into </w:t>
      </w:r>
      <w:r>
        <w:rPr>
          <w:rFonts w:cs="Arial"/>
          <w:b/>
          <w:bCs/>
          <w:sz w:val="20"/>
          <w:szCs w:val="20"/>
        </w:rPr>
        <w:t>six methodological phases</w:t>
      </w:r>
      <w:r>
        <w:rPr>
          <w:rFonts w:cs="Arial"/>
          <w:sz w:val="20"/>
          <w:szCs w:val="20"/>
        </w:rPr>
        <w:t xml:space="preserve">, distributed over </w:t>
      </w:r>
      <w:r>
        <w:rPr>
          <w:rFonts w:cs="Arial"/>
          <w:b/>
          <w:bCs/>
          <w:sz w:val="20"/>
          <w:szCs w:val="20"/>
        </w:rPr>
        <w:t>20 weeks</w:t>
      </w:r>
      <w:r>
        <w:rPr>
          <w:rFonts w:cs="Arial"/>
          <w:sz w:val="20"/>
          <w:szCs w:val="20"/>
        </w:rPr>
        <w:t>, allowing a gradual progression from medical imaging preprocessing to explainable cancer progression video generation and final validation.</w:t>
      </w:r>
    </w:p>
    <w:p>
      <w:pPr>
        <w:pStyle w:val="Normal"/>
        <w:jc w:val="both"/>
        <w:rPr>
          <w:rFonts w:cs="Arial"/>
          <w:sz w:val="20"/>
          <w:szCs w:val="20"/>
        </w:rPr>
      </w:pPr>
      <w:r>
        <w:rPr>
          <w:rFonts w:cs="Arial"/>
          <w:sz w:val="20"/>
          <w:szCs w:val="20"/>
        </w:rPr>
      </w:r>
    </w:p>
    <w:p>
      <w:pPr>
        <w:pStyle w:val="Normal"/>
        <w:jc w:val="both"/>
        <w:rPr>
          <w:rFonts w:cs="Arial"/>
          <w:sz w:val="20"/>
          <w:szCs w:val="20"/>
        </w:rPr>
      </w:pPr>
      <w:r>
        <w:rPr>
          <w:rFonts w:cs="Arial"/>
          <w:b/>
          <w:bCs/>
          <w:sz w:val="20"/>
          <w:szCs w:val="20"/>
        </w:rPr>
        <w:t>Phase 1 – Oncology Medical Imaging Preparation and Exploration</w:t>
      </w:r>
    </w:p>
    <w:p>
      <w:pPr>
        <w:pStyle w:val="Normal"/>
        <w:numPr>
          <w:ilvl w:val="0"/>
          <w:numId w:val="3"/>
        </w:numPr>
        <w:jc w:val="both"/>
        <w:rPr>
          <w:rFonts w:cs="Arial"/>
          <w:sz w:val="20"/>
          <w:szCs w:val="20"/>
        </w:rPr>
      </w:pPr>
      <w:r>
        <w:rPr>
          <w:rFonts w:cs="Arial"/>
          <w:b/>
          <w:bCs/>
          <w:sz w:val="20"/>
          <w:szCs w:val="20"/>
        </w:rPr>
        <w:t>Duration:</w:t>
      </w:r>
      <w:r>
        <w:rPr>
          <w:rFonts w:cs="Arial"/>
          <w:sz w:val="20"/>
          <w:szCs w:val="20"/>
        </w:rPr>
        <w:t xml:space="preserve"> 4 weeks (Weeks 1–4)</w:t>
      </w:r>
    </w:p>
    <w:p>
      <w:pPr>
        <w:pStyle w:val="Normal"/>
        <w:numPr>
          <w:ilvl w:val="0"/>
          <w:numId w:val="3"/>
        </w:numPr>
        <w:jc w:val="both"/>
        <w:rPr>
          <w:rFonts w:cs="Arial"/>
          <w:b/>
          <w:bCs/>
          <w:sz w:val="20"/>
          <w:szCs w:val="20"/>
        </w:rPr>
      </w:pPr>
      <w:r>
        <w:rPr>
          <w:rFonts w:cs="Arial"/>
          <w:b/>
          <w:bCs/>
          <w:sz w:val="20"/>
          <w:szCs w:val="20"/>
        </w:rPr>
        <w:t>Activities:</w:t>
      </w:r>
    </w:p>
    <w:p>
      <w:pPr>
        <w:pStyle w:val="Normal"/>
        <w:numPr>
          <w:ilvl w:val="0"/>
          <w:numId w:val="3"/>
        </w:numPr>
        <w:jc w:val="both"/>
        <w:rPr>
          <w:rFonts w:cs="Arial"/>
          <w:sz w:val="20"/>
          <w:szCs w:val="20"/>
        </w:rPr>
      </w:pPr>
      <w:r>
        <w:rPr>
          <w:rFonts w:cs="Arial"/>
          <w:sz w:val="20"/>
          <w:szCs w:val="20"/>
        </w:rPr>
        <w:t>Selection and acquisition of public cancer imaging datasets (TCGA, BraTS, and/or LIDC-IDRI).</w:t>
      </w:r>
    </w:p>
    <w:p>
      <w:pPr>
        <w:pStyle w:val="Normal"/>
        <w:numPr>
          <w:ilvl w:val="0"/>
          <w:numId w:val="3"/>
        </w:numPr>
        <w:jc w:val="both"/>
        <w:rPr>
          <w:rFonts w:cs="Arial"/>
          <w:sz w:val="20"/>
          <w:szCs w:val="20"/>
        </w:rPr>
      </w:pPr>
      <w:r>
        <w:rPr>
          <w:rFonts w:cs="Arial"/>
          <w:sz w:val="20"/>
          <w:szCs w:val="20"/>
        </w:rPr>
        <w:t>Preprocessing of medical images (MRI/CT):</w:t>
      </w:r>
    </w:p>
    <w:p>
      <w:pPr>
        <w:pStyle w:val="Normal"/>
        <w:numPr>
          <w:ilvl w:val="1"/>
          <w:numId w:val="3"/>
        </w:numPr>
        <w:jc w:val="both"/>
        <w:rPr>
          <w:rFonts w:cs="Arial"/>
          <w:sz w:val="20"/>
          <w:szCs w:val="20"/>
        </w:rPr>
      </w:pPr>
      <w:r>
        <w:rPr>
          <w:rFonts w:cs="Arial"/>
          <w:sz w:val="20"/>
          <w:szCs w:val="20"/>
        </w:rPr>
        <w:t>Intensity normalization.</w:t>
      </w:r>
    </w:p>
    <w:p>
      <w:pPr>
        <w:pStyle w:val="Normal"/>
        <w:numPr>
          <w:ilvl w:val="1"/>
          <w:numId w:val="3"/>
        </w:numPr>
        <w:jc w:val="both"/>
        <w:rPr>
          <w:rFonts w:cs="Arial"/>
          <w:sz w:val="20"/>
          <w:szCs w:val="20"/>
        </w:rPr>
      </w:pPr>
      <w:r>
        <w:rPr>
          <w:rFonts w:cs="Arial"/>
          <w:sz w:val="20"/>
          <w:szCs w:val="20"/>
        </w:rPr>
        <w:t>Spatial resampling.</w:t>
      </w:r>
    </w:p>
    <w:p>
      <w:pPr>
        <w:pStyle w:val="Normal"/>
        <w:numPr>
          <w:ilvl w:val="1"/>
          <w:numId w:val="3"/>
        </w:numPr>
        <w:jc w:val="both"/>
        <w:rPr>
          <w:rFonts w:cs="Arial"/>
          <w:sz w:val="20"/>
          <w:szCs w:val="20"/>
        </w:rPr>
      </w:pPr>
      <w:r>
        <w:rPr>
          <w:rFonts w:cs="Arial"/>
          <w:sz w:val="20"/>
          <w:szCs w:val="20"/>
        </w:rPr>
        <w:t>Lostribution of tumor sizes and locations.</w:t>
      </w:r>
    </w:p>
    <w:p>
      <w:pPr>
        <w:pStyle w:val="Normal"/>
        <w:numPr>
          <w:ilvl w:val="1"/>
          <w:numId w:val="3"/>
        </w:numPr>
        <w:jc w:val="both"/>
        <w:rPr>
          <w:rFonts w:cs="Arial"/>
          <w:sz w:val="20"/>
          <w:szCs w:val="20"/>
        </w:rPr>
      </w:pPr>
      <w:r>
        <w:rPr>
          <w:rFonts w:cs="Arial"/>
          <w:sz w:val="20"/>
          <w:szCs w:val="20"/>
        </w:rPr>
        <w:t>Inter-patient and temporal variability analysis.</w:t>
      </w:r>
    </w:p>
    <w:p>
      <w:pPr>
        <w:pStyle w:val="Normal"/>
        <w:numPr>
          <w:ilvl w:val="0"/>
          <w:numId w:val="3"/>
        </w:numPr>
        <w:jc w:val="both"/>
        <w:rPr>
          <w:rFonts w:cs="Arial"/>
          <w:sz w:val="20"/>
          <w:szCs w:val="20"/>
        </w:rPr>
      </w:pPr>
      <w:r>
        <w:rPr>
          <w:rFonts w:cs="Arial"/>
          <w:sz w:val="20"/>
          <w:szCs w:val="20"/>
        </w:rPr>
        <w:t>Organization of longitudinal patient imaging sequences.</w:t>
      </w:r>
    </w:p>
    <w:p>
      <w:pPr>
        <w:pStyle w:val="Normal"/>
        <w:jc w:val="both"/>
        <w:rPr>
          <w:rFonts w:cs="Arial"/>
          <w:b/>
          <w:bCs/>
          <w:sz w:val="20"/>
          <w:szCs w:val="20"/>
        </w:rPr>
      </w:pPr>
      <w:r>
        <w:rPr>
          <w:rFonts w:cs="Arial"/>
          <w:b/>
          <w:bCs/>
          <w:sz w:val="20"/>
          <w:szCs w:val="20"/>
        </w:rPr>
        <w:t>Intermediate Deliverables:</w:t>
      </w:r>
    </w:p>
    <w:p>
      <w:pPr>
        <w:pStyle w:val="Normal"/>
        <w:numPr>
          <w:ilvl w:val="0"/>
          <w:numId w:val="4"/>
        </w:numPr>
        <w:jc w:val="both"/>
        <w:rPr>
          <w:rFonts w:cs="Arial"/>
          <w:sz w:val="20"/>
          <w:szCs w:val="20"/>
        </w:rPr>
      </w:pPr>
      <w:r>
        <w:rPr>
          <w:rFonts w:cs="Arial"/>
          <w:sz w:val="20"/>
          <w:szCs w:val="20"/>
        </w:rPr>
        <w:t>Reproducible imaging preprocessing pipeline.</w:t>
      </w:r>
    </w:p>
    <w:p>
      <w:pPr>
        <w:pStyle w:val="Normal"/>
        <w:numPr>
          <w:ilvl w:val="0"/>
          <w:numId w:val="4"/>
        </w:numPr>
        <w:jc w:val="both"/>
        <w:rPr>
          <w:rFonts w:cs="Arial"/>
          <w:sz w:val="20"/>
          <w:szCs w:val="20"/>
        </w:rPr>
      </w:pPr>
      <w:r>
        <w:rPr>
          <w:rFonts w:cs="Arial"/>
          <w:sz w:val="20"/>
          <w:szCs w:val="20"/>
        </w:rPr>
        <w:t>Cleaned, standardized, and temporally organized datasets.</w:t>
      </w:r>
    </w:p>
    <w:p>
      <w:pPr>
        <w:pStyle w:val="Normal"/>
        <w:numPr>
          <w:ilvl w:val="0"/>
          <w:numId w:val="4"/>
        </w:numPr>
        <w:jc w:val="both"/>
        <w:rPr>
          <w:rFonts w:cs="Arial"/>
          <w:sz w:val="20"/>
          <w:szCs w:val="20"/>
        </w:rPr>
      </w:pPr>
      <w:r>
        <w:rPr>
          <w:rFonts w:cs="Arial"/>
          <w:sz w:val="20"/>
          <w:szCs w:val="20"/>
        </w:rPr>
        <w:t>Exploratory data analysis report.</w:t>
      </w:r>
    </w:p>
    <w:p>
      <w:pPr>
        <w:pStyle w:val="Normal"/>
        <w:jc w:val="both"/>
        <w:rPr>
          <w:rFonts w:cs="Arial"/>
          <w:sz w:val="20"/>
          <w:szCs w:val="20"/>
        </w:rPr>
      </w:pPr>
      <w:r>
        <w:rPr>
          <w:rFonts w:cs="Arial"/>
          <w:sz w:val="20"/>
          <w:szCs w:val="20"/>
        </w:rPr>
      </w:r>
    </w:p>
    <w:p>
      <w:pPr>
        <w:pStyle w:val="Normal"/>
        <w:jc w:val="both"/>
        <w:rPr>
          <w:rFonts w:cs="Arial"/>
          <w:b/>
          <w:bCs/>
          <w:sz w:val="20"/>
          <w:szCs w:val="20"/>
        </w:rPr>
      </w:pPr>
      <w:r>
        <w:rPr>
          <w:rFonts w:cs="Arial"/>
          <w:b/>
          <w:bCs/>
          <w:sz w:val="20"/>
          <w:szCs w:val="20"/>
        </w:rPr>
        <w:t>Phase 2 – Baseline Vision Models for Tumor Representation</w:t>
      </w:r>
    </w:p>
    <w:p>
      <w:pPr>
        <w:pStyle w:val="Normal"/>
        <w:jc w:val="both"/>
        <w:rPr>
          <w:rFonts w:cs="Arial"/>
          <w:sz w:val="20"/>
          <w:szCs w:val="20"/>
        </w:rPr>
      </w:pPr>
      <w:r>
        <w:rPr>
          <w:rFonts w:cs="Arial"/>
          <w:b/>
          <w:bCs/>
          <w:sz w:val="20"/>
          <w:szCs w:val="20"/>
        </w:rPr>
        <w:t>Duration:</w:t>
      </w:r>
      <w:r>
        <w:rPr>
          <w:rFonts w:cs="Arial"/>
          <w:sz w:val="20"/>
          <w:szCs w:val="20"/>
        </w:rPr>
        <w:t xml:space="preserve"> 3 weeks (Weeks 5–7)</w:t>
      </w:r>
    </w:p>
    <w:p>
      <w:pPr>
        <w:pStyle w:val="Normal"/>
        <w:jc w:val="both"/>
        <w:rPr>
          <w:rFonts w:cs="Arial"/>
          <w:b/>
          <w:bCs/>
          <w:sz w:val="20"/>
          <w:szCs w:val="20"/>
        </w:rPr>
      </w:pPr>
      <w:r>
        <w:rPr>
          <w:rFonts w:cs="Arial"/>
          <w:b/>
          <w:bCs/>
          <w:sz w:val="20"/>
          <w:szCs w:val="20"/>
        </w:rPr>
        <w:t>Activities:</w:t>
      </w:r>
    </w:p>
    <w:p>
      <w:pPr>
        <w:pStyle w:val="Normal"/>
        <w:numPr>
          <w:ilvl w:val="0"/>
          <w:numId w:val="5"/>
        </w:numPr>
        <w:jc w:val="both"/>
        <w:rPr>
          <w:rFonts w:cs="Arial"/>
          <w:sz w:val="20"/>
          <w:szCs w:val="20"/>
        </w:rPr>
      </w:pPr>
      <w:r>
        <w:rPr>
          <w:rFonts w:cs="Arial"/>
          <w:sz w:val="20"/>
          <w:szCs w:val="20"/>
        </w:rPr>
        <w:t>Implementation of baseline deep learning models for tumor analysis:</w:t>
      </w:r>
    </w:p>
    <w:p>
      <w:pPr>
        <w:pStyle w:val="Normal"/>
        <w:numPr>
          <w:ilvl w:val="1"/>
          <w:numId w:val="5"/>
        </w:numPr>
        <w:jc w:val="both"/>
        <w:rPr>
          <w:rFonts w:cs="Arial"/>
          <w:sz w:val="20"/>
          <w:szCs w:val="20"/>
        </w:rPr>
      </w:pPr>
      <w:r>
        <w:rPr>
          <w:rFonts w:cs="Arial"/>
          <w:sz w:val="20"/>
          <w:szCs w:val="20"/>
        </w:rPr>
        <w:t>Convolutional Neural Networks (CNNs).</w:t>
      </w:r>
    </w:p>
    <w:p>
      <w:pPr>
        <w:pStyle w:val="Normal"/>
        <w:numPr>
          <w:ilvl w:val="0"/>
          <w:numId w:val="5"/>
        </w:numPr>
        <w:jc w:val="both"/>
        <w:rPr>
          <w:rFonts w:cs="Arial"/>
          <w:sz w:val="20"/>
          <w:szCs w:val="20"/>
        </w:rPr>
      </w:pPr>
      <w:r>
        <w:rPr>
          <w:rFonts w:cs="Arial"/>
          <w:sz w:val="20"/>
          <w:szCs w:val="20"/>
        </w:rPr>
        <w:t>Training and validation on single time-point tumor imaging tasks.</w:t>
      </w:r>
    </w:p>
    <w:p>
      <w:pPr>
        <w:pStyle w:val="Normal"/>
        <w:numPr>
          <w:ilvl w:val="0"/>
          <w:numId w:val="5"/>
        </w:numPr>
        <w:jc w:val="both"/>
        <w:rPr>
          <w:rFonts w:cs="Arial"/>
          <w:sz w:val="20"/>
          <w:szCs w:val="20"/>
        </w:rPr>
      </w:pPr>
      <w:r>
        <w:rPr>
          <w:rFonts w:cs="Arial"/>
          <w:sz w:val="20"/>
          <w:szCs w:val="20"/>
        </w:rPr>
        <w:t>Quantitative evaluation of baseline performance.</w:t>
      </w:r>
    </w:p>
    <w:p>
      <w:pPr>
        <w:pStyle w:val="Normal"/>
        <w:numPr>
          <w:ilvl w:val="0"/>
          <w:numId w:val="5"/>
        </w:numPr>
        <w:jc w:val="both"/>
        <w:rPr>
          <w:rFonts w:cs="Arial"/>
          <w:sz w:val="20"/>
          <w:szCs w:val="20"/>
        </w:rPr>
      </w:pPr>
      <w:r>
        <w:rPr>
          <w:rFonts w:cs="Arial"/>
          <w:sz w:val="20"/>
          <w:szCs w:val="20"/>
        </w:rPr>
        <w:t>Identification of limitations in static modeling.</w:t>
      </w:r>
    </w:p>
    <w:p>
      <w:pPr>
        <w:pStyle w:val="Normal"/>
        <w:jc w:val="both"/>
        <w:rPr>
          <w:rFonts w:cs="Arial"/>
          <w:b/>
          <w:bCs/>
          <w:sz w:val="20"/>
          <w:szCs w:val="20"/>
        </w:rPr>
      </w:pPr>
      <w:r>
        <w:rPr>
          <w:rFonts w:cs="Arial"/>
          <w:b/>
          <w:bCs/>
          <w:sz w:val="20"/>
          <w:szCs w:val="20"/>
        </w:rPr>
        <w:t>Intermediate Deliverables:</w:t>
      </w:r>
    </w:p>
    <w:p>
      <w:pPr>
        <w:pStyle w:val="Normal"/>
        <w:numPr>
          <w:ilvl w:val="0"/>
          <w:numId w:val="6"/>
        </w:numPr>
        <w:jc w:val="both"/>
        <w:rPr>
          <w:rFonts w:cs="Arial"/>
          <w:sz w:val="20"/>
          <w:szCs w:val="20"/>
        </w:rPr>
      </w:pPr>
      <w:r>
        <w:rPr>
          <w:rFonts w:cs="Arial"/>
          <w:sz w:val="20"/>
          <w:szCs w:val="20"/>
        </w:rPr>
        <w:t>Baseline model implementations and trained weights.</w:t>
      </w:r>
    </w:p>
    <w:p>
      <w:pPr>
        <w:pStyle w:val="Normal"/>
        <w:numPr>
          <w:ilvl w:val="0"/>
          <w:numId w:val="6"/>
        </w:numPr>
        <w:jc w:val="both"/>
        <w:rPr>
          <w:rFonts w:cs="Arial"/>
          <w:sz w:val="20"/>
          <w:szCs w:val="20"/>
        </w:rPr>
      </w:pPr>
      <w:r>
        <w:rPr>
          <w:rFonts w:cs="Arial"/>
          <w:sz w:val="20"/>
          <w:szCs w:val="20"/>
        </w:rPr>
        <w:t>Comparative performance results serving as reference benchmarks.</w:t>
      </w:r>
    </w:p>
    <w:p>
      <w:pPr>
        <w:pStyle w:val="Normal"/>
        <w:jc w:val="both"/>
        <w:rPr>
          <w:rFonts w:cs="Arial"/>
          <w:sz w:val="20"/>
          <w:szCs w:val="20"/>
        </w:rPr>
      </w:pPr>
      <w:r>
        <w:rPr>
          <w:rFonts w:cs="Arial"/>
          <w:sz w:val="20"/>
          <w:szCs w:val="20"/>
        </w:rPr>
      </w:r>
    </w:p>
    <w:p>
      <w:pPr>
        <w:pStyle w:val="Normal"/>
        <w:jc w:val="both"/>
        <w:rPr>
          <w:rFonts w:cs="Arial"/>
          <w:b/>
          <w:bCs/>
          <w:sz w:val="20"/>
          <w:szCs w:val="20"/>
        </w:rPr>
      </w:pPr>
      <w:r>
        <w:rPr>
          <w:rFonts w:cs="Arial"/>
          <w:b/>
          <w:bCs/>
          <w:sz w:val="20"/>
          <w:szCs w:val="20"/>
        </w:rPr>
        <w:t>Phase 3 – Vision Transformer-Based Longitudinal Representation Learning</w:t>
      </w:r>
    </w:p>
    <w:p>
      <w:pPr>
        <w:pStyle w:val="Normal"/>
        <w:jc w:val="both"/>
        <w:rPr>
          <w:rFonts w:cs="Arial"/>
          <w:sz w:val="20"/>
          <w:szCs w:val="20"/>
        </w:rPr>
      </w:pPr>
      <w:r>
        <w:rPr>
          <w:rFonts w:cs="Arial"/>
          <w:b/>
          <w:bCs/>
          <w:sz w:val="20"/>
          <w:szCs w:val="20"/>
        </w:rPr>
        <w:t>Duration:</w:t>
      </w:r>
      <w:r>
        <w:rPr>
          <w:rFonts w:cs="Arial"/>
          <w:sz w:val="20"/>
          <w:szCs w:val="20"/>
        </w:rPr>
        <w:t xml:space="preserve"> 4 weeks (Weeks 8–11)</w:t>
      </w:r>
    </w:p>
    <w:p>
      <w:pPr>
        <w:pStyle w:val="Normal"/>
        <w:jc w:val="both"/>
        <w:rPr>
          <w:rFonts w:cs="Arial"/>
          <w:b/>
          <w:bCs/>
          <w:sz w:val="20"/>
          <w:szCs w:val="20"/>
        </w:rPr>
      </w:pPr>
      <w:r>
        <w:rPr>
          <w:rFonts w:cs="Arial"/>
          <w:b/>
          <w:bCs/>
          <w:sz w:val="20"/>
          <w:szCs w:val="20"/>
        </w:rPr>
        <w:t>Activities:</w:t>
      </w:r>
    </w:p>
    <w:p>
      <w:pPr>
        <w:pStyle w:val="Normal"/>
        <w:numPr>
          <w:ilvl w:val="0"/>
          <w:numId w:val="7"/>
        </w:numPr>
        <w:jc w:val="both"/>
        <w:rPr>
          <w:rFonts w:cs="Arial"/>
          <w:sz w:val="20"/>
          <w:szCs w:val="20"/>
        </w:rPr>
      </w:pPr>
      <w:r>
        <w:rPr>
          <w:rFonts w:cs="Arial"/>
          <w:sz w:val="20"/>
          <w:szCs w:val="20"/>
        </w:rPr>
        <w:t>Implementation and fine-tuning of Vision Transformer architectures (ViT or Swin Transformer).</w:t>
      </w:r>
    </w:p>
    <w:p>
      <w:pPr>
        <w:pStyle w:val="Normal"/>
        <w:numPr>
          <w:ilvl w:val="0"/>
          <w:numId w:val="7"/>
        </w:numPr>
        <w:jc w:val="both"/>
        <w:rPr>
          <w:rFonts w:cs="Arial"/>
          <w:sz w:val="20"/>
          <w:szCs w:val="20"/>
        </w:rPr>
      </w:pPr>
      <w:r>
        <w:rPr>
          <w:rFonts w:cs="Arial"/>
          <w:sz w:val="20"/>
          <w:szCs w:val="20"/>
        </w:rPr>
        <w:t>Extraction of high-level tumor embeddings for each time point.</w:t>
      </w:r>
    </w:p>
    <w:p>
      <w:pPr>
        <w:pStyle w:val="Normal"/>
        <w:numPr>
          <w:ilvl w:val="0"/>
          <w:numId w:val="7"/>
        </w:numPr>
        <w:jc w:val="both"/>
        <w:rPr>
          <w:rFonts w:cs="Arial"/>
          <w:sz w:val="20"/>
          <w:szCs w:val="20"/>
        </w:rPr>
      </w:pPr>
      <w:r>
        <w:rPr>
          <w:rFonts w:cs="Arial"/>
          <w:sz w:val="20"/>
          <w:szCs w:val="20"/>
        </w:rPr>
        <w:t>Modeling temporal evolution through ordered embedding sequences.</w:t>
      </w:r>
    </w:p>
    <w:p>
      <w:pPr>
        <w:pStyle w:val="Normal"/>
        <w:numPr>
          <w:ilvl w:val="0"/>
          <w:numId w:val="7"/>
        </w:numPr>
        <w:jc w:val="both"/>
        <w:rPr>
          <w:rFonts w:cs="Arial"/>
          <w:sz w:val="20"/>
          <w:szCs w:val="20"/>
        </w:rPr>
      </w:pPr>
      <w:r>
        <w:rPr>
          <w:rFonts w:cs="Arial"/>
          <w:sz w:val="20"/>
          <w:szCs w:val="20"/>
        </w:rPr>
        <w:t>Analysis of learned representations capturing tumor morphology changes.</w:t>
      </w:r>
    </w:p>
    <w:p>
      <w:pPr>
        <w:pStyle w:val="Normal"/>
        <w:jc w:val="both"/>
        <w:rPr>
          <w:rFonts w:cs="Arial"/>
          <w:b/>
          <w:bCs/>
          <w:sz w:val="20"/>
          <w:szCs w:val="20"/>
        </w:rPr>
      </w:pPr>
      <w:r>
        <w:rPr>
          <w:rFonts w:cs="Arial"/>
          <w:b/>
          <w:bCs/>
          <w:sz w:val="20"/>
          <w:szCs w:val="20"/>
        </w:rPr>
        <w:t>Intermediate Deliverables:</w:t>
      </w:r>
    </w:p>
    <w:p>
      <w:pPr>
        <w:pStyle w:val="Normal"/>
        <w:numPr>
          <w:ilvl w:val="0"/>
          <w:numId w:val="8"/>
        </w:numPr>
        <w:jc w:val="both"/>
        <w:rPr>
          <w:rFonts w:cs="Arial"/>
          <w:sz w:val="20"/>
          <w:szCs w:val="20"/>
        </w:rPr>
      </w:pPr>
      <w:r>
        <w:rPr>
          <w:rFonts w:cs="Arial"/>
          <w:sz w:val="20"/>
          <w:szCs w:val="20"/>
        </w:rPr>
        <w:t>Transformer-based imaging embeddings.</w:t>
      </w:r>
    </w:p>
    <w:p>
      <w:pPr>
        <w:pStyle w:val="Normal"/>
        <w:numPr>
          <w:ilvl w:val="0"/>
          <w:numId w:val="8"/>
        </w:numPr>
        <w:jc w:val="both"/>
        <w:rPr>
          <w:rFonts w:cs="Arial"/>
          <w:sz w:val="20"/>
          <w:szCs w:val="20"/>
        </w:rPr>
      </w:pPr>
      <w:r>
        <w:rPr>
          <w:rFonts w:cs="Arial"/>
          <w:sz w:val="20"/>
          <w:szCs w:val="20"/>
        </w:rPr>
        <w:t>Longitudinal tumor representation framework.</w:t>
      </w:r>
    </w:p>
    <w:p>
      <w:pPr>
        <w:pStyle w:val="Normal"/>
        <w:numPr>
          <w:ilvl w:val="0"/>
          <w:numId w:val="8"/>
        </w:numPr>
        <w:jc w:val="both"/>
        <w:rPr>
          <w:rFonts w:cs="Arial"/>
          <w:sz w:val="20"/>
          <w:szCs w:val="20"/>
        </w:rPr>
      </w:pPr>
      <w:r>
        <w:rPr>
          <w:rFonts w:cs="Arial"/>
          <w:sz w:val="20"/>
          <w:szCs w:val="20"/>
        </w:rPr>
        <w:t>Visualization of learned tumor evolution features.</w:t>
      </w:r>
    </w:p>
    <w:p>
      <w:pPr>
        <w:pStyle w:val="Normal"/>
        <w:jc w:val="both"/>
        <w:rPr>
          <w:rFonts w:cs="Arial"/>
          <w:sz w:val="20"/>
          <w:szCs w:val="20"/>
        </w:rPr>
      </w:pPr>
      <w:r>
        <w:rPr>
          <w:rFonts w:cs="Arial"/>
          <w:sz w:val="20"/>
          <w:szCs w:val="20"/>
        </w:rPr>
      </w:r>
    </w:p>
    <w:p>
      <w:pPr>
        <w:pStyle w:val="Normal"/>
        <w:jc w:val="both"/>
        <w:rPr>
          <w:rFonts w:cs="Arial"/>
          <w:b/>
          <w:bCs/>
          <w:sz w:val="20"/>
          <w:szCs w:val="20"/>
        </w:rPr>
      </w:pPr>
      <w:r>
        <w:rPr>
          <w:rFonts w:cs="Arial"/>
          <w:b/>
          <w:bCs/>
          <w:sz w:val="20"/>
          <w:szCs w:val="20"/>
        </w:rPr>
        <w:t>Phase 4 – Multimodal Integration and Clinical Reasoning with LLMs</w:t>
      </w:r>
    </w:p>
    <w:p>
      <w:pPr>
        <w:pStyle w:val="Normal"/>
        <w:jc w:val="both"/>
        <w:rPr>
          <w:rFonts w:cs="Arial"/>
          <w:sz w:val="20"/>
          <w:szCs w:val="20"/>
        </w:rPr>
      </w:pPr>
      <w:r>
        <w:rPr>
          <w:rFonts w:cs="Arial"/>
          <w:b/>
          <w:bCs/>
          <w:sz w:val="20"/>
          <w:szCs w:val="20"/>
        </w:rPr>
        <w:t>Duration:</w:t>
      </w:r>
      <w:r>
        <w:rPr>
          <w:rFonts w:cs="Arial"/>
          <w:sz w:val="20"/>
          <w:szCs w:val="20"/>
        </w:rPr>
        <w:t xml:space="preserve"> 3 weeks (Weeks 12–14)</w:t>
      </w:r>
    </w:p>
    <w:p>
      <w:pPr>
        <w:pStyle w:val="Normal"/>
        <w:jc w:val="both"/>
        <w:rPr>
          <w:rFonts w:cs="Arial"/>
          <w:b/>
          <w:bCs/>
          <w:sz w:val="20"/>
          <w:szCs w:val="20"/>
        </w:rPr>
      </w:pPr>
      <w:r>
        <w:rPr>
          <w:rFonts w:cs="Arial"/>
          <w:b/>
          <w:bCs/>
          <w:sz w:val="20"/>
          <w:szCs w:val="20"/>
        </w:rPr>
        <w:t>Activities:</w:t>
      </w:r>
    </w:p>
    <w:p>
      <w:pPr>
        <w:pStyle w:val="Normal"/>
        <w:numPr>
          <w:ilvl w:val="0"/>
          <w:numId w:val="9"/>
        </w:numPr>
        <w:jc w:val="both"/>
        <w:rPr>
          <w:rFonts w:cs="Arial"/>
          <w:sz w:val="20"/>
          <w:szCs w:val="20"/>
        </w:rPr>
      </w:pPr>
      <w:r>
        <w:rPr>
          <w:rFonts w:cs="Arial"/>
          <w:sz w:val="20"/>
          <w:szCs w:val="20"/>
        </w:rPr>
        <w:t>Integration of imaging embeddings with structured clinical metadata (e.g., cancer stage, treatment type).</w:t>
      </w:r>
    </w:p>
    <w:p>
      <w:pPr>
        <w:pStyle w:val="Normal"/>
        <w:numPr>
          <w:ilvl w:val="0"/>
          <w:numId w:val="9"/>
        </w:numPr>
        <w:jc w:val="both"/>
        <w:rPr>
          <w:rFonts w:cs="Arial"/>
          <w:sz w:val="20"/>
          <w:szCs w:val="20"/>
        </w:rPr>
      </w:pPr>
      <w:r>
        <w:rPr>
          <w:rFonts w:cs="Arial"/>
          <w:sz w:val="20"/>
          <w:szCs w:val="20"/>
        </w:rPr>
        <w:t>Design of prompt strategies for Large Language Models (LLMs).</w:t>
      </w:r>
    </w:p>
    <w:p>
      <w:pPr>
        <w:pStyle w:val="Normal"/>
        <w:numPr>
          <w:ilvl w:val="0"/>
          <w:numId w:val="9"/>
        </w:numPr>
        <w:jc w:val="both"/>
        <w:rPr>
          <w:rFonts w:cs="Arial"/>
          <w:sz w:val="20"/>
          <w:szCs w:val="20"/>
        </w:rPr>
      </w:pPr>
      <w:r>
        <w:rPr>
          <w:rFonts w:cs="Arial"/>
          <w:sz w:val="20"/>
          <w:szCs w:val="20"/>
        </w:rPr>
        <w:t>Generation of medically coherent disease progression narratives.</w:t>
      </w:r>
    </w:p>
    <w:p>
      <w:pPr>
        <w:pStyle w:val="Normal"/>
        <w:numPr>
          <w:ilvl w:val="0"/>
          <w:numId w:val="9"/>
        </w:numPr>
        <w:jc w:val="both"/>
        <w:rPr>
          <w:rFonts w:cs="Arial"/>
          <w:sz w:val="20"/>
          <w:szCs w:val="20"/>
        </w:rPr>
      </w:pPr>
      <w:r>
        <w:rPr>
          <w:rFonts w:cs="Arial"/>
          <w:sz w:val="20"/>
          <w:szCs w:val="20"/>
        </w:rPr>
        <w:t>Alignment of textual explanations with imaging timelines.</w:t>
      </w:r>
    </w:p>
    <w:p>
      <w:pPr>
        <w:pStyle w:val="Normal"/>
        <w:jc w:val="both"/>
        <w:rPr>
          <w:rFonts w:cs="Arial"/>
          <w:b/>
          <w:bCs/>
          <w:sz w:val="20"/>
          <w:szCs w:val="20"/>
        </w:rPr>
      </w:pPr>
      <w:r>
        <w:rPr>
          <w:rFonts w:cs="Arial"/>
          <w:b/>
          <w:bCs/>
          <w:sz w:val="20"/>
          <w:szCs w:val="20"/>
        </w:rPr>
        <w:t>Intermediate Deliverables:</w:t>
      </w:r>
    </w:p>
    <w:p>
      <w:pPr>
        <w:pStyle w:val="Normal"/>
        <w:numPr>
          <w:ilvl w:val="0"/>
          <w:numId w:val="10"/>
        </w:numPr>
        <w:jc w:val="both"/>
        <w:rPr>
          <w:rFonts w:cs="Arial"/>
          <w:sz w:val="20"/>
          <w:szCs w:val="20"/>
        </w:rPr>
      </w:pPr>
      <w:r>
        <w:rPr>
          <w:rFonts w:cs="Arial"/>
          <w:sz w:val="20"/>
          <w:szCs w:val="20"/>
        </w:rPr>
        <w:t>Multimodal embedding representation.</w:t>
      </w:r>
    </w:p>
    <w:p>
      <w:pPr>
        <w:pStyle w:val="Normal"/>
        <w:numPr>
          <w:ilvl w:val="0"/>
          <w:numId w:val="10"/>
        </w:numPr>
        <w:jc w:val="both"/>
        <w:rPr>
          <w:rFonts w:cs="Arial"/>
          <w:sz w:val="20"/>
          <w:szCs w:val="20"/>
        </w:rPr>
      </w:pPr>
      <w:r>
        <w:rPr>
          <w:rFonts w:cs="Arial"/>
          <w:sz w:val="20"/>
          <w:szCs w:val="20"/>
        </w:rPr>
        <w:t>LLM prompt templates and generated clinical narratives.</w:t>
      </w:r>
    </w:p>
    <w:p>
      <w:pPr>
        <w:pStyle w:val="Normal"/>
        <w:numPr>
          <w:ilvl w:val="0"/>
          <w:numId w:val="10"/>
        </w:numPr>
        <w:jc w:val="both"/>
        <w:rPr>
          <w:rFonts w:cs="Arial"/>
          <w:sz w:val="20"/>
          <w:szCs w:val="20"/>
        </w:rPr>
      </w:pPr>
      <w:r>
        <w:rPr>
          <w:rFonts w:cs="Arial"/>
          <w:sz w:val="20"/>
          <w:szCs w:val="20"/>
        </w:rPr>
        <w:t>Qualitative validation of clinical plausibility.</w:t>
      </w:r>
    </w:p>
    <w:p>
      <w:pPr>
        <w:pStyle w:val="Normal"/>
        <w:jc w:val="both"/>
        <w:rPr>
          <w:rFonts w:cs="Arial"/>
          <w:sz w:val="20"/>
          <w:szCs w:val="20"/>
        </w:rPr>
      </w:pPr>
      <w:r>
        <w:rPr>
          <w:rFonts w:cs="Arial"/>
          <w:sz w:val="20"/>
          <w:szCs w:val="20"/>
        </w:rPr>
      </w:r>
    </w:p>
    <w:p>
      <w:pPr>
        <w:pStyle w:val="Normal"/>
        <w:jc w:val="both"/>
        <w:rPr>
          <w:rFonts w:cs="Arial"/>
          <w:b/>
          <w:bCs/>
          <w:sz w:val="20"/>
          <w:szCs w:val="20"/>
        </w:rPr>
      </w:pPr>
      <w:r>
        <w:rPr>
          <w:rFonts w:cs="Arial"/>
          <w:b/>
          <w:bCs/>
          <w:sz w:val="20"/>
          <w:szCs w:val="20"/>
        </w:rPr>
        <w:t>Phase 5 – Generative Video Modeling of Cancer Progression</w:t>
      </w:r>
    </w:p>
    <w:p>
      <w:pPr>
        <w:pStyle w:val="Normal"/>
        <w:jc w:val="both"/>
        <w:rPr>
          <w:rFonts w:cs="Arial"/>
          <w:sz w:val="20"/>
          <w:szCs w:val="20"/>
        </w:rPr>
      </w:pPr>
      <w:r>
        <w:rPr>
          <w:rFonts w:cs="Arial"/>
          <w:b/>
          <w:bCs/>
          <w:sz w:val="20"/>
          <w:szCs w:val="20"/>
        </w:rPr>
        <w:t>Duration:</w:t>
      </w:r>
      <w:r>
        <w:rPr>
          <w:rFonts w:cs="Arial"/>
          <w:sz w:val="20"/>
          <w:szCs w:val="20"/>
        </w:rPr>
        <w:t xml:space="preserve"> 4 weeks (Weeks 15–18)</w:t>
      </w:r>
    </w:p>
    <w:p>
      <w:pPr>
        <w:pStyle w:val="Normal"/>
        <w:jc w:val="both"/>
        <w:rPr>
          <w:rFonts w:cs="Arial"/>
          <w:b/>
          <w:bCs/>
          <w:sz w:val="20"/>
          <w:szCs w:val="20"/>
        </w:rPr>
      </w:pPr>
      <w:r>
        <w:rPr>
          <w:rFonts w:cs="Arial"/>
          <w:b/>
          <w:bCs/>
          <w:sz w:val="20"/>
          <w:szCs w:val="20"/>
        </w:rPr>
        <w:t>Activities:</w:t>
      </w:r>
    </w:p>
    <w:p>
      <w:pPr>
        <w:pStyle w:val="Normal"/>
        <w:numPr>
          <w:ilvl w:val="0"/>
          <w:numId w:val="11"/>
        </w:numPr>
        <w:jc w:val="both"/>
        <w:rPr>
          <w:rFonts w:cs="Arial"/>
          <w:sz w:val="20"/>
          <w:szCs w:val="20"/>
        </w:rPr>
      </w:pPr>
      <w:r>
        <w:rPr>
          <w:rFonts w:cs="Arial"/>
          <w:sz w:val="20"/>
          <w:szCs w:val="20"/>
        </w:rPr>
        <w:t>Selection and adaptation of diffusion-based or transformer-based video generation models.</w:t>
      </w:r>
    </w:p>
    <w:p>
      <w:pPr>
        <w:pStyle w:val="Normal"/>
        <w:numPr>
          <w:ilvl w:val="0"/>
          <w:numId w:val="11"/>
        </w:numPr>
        <w:jc w:val="both"/>
        <w:rPr>
          <w:rFonts w:cs="Arial"/>
          <w:sz w:val="20"/>
          <w:szCs w:val="20"/>
        </w:rPr>
      </w:pPr>
      <w:r>
        <w:rPr>
          <w:rFonts w:cs="Arial"/>
          <w:sz w:val="20"/>
          <w:szCs w:val="20"/>
        </w:rPr>
        <w:t>Conditioning video generation on multimodal embeddings.</w:t>
      </w:r>
    </w:p>
    <w:p>
      <w:pPr>
        <w:pStyle w:val="Normal"/>
        <w:numPr>
          <w:ilvl w:val="0"/>
          <w:numId w:val="11"/>
        </w:numPr>
        <w:jc w:val="both"/>
        <w:rPr>
          <w:rFonts w:cs="Arial"/>
          <w:sz w:val="20"/>
          <w:szCs w:val="20"/>
        </w:rPr>
      </w:pPr>
      <w:r>
        <w:rPr>
          <w:rFonts w:cs="Arial"/>
          <w:sz w:val="20"/>
          <w:szCs w:val="20"/>
        </w:rPr>
        <w:t>Generation of temporally consistent cancer progression videos.</w:t>
      </w:r>
    </w:p>
    <w:p>
      <w:pPr>
        <w:pStyle w:val="Normal"/>
        <w:numPr>
          <w:ilvl w:val="0"/>
          <w:numId w:val="11"/>
        </w:numPr>
        <w:jc w:val="both"/>
        <w:rPr>
          <w:rFonts w:cs="Arial"/>
          <w:sz w:val="20"/>
          <w:szCs w:val="20"/>
        </w:rPr>
      </w:pPr>
      <w:r>
        <w:rPr>
          <w:rFonts w:cs="Arial"/>
          <w:sz w:val="20"/>
          <w:szCs w:val="20"/>
        </w:rPr>
        <w:t>Extension to counterfactual scenarios (e.g., treatment vs no treatment).</w:t>
      </w:r>
    </w:p>
    <w:p>
      <w:pPr>
        <w:pStyle w:val="Normal"/>
        <w:jc w:val="both"/>
        <w:rPr>
          <w:rFonts w:cs="Arial"/>
          <w:b/>
          <w:bCs/>
          <w:sz w:val="20"/>
          <w:szCs w:val="20"/>
        </w:rPr>
      </w:pPr>
      <w:r>
        <w:rPr>
          <w:rFonts w:cs="Arial"/>
          <w:b/>
          <w:bCs/>
          <w:sz w:val="20"/>
          <w:szCs w:val="20"/>
        </w:rPr>
        <w:t>Intermediate Deliverables:</w:t>
      </w:r>
    </w:p>
    <w:p>
      <w:pPr>
        <w:pStyle w:val="Normal"/>
        <w:numPr>
          <w:ilvl w:val="0"/>
          <w:numId w:val="12"/>
        </w:numPr>
        <w:jc w:val="both"/>
        <w:rPr>
          <w:rFonts w:cs="Arial"/>
          <w:sz w:val="20"/>
          <w:szCs w:val="20"/>
        </w:rPr>
      </w:pPr>
      <w:r>
        <w:rPr>
          <w:rFonts w:cs="Arial"/>
          <w:sz w:val="20"/>
          <w:szCs w:val="20"/>
        </w:rPr>
        <w:t>Generated cancer progression video sequences.</w:t>
      </w:r>
    </w:p>
    <w:p>
      <w:pPr>
        <w:pStyle w:val="Normal"/>
        <w:numPr>
          <w:ilvl w:val="0"/>
          <w:numId w:val="12"/>
        </w:numPr>
        <w:jc w:val="both"/>
        <w:rPr>
          <w:rFonts w:cs="Arial"/>
          <w:sz w:val="20"/>
          <w:szCs w:val="20"/>
        </w:rPr>
      </w:pPr>
      <w:r>
        <w:rPr>
          <w:rFonts w:cs="Arial"/>
          <w:sz w:val="20"/>
          <w:szCs w:val="20"/>
        </w:rPr>
        <w:t>Counterfactual disease trajectory visualizations.</w:t>
      </w:r>
    </w:p>
    <w:p>
      <w:pPr>
        <w:pStyle w:val="Normal"/>
        <w:numPr>
          <w:ilvl w:val="0"/>
          <w:numId w:val="12"/>
        </w:numPr>
        <w:jc w:val="both"/>
        <w:rPr>
          <w:rFonts w:cs="Arial"/>
          <w:sz w:val="20"/>
          <w:szCs w:val="20"/>
        </w:rPr>
      </w:pPr>
      <w:r>
        <w:rPr>
          <w:rFonts w:cs="Arial"/>
          <w:sz w:val="20"/>
          <w:szCs w:val="20"/>
        </w:rPr>
        <w:t>Analysis of video realism and coherence.</w:t>
      </w:r>
    </w:p>
    <w:p>
      <w:pPr>
        <w:pStyle w:val="Normal"/>
        <w:jc w:val="both"/>
        <w:rPr>
          <w:rFonts w:cs="Arial"/>
          <w:sz w:val="20"/>
          <w:szCs w:val="20"/>
        </w:rPr>
      </w:pPr>
      <w:r>
        <w:rPr>
          <w:rFonts w:cs="Arial"/>
          <w:sz w:val="20"/>
          <w:szCs w:val="20"/>
        </w:rPr>
      </w:r>
    </w:p>
    <w:p>
      <w:pPr>
        <w:pStyle w:val="Normal"/>
        <w:jc w:val="both"/>
        <w:rPr>
          <w:rFonts w:cs="Arial"/>
          <w:b/>
          <w:bCs/>
          <w:sz w:val="20"/>
          <w:szCs w:val="20"/>
        </w:rPr>
      </w:pPr>
      <w:r>
        <w:rPr>
          <w:rFonts w:cs="Arial"/>
          <w:b/>
          <w:bCs/>
          <w:sz w:val="20"/>
          <w:szCs w:val="20"/>
        </w:rPr>
        <w:t>Phase 6 – Evaluation, Explainability, and Final Deliverables</w:t>
      </w:r>
    </w:p>
    <w:p>
      <w:pPr>
        <w:pStyle w:val="Normal"/>
        <w:jc w:val="both"/>
        <w:rPr>
          <w:rFonts w:cs="Arial"/>
          <w:sz w:val="20"/>
          <w:szCs w:val="20"/>
        </w:rPr>
      </w:pPr>
      <w:r>
        <w:rPr>
          <w:rFonts w:cs="Arial"/>
          <w:b/>
          <w:bCs/>
          <w:sz w:val="20"/>
          <w:szCs w:val="20"/>
        </w:rPr>
        <w:t>Duration:</w:t>
      </w:r>
      <w:r>
        <w:rPr>
          <w:rFonts w:cs="Arial"/>
          <w:sz w:val="20"/>
          <w:szCs w:val="20"/>
        </w:rPr>
        <w:t xml:space="preserve"> 2 weeks (Weeks 19–20)</w:t>
      </w:r>
    </w:p>
    <w:p>
      <w:pPr>
        <w:pStyle w:val="Normal"/>
        <w:jc w:val="both"/>
        <w:rPr>
          <w:rFonts w:cs="Arial"/>
          <w:b/>
          <w:bCs/>
          <w:sz w:val="20"/>
          <w:szCs w:val="20"/>
        </w:rPr>
      </w:pPr>
      <w:r>
        <w:rPr>
          <w:rFonts w:cs="Arial"/>
          <w:b/>
          <w:bCs/>
          <w:sz w:val="20"/>
          <w:szCs w:val="20"/>
        </w:rPr>
        <w:t>Activities:</w:t>
      </w:r>
    </w:p>
    <w:p>
      <w:pPr>
        <w:pStyle w:val="Normal"/>
        <w:numPr>
          <w:ilvl w:val="0"/>
          <w:numId w:val="13"/>
        </w:numPr>
        <w:jc w:val="both"/>
        <w:rPr>
          <w:rFonts w:cs="Arial"/>
          <w:sz w:val="20"/>
          <w:szCs w:val="20"/>
        </w:rPr>
      </w:pPr>
      <w:r>
        <w:rPr>
          <w:rFonts w:cs="Arial"/>
          <w:sz w:val="20"/>
          <w:szCs w:val="20"/>
        </w:rPr>
        <w:t>Quantitative evaluation:</w:t>
      </w:r>
    </w:p>
    <w:p>
      <w:pPr>
        <w:pStyle w:val="Normal"/>
        <w:numPr>
          <w:ilvl w:val="1"/>
          <w:numId w:val="13"/>
        </w:numPr>
        <w:jc w:val="both"/>
        <w:rPr>
          <w:rFonts w:cs="Arial"/>
          <w:sz w:val="20"/>
          <w:szCs w:val="20"/>
        </w:rPr>
      </w:pPr>
      <w:r>
        <w:rPr>
          <w:rFonts w:cs="Arial"/>
          <w:sz w:val="20"/>
          <w:szCs w:val="20"/>
        </w:rPr>
        <w:t>Structural consistency metrics.</w:t>
      </w:r>
    </w:p>
    <w:p>
      <w:pPr>
        <w:pStyle w:val="Normal"/>
        <w:numPr>
          <w:ilvl w:val="1"/>
          <w:numId w:val="13"/>
        </w:numPr>
        <w:jc w:val="both"/>
        <w:rPr>
          <w:rFonts w:cs="Arial"/>
          <w:sz w:val="20"/>
          <w:szCs w:val="20"/>
        </w:rPr>
      </w:pPr>
      <w:r>
        <w:rPr>
          <w:rFonts w:cs="Arial"/>
          <w:sz w:val="20"/>
          <w:szCs w:val="20"/>
        </w:rPr>
        <w:t>Temporal coherence analysis.</w:t>
      </w:r>
    </w:p>
    <w:p>
      <w:pPr>
        <w:pStyle w:val="Normal"/>
        <w:numPr>
          <w:ilvl w:val="0"/>
          <w:numId w:val="13"/>
        </w:numPr>
        <w:jc w:val="both"/>
        <w:rPr>
          <w:rFonts w:cs="Arial"/>
          <w:sz w:val="20"/>
          <w:szCs w:val="20"/>
        </w:rPr>
      </w:pPr>
      <w:r>
        <w:rPr>
          <w:rFonts w:cs="Arial"/>
          <w:sz w:val="20"/>
          <w:szCs w:val="20"/>
        </w:rPr>
        <w:t>Qualitative evaluation:</w:t>
      </w:r>
    </w:p>
    <w:p>
      <w:pPr>
        <w:pStyle w:val="Normal"/>
        <w:numPr>
          <w:ilvl w:val="1"/>
          <w:numId w:val="13"/>
        </w:numPr>
        <w:jc w:val="both"/>
        <w:rPr>
          <w:rFonts w:cs="Arial"/>
          <w:sz w:val="20"/>
          <w:szCs w:val="20"/>
        </w:rPr>
      </w:pPr>
      <w:r>
        <w:rPr>
          <w:rFonts w:cs="Arial"/>
          <w:sz w:val="20"/>
          <w:szCs w:val="20"/>
        </w:rPr>
        <w:t>Visual plausibility assessment.</w:t>
      </w:r>
    </w:p>
    <w:p>
      <w:pPr>
        <w:pStyle w:val="Normal"/>
        <w:numPr>
          <w:ilvl w:val="1"/>
          <w:numId w:val="13"/>
        </w:numPr>
        <w:jc w:val="both"/>
        <w:rPr>
          <w:rFonts w:cs="Arial"/>
          <w:sz w:val="20"/>
          <w:szCs w:val="20"/>
        </w:rPr>
      </w:pPr>
      <w:r>
        <w:rPr>
          <w:rFonts w:cs="Arial"/>
          <w:sz w:val="20"/>
          <w:szCs w:val="20"/>
        </w:rPr>
        <w:t>Text-to-video alignment verification.</w:t>
      </w:r>
    </w:p>
    <w:p>
      <w:pPr>
        <w:pStyle w:val="Normal"/>
        <w:numPr>
          <w:ilvl w:val="0"/>
          <w:numId w:val="13"/>
        </w:numPr>
        <w:jc w:val="both"/>
        <w:rPr>
          <w:rFonts w:cs="Arial"/>
          <w:sz w:val="20"/>
          <w:szCs w:val="20"/>
        </w:rPr>
      </w:pPr>
      <w:r>
        <w:rPr>
          <w:rFonts w:cs="Arial"/>
          <w:sz w:val="20"/>
          <w:szCs w:val="20"/>
        </w:rPr>
        <w:t>Preparation of final report and research documentation.</w:t>
      </w:r>
    </w:p>
    <w:p>
      <w:pPr>
        <w:pStyle w:val="Normal"/>
        <w:numPr>
          <w:ilvl w:val="0"/>
          <w:numId w:val="13"/>
        </w:numPr>
        <w:jc w:val="both"/>
        <w:rPr>
          <w:rFonts w:cs="Arial"/>
          <w:sz w:val="20"/>
          <w:szCs w:val="20"/>
        </w:rPr>
      </w:pPr>
      <w:r>
        <w:rPr>
          <w:rFonts w:cs="Arial"/>
          <w:sz w:val="20"/>
          <w:szCs w:val="20"/>
        </w:rPr>
        <w:t>Final project presentation and knowledge transfer.</w:t>
      </w:r>
    </w:p>
    <w:p>
      <w:pPr>
        <w:pStyle w:val="Normal"/>
        <w:jc w:val="both"/>
        <w:rPr>
          <w:rFonts w:cs="Arial"/>
          <w:b/>
          <w:bCs/>
          <w:sz w:val="20"/>
          <w:szCs w:val="20"/>
        </w:rPr>
      </w:pPr>
      <w:r>
        <w:rPr>
          <w:rFonts w:cs="Arial"/>
          <w:b/>
          <w:bCs/>
          <w:sz w:val="20"/>
          <w:szCs w:val="20"/>
        </w:rPr>
        <w:t>Final Deliverables:</w:t>
      </w:r>
    </w:p>
    <w:p>
      <w:pPr>
        <w:pStyle w:val="Normal"/>
        <w:numPr>
          <w:ilvl w:val="0"/>
          <w:numId w:val="14"/>
        </w:numPr>
        <w:jc w:val="both"/>
        <w:rPr>
          <w:rFonts w:cs="Arial"/>
          <w:sz w:val="20"/>
          <w:szCs w:val="20"/>
        </w:rPr>
      </w:pPr>
      <w:r>
        <w:rPr>
          <w:rFonts w:cs="Arial"/>
          <w:sz w:val="20"/>
          <w:szCs w:val="20"/>
        </w:rPr>
        <w:t>Fully implemented multimodal AI framework.</w:t>
      </w:r>
    </w:p>
    <w:p>
      <w:pPr>
        <w:pStyle w:val="Normal"/>
        <w:numPr>
          <w:ilvl w:val="0"/>
          <w:numId w:val="14"/>
        </w:numPr>
        <w:jc w:val="both"/>
        <w:rPr>
          <w:rFonts w:cs="Arial"/>
          <w:sz w:val="20"/>
          <w:szCs w:val="20"/>
        </w:rPr>
      </w:pPr>
      <w:r>
        <w:rPr>
          <w:rFonts w:cs="Arial"/>
          <w:sz w:val="20"/>
          <w:szCs w:val="20"/>
        </w:rPr>
        <w:t>Explainable cancer progression and counterfactual videos.</w:t>
      </w:r>
    </w:p>
    <w:p>
      <w:pPr>
        <w:pStyle w:val="Normal"/>
        <w:numPr>
          <w:ilvl w:val="0"/>
          <w:numId w:val="14"/>
        </w:numPr>
        <w:jc w:val="both"/>
        <w:rPr>
          <w:rFonts w:cs="Arial"/>
          <w:sz w:val="20"/>
          <w:szCs w:val="20"/>
        </w:rPr>
      </w:pPr>
      <w:r>
        <w:rPr>
          <w:rFonts w:cs="Arial"/>
          <w:sz w:val="20"/>
          <w:szCs w:val="20"/>
        </w:rPr>
        <w:t>Final technical report summarizing methodology and results.</w:t>
      </w:r>
    </w:p>
    <w:p>
      <w:pPr>
        <w:pStyle w:val="Normal"/>
        <w:numPr>
          <w:ilvl w:val="0"/>
          <w:numId w:val="14"/>
        </w:numPr>
        <w:jc w:val="both"/>
        <w:rPr>
          <w:rFonts w:cs="Arial"/>
          <w:sz w:val="20"/>
          <w:szCs w:val="20"/>
        </w:rPr>
      </w:pPr>
      <w:r>
        <w:rPr>
          <w:rFonts w:cs="Arial"/>
          <w:sz w:val="20"/>
          <w:szCs w:val="20"/>
        </w:rPr>
        <w:t>Publication-ready research draft.</w:t>
      </w:r>
    </w:p>
    <w:p>
      <w:pPr>
        <w:pStyle w:val="ListParagraph"/>
        <w:jc w:val="both"/>
        <w:rPr>
          <w:rFonts w:cs="Arial"/>
          <w:b/>
        </w:rPr>
      </w:pPr>
      <w:r>
        <w:rPr>
          <w:rFonts w:cs="Arial"/>
          <w:b/>
        </w:rPr>
      </w:r>
    </w:p>
    <w:p>
      <w:pPr>
        <w:pStyle w:val="Normal"/>
        <w:jc w:val="both"/>
        <w:rPr>
          <w:rFonts w:cs="Arial"/>
          <w:b/>
          <w:bCs/>
        </w:rPr>
      </w:pPr>
      <w:r>
        <w:rPr>
          <w:rFonts w:cs="Arial"/>
          <w:b/>
          <w:bCs/>
        </w:rPr>
        <w:t>2.5 Literature cited in sections 2.1 and .2.2</w:t>
      </w:r>
    </w:p>
    <w:p>
      <w:pPr>
        <w:pStyle w:val="Normal"/>
        <w:rPr>
          <w:b/>
          <w:bCs/>
        </w:rPr>
      </w:pPr>
      <w:r>
        <w:rPr>
          <w:b/>
          <w:bCs/>
        </w:rPr>
        <w:t>References</w:t>
      </w:r>
    </w:p>
    <w:p>
      <w:pPr>
        <w:pStyle w:val="Normal"/>
        <w:numPr>
          <w:ilvl w:val="0"/>
          <w:numId w:val="2"/>
        </w:numPr>
        <w:rPr/>
      </w:pPr>
      <w:r>
        <w:rPr>
          <w:lang w:val="fr-FR"/>
        </w:rPr>
        <w:t xml:space="preserve">Weinstein, J. N., et al. </w:t>
      </w:r>
      <w:r>
        <w:rPr>
          <w:i/>
          <w:iCs/>
        </w:rPr>
        <w:t>The Cancer Genome Atlas Pan-Cancer analysis project.</w:t>
      </w:r>
      <w:r>
        <w:rPr/>
        <w:t xml:space="preserve"> Nature Genetics, 45(10), 1113–1120, 2013.</w:t>
      </w:r>
    </w:p>
    <w:p>
      <w:pPr>
        <w:pStyle w:val="Normal"/>
        <w:numPr>
          <w:ilvl w:val="0"/>
          <w:numId w:val="2"/>
        </w:numPr>
        <w:rPr/>
      </w:pPr>
      <w:r>
        <w:rPr>
          <w:lang w:val="fr-FR"/>
        </w:rPr>
        <w:t xml:space="preserve">Menze, B. H., et al. </w:t>
      </w:r>
      <w:r>
        <w:rPr>
          <w:i/>
          <w:iCs/>
        </w:rPr>
        <w:t>The Multimodal Brain Tumor Image Segmentation Benchmark (BRATS).</w:t>
      </w:r>
      <w:r>
        <w:rPr/>
        <w:t xml:space="preserve"> IEEE Transactions on Medical Imaging, 34(10), 1993–2024, 2015.</w:t>
      </w:r>
    </w:p>
    <w:p>
      <w:pPr>
        <w:pStyle w:val="Normal"/>
        <w:numPr>
          <w:ilvl w:val="0"/>
          <w:numId w:val="2"/>
        </w:numPr>
        <w:rPr/>
      </w:pPr>
      <w:r>
        <w:rPr>
          <w:lang w:val="fr-FR"/>
        </w:rPr>
        <w:t xml:space="preserve">Armato, S. G., et al. </w:t>
      </w:r>
      <w:r>
        <w:rPr>
          <w:i/>
          <w:iCs/>
        </w:rPr>
        <w:t>The Lung Image Database Consortium (LIDC).</w:t>
      </w:r>
      <w:r>
        <w:rPr/>
        <w:t xml:space="preserve"> Medical Physics, 38(2), 915–931, 2011.</w:t>
      </w:r>
    </w:p>
    <w:p>
      <w:pPr>
        <w:pStyle w:val="Normal"/>
        <w:numPr>
          <w:ilvl w:val="0"/>
          <w:numId w:val="2"/>
        </w:numPr>
        <w:rPr/>
      </w:pPr>
      <w:r>
        <w:rPr/>
        <w:t xml:space="preserve">Dosovitskiy, A., et al. </w:t>
      </w:r>
      <w:r>
        <w:rPr>
          <w:i/>
          <w:iCs/>
        </w:rPr>
        <w:t>An Image is Worth 16×16 Words: Transformers for Image Recognition at Scale.</w:t>
      </w:r>
      <w:r>
        <w:rPr/>
        <w:t xml:space="preserve"> ICLR, 2021.</w:t>
      </w:r>
    </w:p>
    <w:p>
      <w:pPr>
        <w:pStyle w:val="Normal"/>
        <w:numPr>
          <w:ilvl w:val="0"/>
          <w:numId w:val="2"/>
        </w:numPr>
        <w:rPr/>
      </w:pPr>
      <w:r>
        <w:rPr/>
        <w:t xml:space="preserve">Hatamizadeh, A., et al. </w:t>
      </w:r>
      <w:r>
        <w:rPr>
          <w:i/>
          <w:iCs/>
        </w:rPr>
        <w:t>UNETR: Transformers for 3D Medical Image Segmentation.</w:t>
      </w:r>
      <w:r>
        <w:rPr/>
        <w:t xml:space="preserve"> WACV, 2022.</w:t>
      </w:r>
    </w:p>
    <w:p>
      <w:pPr>
        <w:pStyle w:val="Normal"/>
        <w:numPr>
          <w:ilvl w:val="0"/>
          <w:numId w:val="2"/>
        </w:numPr>
        <w:rPr/>
      </w:pPr>
      <w:r>
        <w:rPr/>
        <w:t xml:space="preserve">Tang, Y., et al. </w:t>
      </w:r>
      <w:r>
        <w:rPr>
          <w:i/>
          <w:iCs/>
        </w:rPr>
        <w:t>Self-Supervised Pretraining of Vision Transformers for Medical Imaging.</w:t>
      </w:r>
      <w:r>
        <w:rPr/>
        <w:t xml:space="preserve"> CVPR, 2022.</w:t>
      </w:r>
    </w:p>
    <w:p>
      <w:pPr>
        <w:pStyle w:val="Normal"/>
        <w:numPr>
          <w:ilvl w:val="0"/>
          <w:numId w:val="2"/>
        </w:numPr>
        <w:rPr/>
      </w:pPr>
      <w:r>
        <w:rPr/>
        <w:t xml:space="preserve">Liu, Z., et al. </w:t>
      </w:r>
      <w:r>
        <w:rPr>
          <w:i/>
          <w:iCs/>
        </w:rPr>
        <w:t>Swin Transformer: Hierarchical Vision Transformer using Shifted Windows.</w:t>
      </w:r>
      <w:r>
        <w:rPr/>
        <w:t xml:space="preserve"> ICCV, 2021.</w:t>
      </w:r>
    </w:p>
    <w:p>
      <w:pPr>
        <w:pStyle w:val="Normal"/>
        <w:numPr>
          <w:ilvl w:val="0"/>
          <w:numId w:val="2"/>
        </w:numPr>
        <w:rPr/>
      </w:pPr>
      <w:r>
        <w:rPr/>
        <w:t xml:space="preserve">Harangi, B. </w:t>
      </w:r>
      <w:r>
        <w:rPr>
          <w:i/>
          <w:iCs/>
        </w:rPr>
        <w:t>Skin lesion classification with ensembles of deep convolutional neural networks.</w:t>
      </w:r>
      <w:r>
        <w:rPr/>
        <w:t xml:space="preserve"> Journal of Biomedical Informatics, 86, 25–32, 2018.</w:t>
      </w:r>
    </w:p>
    <w:p>
      <w:pPr>
        <w:pStyle w:val="Normal"/>
        <w:numPr>
          <w:ilvl w:val="0"/>
          <w:numId w:val="2"/>
        </w:numPr>
        <w:rPr/>
      </w:pPr>
      <w:r>
        <w:rPr/>
        <w:t xml:space="preserve">Lee, J., et al. </w:t>
      </w:r>
      <w:r>
        <w:rPr>
          <w:i/>
          <w:iCs/>
        </w:rPr>
        <w:t>BioBERT: a pre-trained biomedical language representation model.</w:t>
      </w:r>
      <w:r>
        <w:rPr/>
        <w:t xml:space="preserve"> Bioinformatics, 36(4), 1234–1240, 2020.</w:t>
      </w:r>
    </w:p>
    <w:p>
      <w:pPr>
        <w:pStyle w:val="Normal"/>
        <w:numPr>
          <w:ilvl w:val="0"/>
          <w:numId w:val="2"/>
        </w:numPr>
        <w:rPr/>
      </w:pPr>
      <w:r>
        <w:rPr/>
        <w:t xml:space="preserve">Singhal, K., et al. </w:t>
      </w:r>
      <w:r>
        <w:rPr>
          <w:i/>
          <w:iCs/>
        </w:rPr>
        <w:t>Large Language Models Encode Clinical Knowledge.</w:t>
      </w:r>
      <w:r>
        <w:rPr/>
        <w:t xml:space="preserve"> Nature, 620, 172–180, 2023.</w:t>
      </w:r>
    </w:p>
    <w:p>
      <w:pPr>
        <w:pStyle w:val="Normal"/>
        <w:numPr>
          <w:ilvl w:val="0"/>
          <w:numId w:val="2"/>
        </w:numPr>
        <w:rPr/>
      </w:pPr>
      <w:r>
        <w:rPr>
          <w:lang w:val="fr-FR"/>
        </w:rPr>
        <w:t xml:space="preserve">Johnson, A. E. W., et al. </w:t>
      </w:r>
      <w:r>
        <w:rPr>
          <w:i/>
          <w:iCs/>
        </w:rPr>
        <w:t>MIMIC-III, a freely accessible critical care database.</w:t>
      </w:r>
      <w:r>
        <w:rPr/>
        <w:t xml:space="preserve"> Scientific Data, 3, 160035, 2016.</w:t>
      </w:r>
    </w:p>
    <w:p>
      <w:pPr>
        <w:pStyle w:val="Normal"/>
        <w:numPr>
          <w:ilvl w:val="0"/>
          <w:numId w:val="2"/>
        </w:numPr>
        <w:rPr>
          <w:i/>
          <w:i/>
          <w:iCs/>
          <w:vanish/>
        </w:rPr>
      </w:pPr>
      <w:r>
        <w:rPr/>
        <w:t xml:space="preserve">Li, X., et al. </w:t>
      </w:r>
      <w:r>
        <w:rPr>
          <w:i/>
          <w:iCs/>
        </w:rPr>
        <w:t>Multi-modal Pre-training for Medical Vision-language Understanding and Generation: An Empirical Study with A New Benchmark. arXiv:2306.06494</w:t>
      </w:r>
      <w:r>
        <w:rPr>
          <w:i/>
          <w:iCs/>
          <w:vanish/>
        </w:rPr>
        <w:t>Top of Form</w:t>
      </w:r>
    </w:p>
    <w:p>
      <w:pPr>
        <w:pStyle w:val="Normal"/>
        <w:numPr>
          <w:ilvl w:val="0"/>
          <w:numId w:val="2"/>
        </w:numPr>
        <w:rPr/>
      </w:pPr>
      <w:r>
        <w:rPr/>
        <w:t>, 2023.</w:t>
      </w:r>
    </w:p>
    <w:p>
      <w:pPr>
        <w:pStyle w:val="Normal"/>
        <w:numPr>
          <w:ilvl w:val="0"/>
          <w:numId w:val="2"/>
        </w:numPr>
        <w:rPr>
          <w:lang w:val="fr-FR"/>
        </w:rPr>
      </w:pPr>
      <w:r>
        <w:rPr>
          <w:lang w:val="fr-FR"/>
        </w:rPr>
        <w:t xml:space="preserve">Ho, J., et al. </w:t>
      </w:r>
      <w:r>
        <w:rPr>
          <w:i/>
          <w:iCs/>
          <w:lang w:val="fr-FR"/>
        </w:rPr>
        <w:t>Denoising Diffusion Probabilistic Models.</w:t>
      </w:r>
      <w:r>
        <w:rPr>
          <w:lang w:val="fr-FR"/>
        </w:rPr>
        <w:t xml:space="preserve"> NeurIPS, 2020.</w:t>
      </w:r>
    </w:p>
    <w:p>
      <w:pPr>
        <w:pStyle w:val="Normal"/>
        <w:numPr>
          <w:ilvl w:val="0"/>
          <w:numId w:val="2"/>
        </w:numPr>
        <w:rPr/>
      </w:pPr>
      <w:r>
        <w:rPr/>
        <w:t xml:space="preserve">Blattmann, A., et al. </w:t>
      </w:r>
      <w:r>
        <w:rPr>
          <w:i/>
          <w:iCs/>
        </w:rPr>
        <w:t>Align your Latents: High-Resolution Video Synthesis with Latent Diffusion Models.</w:t>
      </w:r>
      <w:r>
        <w:rPr/>
        <w:t xml:space="preserve"> CVPR, 2023.</w:t>
      </w:r>
    </w:p>
    <w:p>
      <w:pPr>
        <w:pStyle w:val="Normal"/>
        <w:numPr>
          <w:ilvl w:val="0"/>
          <w:numId w:val="2"/>
        </w:numPr>
        <w:rPr/>
      </w:pPr>
      <w:r>
        <w:rPr>
          <w:lang w:val="fr-FR"/>
        </w:rPr>
        <w:t xml:space="preserve">Frid-Adar, M., et al. </w:t>
      </w:r>
      <w:r>
        <w:rPr>
          <w:i/>
          <w:iCs/>
        </w:rPr>
        <w:t>GAN-based synthetic medical image augmentation.</w:t>
      </w:r>
      <w:r>
        <w:rPr/>
        <w:t xml:space="preserve"> Neurocomputing, 321, 321–331, 2018.</w:t>
      </w:r>
    </w:p>
    <w:p>
      <w:pPr>
        <w:pStyle w:val="Normal"/>
        <w:numPr>
          <w:ilvl w:val="0"/>
          <w:numId w:val="2"/>
        </w:numPr>
        <w:rPr/>
      </w:pPr>
      <w:r>
        <w:rPr>
          <w:lang w:val="fr-FR"/>
        </w:rPr>
        <w:t xml:space="preserve">Chen, R. J., et al. </w:t>
      </w:r>
      <w:r>
        <w:rPr>
          <w:i/>
          <w:iCs/>
        </w:rPr>
        <w:t>Synthetic data in machine learning for medicine and healthcare.</w:t>
      </w:r>
      <w:r>
        <w:rPr/>
        <w:t xml:space="preserve"> Nature Biomedical Engineering, 2021.</w:t>
      </w:r>
    </w:p>
    <w:p>
      <w:pPr>
        <w:pStyle w:val="Normal"/>
        <w:rPr/>
      </w:pPr>
      <w:r>
        <w:rPr/>
      </w:r>
    </w:p>
    <w:p>
      <w:pPr>
        <w:pStyle w:val="Normal"/>
        <w:rPr>
          <w:b/>
          <w:bCs/>
          <w:color w:val="00B0F0"/>
          <w:sz w:val="24"/>
          <w:szCs w:val="24"/>
        </w:rPr>
      </w:pPr>
      <w:r>
        <w:rPr>
          <w:b/>
          <w:bCs/>
          <w:sz w:val="24"/>
          <w:szCs w:val="24"/>
        </w:rPr>
        <w:t xml:space="preserve">3 </w:t>
      </w:r>
      <w:r>
        <w:rPr>
          <w:b/>
          <w:bCs/>
          <w:sz w:val="24"/>
          <w:szCs w:val="24"/>
          <w:u w:val="single"/>
        </w:rPr>
        <w:t>Benefits to Canada</w:t>
      </w:r>
    </w:p>
    <w:p>
      <w:pPr>
        <w:pStyle w:val="ListParagraph"/>
        <w:rPr>
          <w:b/>
          <w:bCs/>
        </w:rPr>
      </w:pPr>
      <w:r>
        <w:rPr>
          <w:b/>
          <w:bCs/>
        </w:rPr>
      </w:r>
    </w:p>
    <w:p>
      <w:pPr>
        <w:pStyle w:val="Normal"/>
        <w:rPr>
          <w:sz w:val="20"/>
          <w:szCs w:val="20"/>
        </w:rPr>
      </w:pPr>
      <w:r>
        <w:rPr>
          <w:b/>
          <w:bCs/>
        </w:rPr>
        <w:t>3.1 Collaboration between participating host and home researchers (1 page max.)</w:t>
      </w:r>
      <w:r>
        <w:rPr/>
        <w:br/>
        <w:t>(a)</w:t>
      </w:r>
      <w:r>
        <w:rPr>
          <w:b/>
          <w:bCs/>
        </w:rPr>
        <w:t xml:space="preserve"> </w:t>
      </w:r>
      <w:r>
        <w:rPr>
          <w:sz w:val="20"/>
          <w:szCs w:val="20"/>
        </w:rPr>
        <w:t xml:space="preserve">Explain how the project aligns with the host and home supervisors’ expertise and research work, and how it supports their existing research. </w:t>
      </w:r>
      <w:r>
        <w:rPr/>
        <w:br/>
      </w:r>
      <w:r>
        <w:rPr>
          <w:sz w:val="20"/>
          <w:szCs w:val="20"/>
        </w:rPr>
        <w:t>(b) Describe how the project will strengthen existing or develop future novel research collaboration between the home and the host research teams.</w:t>
      </w:r>
    </w:p>
    <w:p>
      <w:pPr>
        <w:pStyle w:val="Normal"/>
        <w:numPr>
          <w:ilvl w:val="0"/>
          <w:numId w:val="0"/>
        </w:numPr>
        <w:spacing w:before="280" w:after="280"/>
        <w:ind w:hanging="0" w:left="0"/>
        <w:outlineLvl w:val="2"/>
        <w:rPr>
          <w:rFonts w:ascii="Times New Roman" w:hAnsi="Times New Roman" w:eastAsia="Times New Roman" w:cs="Times New Roman"/>
          <w:b/>
          <w:bCs/>
          <w:sz w:val="27"/>
          <w:szCs w:val="27"/>
          <w:lang w:eastAsia="en-CA"/>
        </w:rPr>
      </w:pPr>
      <w:r>
        <w:rPr>
          <w:rFonts w:eastAsia="Times New Roman" w:cs="Times New Roman" w:ascii="Times New Roman" w:hAnsi="Times New Roman"/>
          <w:b/>
          <w:bCs/>
          <w:sz w:val="27"/>
          <w:szCs w:val="27"/>
          <w:lang w:eastAsia="en-CA"/>
        </w:rPr>
        <w:t>(a) Alignment with Host and Home Supervisors’ Expertise</w:t>
      </w:r>
    </w:p>
    <w:p>
      <w:pPr>
        <w:pStyle w:val="Normal"/>
        <w:spacing w:before="280" w:after="280"/>
        <w:rPr>
          <w:rFonts w:ascii="Times New Roman" w:hAnsi="Times New Roman" w:eastAsia="Times New Roman" w:cs="Times New Roman"/>
          <w:sz w:val="24"/>
          <w:szCs w:val="24"/>
          <w:lang w:eastAsia="en-CA"/>
        </w:rPr>
      </w:pPr>
      <w:r>
        <w:rPr>
          <w:rFonts w:eastAsia="Times New Roman" w:cs="Times New Roman" w:ascii="Times New Roman" w:hAnsi="Times New Roman"/>
          <w:sz w:val="24"/>
          <w:szCs w:val="24"/>
          <w:lang w:eastAsia="en-CA"/>
        </w:rPr>
        <w:t xml:space="preserve">This project is strongly aligned with the complementary expertise of the host and home supervisors and directly supports their ongoing research programs. The </w:t>
      </w:r>
      <w:r>
        <w:rPr>
          <w:rFonts w:eastAsia="Times New Roman" w:cs="Times New Roman" w:ascii="Times New Roman" w:hAnsi="Times New Roman"/>
          <w:b/>
          <w:bCs/>
          <w:sz w:val="24"/>
          <w:szCs w:val="24"/>
          <w:lang w:eastAsia="en-CA"/>
        </w:rPr>
        <w:t>host supervisor</w:t>
      </w:r>
      <w:r>
        <w:rPr>
          <w:rFonts w:eastAsia="Times New Roman" w:cs="Times New Roman" w:ascii="Times New Roman" w:hAnsi="Times New Roman"/>
          <w:sz w:val="24"/>
          <w:szCs w:val="24"/>
          <w:lang w:eastAsia="en-CA"/>
        </w:rPr>
        <w:t xml:space="preserve"> brings established expertise in artificial intelligence, machine learning, deep learning, and multimodal data analysis, with a particular focus on large-scale models such as Vision Transformers (ViTs) and Large Language Models (LLMs) for complex real-world data. Their research includes the development of advanced representation learning techniques, explainable AI, and AI-driven decision support systems in high-impact domains, including healthcare.</w:t>
      </w:r>
    </w:p>
    <w:p>
      <w:pPr>
        <w:pStyle w:val="Normal"/>
        <w:spacing w:before="280" w:after="280"/>
        <w:rPr>
          <w:rFonts w:ascii="Times New Roman" w:hAnsi="Times New Roman" w:eastAsia="Times New Roman" w:cs="Times New Roman"/>
          <w:sz w:val="24"/>
          <w:szCs w:val="24"/>
          <w:lang w:eastAsia="en-CA"/>
        </w:rPr>
      </w:pPr>
      <w:r>
        <w:rPr>
          <w:rFonts w:eastAsia="Times New Roman" w:cs="Times New Roman" w:ascii="Times New Roman" w:hAnsi="Times New Roman"/>
          <w:sz w:val="24"/>
          <w:szCs w:val="24"/>
          <w:lang w:eastAsia="en-CA"/>
        </w:rPr>
        <w:t xml:space="preserve">The </w:t>
      </w:r>
      <w:r>
        <w:rPr>
          <w:rFonts w:eastAsia="Times New Roman" w:cs="Times New Roman" w:ascii="Times New Roman" w:hAnsi="Times New Roman"/>
          <w:b/>
          <w:bCs/>
          <w:sz w:val="24"/>
          <w:szCs w:val="24"/>
          <w:lang w:eastAsia="en-CA"/>
        </w:rPr>
        <w:t>home supervisor</w:t>
      </w:r>
      <w:r>
        <w:rPr>
          <w:rFonts w:eastAsia="Times New Roman" w:cs="Times New Roman" w:ascii="Times New Roman" w:hAnsi="Times New Roman"/>
          <w:sz w:val="24"/>
          <w:szCs w:val="24"/>
          <w:lang w:eastAsia="en-CA"/>
        </w:rPr>
        <w:t xml:space="preserve"> contributes domain-specific expertise in medical data analysis, clinical imaging, and disease modeling, with experience in managing and interpreting real-world biomedical datasets. Their research focuses on the clinical relevance, validation, and translational potential of computational models in medical and health-related applications.</w:t>
      </w:r>
    </w:p>
    <w:p>
      <w:pPr>
        <w:pStyle w:val="Normal"/>
        <w:spacing w:before="280" w:after="280"/>
        <w:rPr>
          <w:rFonts w:ascii="Times New Roman" w:hAnsi="Times New Roman" w:eastAsia="Times New Roman" w:cs="Times New Roman"/>
          <w:sz w:val="24"/>
          <w:szCs w:val="24"/>
          <w:lang w:eastAsia="en-CA"/>
        </w:rPr>
      </w:pPr>
      <w:r>
        <w:rPr>
          <w:rFonts w:eastAsia="Times New Roman" w:cs="Times New Roman" w:ascii="Times New Roman" w:hAnsi="Times New Roman"/>
          <w:sz w:val="24"/>
          <w:szCs w:val="24"/>
          <w:lang w:eastAsia="en-CA"/>
        </w:rPr>
        <w:t>The proposed project sits at the intersection of these two research profiles by integrating large vision models, multimodal fusion, and language-based reasoning with clinically grounded medical imaging data. It directly supports the host supervisor’s research agenda on multimodal AI and explainable systems while advancing the home supervisor’s work by introducing state-of-the-art AI methodologies capable of extracting deeper clinical insights from complex medical data.</w:t>
      </w:r>
    </w:p>
    <w:p>
      <w:pPr>
        <w:pStyle w:val="Normal"/>
        <w:numPr>
          <w:ilvl w:val="0"/>
          <w:numId w:val="0"/>
        </w:numPr>
        <w:spacing w:before="280" w:after="280"/>
        <w:ind w:hanging="0" w:left="0"/>
        <w:outlineLvl w:val="2"/>
        <w:rPr>
          <w:rFonts w:ascii="Times New Roman" w:hAnsi="Times New Roman" w:eastAsia="Times New Roman" w:cs="Times New Roman"/>
          <w:b/>
          <w:bCs/>
          <w:sz w:val="27"/>
          <w:szCs w:val="27"/>
          <w:lang w:eastAsia="en-CA"/>
        </w:rPr>
      </w:pPr>
      <w:r>
        <w:rPr>
          <w:rFonts w:eastAsia="Times New Roman" w:cs="Times New Roman" w:ascii="Times New Roman" w:hAnsi="Times New Roman"/>
          <w:b/>
          <w:bCs/>
          <w:sz w:val="27"/>
          <w:szCs w:val="27"/>
          <w:lang w:eastAsia="en-CA"/>
        </w:rPr>
        <w:t>(b) Strengthening and Expanding Research Collaboration</w:t>
      </w:r>
    </w:p>
    <w:p>
      <w:pPr>
        <w:pStyle w:val="Normal"/>
        <w:spacing w:before="280" w:after="280"/>
        <w:rPr>
          <w:rFonts w:ascii="Times New Roman" w:hAnsi="Times New Roman" w:eastAsia="Times New Roman" w:cs="Times New Roman"/>
          <w:sz w:val="24"/>
          <w:szCs w:val="24"/>
          <w:lang w:eastAsia="en-CA"/>
        </w:rPr>
      </w:pPr>
      <w:r>
        <w:rPr>
          <w:rFonts w:eastAsia="Times New Roman" w:cs="Times New Roman" w:ascii="Times New Roman" w:hAnsi="Times New Roman"/>
          <w:sz w:val="24"/>
          <w:szCs w:val="24"/>
          <w:lang w:eastAsia="en-CA"/>
        </w:rPr>
        <w:t>This project will reinforce existing collaborations and establish a foundation for long-term research partnerships between the host and home research teams. The internship enables close co-supervision of the intern through regular virtual meetings, shared technical development, and joint evaluation of results. Methodologies, source code, and experimental protocols will be jointly developed and shared, fostering sustainable collaboration beyond the duration of the internship.</w:t>
      </w:r>
    </w:p>
    <w:p>
      <w:pPr>
        <w:pStyle w:val="Normal"/>
        <w:spacing w:before="280" w:after="280"/>
        <w:rPr>
          <w:rFonts w:ascii="Times New Roman" w:hAnsi="Times New Roman" w:eastAsia="Times New Roman" w:cs="Times New Roman"/>
          <w:sz w:val="24"/>
          <w:szCs w:val="24"/>
          <w:lang w:eastAsia="en-CA"/>
        </w:rPr>
      </w:pPr>
      <w:r>
        <w:rPr>
          <w:rFonts w:eastAsia="Times New Roman" w:cs="Times New Roman" w:ascii="Times New Roman" w:hAnsi="Times New Roman"/>
          <w:sz w:val="24"/>
          <w:szCs w:val="24"/>
          <w:lang w:eastAsia="en-CA"/>
        </w:rPr>
        <w:t>The outcomes of this project are expected to lead to joint scientific publications, future co-supervised graduate students, and collaborative applications to international and national funding programs. The project also opens opportunities for expanding collaboration into related areas such as multimodal clinical decision support, generative modeling for medical applications, and responsible AI in healthcare. By combining complementary strengths, the collaboration aims to evolve into a long-term research partnership with high scientific and societal impact.</w:t>
      </w:r>
    </w:p>
    <w:p>
      <w:pPr>
        <w:pStyle w:val="Normal"/>
        <w:rPr>
          <w:b/>
          <w:bCs/>
        </w:rPr>
      </w:pPr>
      <w:r>
        <w:rPr>
          <w:b/>
          <w:bCs/>
        </w:rPr>
      </w:r>
    </w:p>
    <w:p>
      <w:pPr>
        <w:pStyle w:val="Normal"/>
        <w:ind w:hanging="568" w:left="568"/>
        <w:rPr>
          <w:b/>
        </w:rPr>
      </w:pPr>
      <w:r>
        <w:rPr>
          <w:rFonts w:cs="Arial"/>
          <w:b/>
          <w:bCs/>
        </w:rPr>
        <w:t>3.2 Significance and impact of the project (1 page max.)</w:t>
      </w:r>
    </w:p>
    <w:p>
      <w:pPr>
        <w:pStyle w:val="ListParagraph"/>
        <w:ind w:left="0"/>
        <w:jc w:val="both"/>
        <w:rPr>
          <w:rFonts w:cs="Arial"/>
          <w:sz w:val="20"/>
          <w:szCs w:val="20"/>
        </w:rPr>
      </w:pPr>
      <w:r>
        <w:rPr>
          <w:rFonts w:cs="Arial"/>
          <w:sz w:val="20"/>
          <w:szCs w:val="20"/>
        </w:rPr>
        <w:t>(a) Describe what specific contributions the project is expected to provide to the industry or society, and what challenges facing the society or industry this project will address.</w:t>
      </w:r>
    </w:p>
    <w:p>
      <w:pPr>
        <w:pStyle w:val="ListParagraph"/>
        <w:tabs>
          <w:tab w:val="clear" w:pos="720"/>
          <w:tab w:val="left" w:pos="0" w:leader="none"/>
        </w:tabs>
        <w:ind w:left="0"/>
        <w:jc w:val="both"/>
        <w:rPr>
          <w:rFonts w:cs="Arial"/>
        </w:rPr>
      </w:pPr>
      <w:r>
        <w:rPr>
          <w:rFonts w:cs="Arial"/>
          <w:sz w:val="20"/>
          <w:szCs w:val="20"/>
        </w:rPr>
        <w:t>(b) Explain what your project will bring to Canada and the expected impact on Canada’s innovation capacity (e.g., missing skills, techniques or expertise that will be brought back, original data that will be collected by accessing specific sites or populations, innovative ways of thinking that will provide another perspective to solve Canada’s and/or the partner country’s challenges, enhance the impact of Canadian research, etc.).</w:t>
      </w:r>
    </w:p>
    <w:p>
      <w:pPr>
        <w:pStyle w:val="Normal"/>
        <w:rPr>
          <w:rFonts w:cs="Arial"/>
          <w:sz w:val="20"/>
          <w:szCs w:val="20"/>
        </w:rPr>
      </w:pPr>
      <w:r>
        <w:rPr>
          <w:rFonts w:cs="Arial"/>
          <w:sz w:val="20"/>
          <w:szCs w:val="20"/>
        </w:rPr>
      </w:r>
    </w:p>
    <w:p>
      <w:pPr>
        <w:pStyle w:val="Normal"/>
        <w:rPr>
          <w:rFonts w:cs="Arial"/>
          <w:b/>
          <w:bCs/>
          <w:sz w:val="20"/>
          <w:szCs w:val="20"/>
        </w:rPr>
      </w:pPr>
      <w:r>
        <w:rPr>
          <w:rFonts w:cs="Arial"/>
          <w:b/>
          <w:bCs/>
          <w:sz w:val="20"/>
          <w:szCs w:val="20"/>
        </w:rPr>
        <w:t>(a) Societal and Industry Contributions</w:t>
      </w:r>
    </w:p>
    <w:p>
      <w:pPr>
        <w:pStyle w:val="Normal"/>
        <w:rPr>
          <w:rFonts w:cs="Arial"/>
          <w:sz w:val="20"/>
          <w:szCs w:val="20"/>
        </w:rPr>
      </w:pPr>
      <w:r>
        <w:rPr>
          <w:rFonts w:cs="Arial"/>
          <w:sz w:val="20"/>
          <w:szCs w:val="20"/>
        </w:rPr>
        <w:t>The project addresses major challenges faced by healthcare systems, including the growing volume and complexity of medical data, the need for early and accurate disease detection, and the demand for interpretable and trustworthy AI systems. By developing multimodal AI models that combine medical imaging with language-based clinical reasoning, the project contributes innovative tools for more transparent and explainable medical decision support.</w:t>
      </w:r>
    </w:p>
    <w:p>
      <w:pPr>
        <w:pStyle w:val="Normal"/>
        <w:rPr>
          <w:rFonts w:cs="Arial"/>
          <w:sz w:val="20"/>
          <w:szCs w:val="20"/>
        </w:rPr>
      </w:pPr>
      <w:r>
        <w:rPr>
          <w:rFonts w:cs="Arial"/>
          <w:sz w:val="20"/>
          <w:szCs w:val="20"/>
        </w:rPr>
        <w:t>From a societal perspective, the project has the potential to improve diagnostic accuracy, enhance clinical understanding of disease progression, and reduce the workload of medical professionals through intelligent AI-assisted analysis. The integration of generative models for disease progression simulation further supports education, training, and scenario-based clinical decision-making. These contributions are highly relevant to healthcare innovation and can support both clinical practice and biomedical research.</w:t>
      </w:r>
    </w:p>
    <w:p>
      <w:pPr>
        <w:pStyle w:val="Normal"/>
        <w:rPr>
          <w:rFonts w:cs="Arial"/>
          <w:sz w:val="20"/>
          <w:szCs w:val="20"/>
        </w:rPr>
      </w:pPr>
      <w:r>
        <w:rPr>
          <w:rFonts w:cs="Arial"/>
          <w:sz w:val="20"/>
          <w:szCs w:val="20"/>
        </w:rPr>
      </w:r>
    </w:p>
    <w:p>
      <w:pPr>
        <w:pStyle w:val="Normal"/>
        <w:rPr>
          <w:rFonts w:cs="Arial"/>
          <w:b/>
          <w:bCs/>
          <w:sz w:val="20"/>
          <w:szCs w:val="20"/>
        </w:rPr>
      </w:pPr>
      <w:r>
        <w:rPr>
          <w:rFonts w:cs="Arial"/>
          <w:b/>
          <w:bCs/>
          <w:sz w:val="20"/>
          <w:szCs w:val="20"/>
        </w:rPr>
        <w:t>(b) Impact on Canada’s Innovation Capacity</w:t>
      </w:r>
    </w:p>
    <w:p>
      <w:pPr>
        <w:pStyle w:val="Normal"/>
        <w:rPr>
          <w:rFonts w:cs="Arial"/>
          <w:sz w:val="20"/>
          <w:szCs w:val="20"/>
        </w:rPr>
      </w:pPr>
      <w:r>
        <w:rPr>
          <w:rFonts w:cs="Arial"/>
          <w:sz w:val="20"/>
          <w:szCs w:val="20"/>
        </w:rPr>
        <w:t>This project will contribute directly to strengthening Canada’s innovation capacity in artificial intelligence and healthcare technologies. The intern will acquire advanced expertise in large vision models, multimodal AI, and LLM-based reasoning, skills that are currently in high demand and remain scarce. These competencies will be transferred back to Canada, enriching the national research and innovation ecosystem.</w:t>
      </w:r>
    </w:p>
    <w:p>
      <w:pPr>
        <w:pStyle w:val="Normal"/>
        <w:rPr>
          <w:rFonts w:cs="Arial"/>
          <w:sz w:val="20"/>
          <w:szCs w:val="20"/>
        </w:rPr>
      </w:pPr>
      <w:r>
        <w:rPr>
          <w:rFonts w:cs="Arial"/>
          <w:sz w:val="20"/>
          <w:szCs w:val="20"/>
        </w:rPr>
        <w:t>The project will also enhance Canadian research visibility through high-quality scientific outputs, including open-source tools, benchmark results, and peer-reviewed publications. By leveraging international perspectives and datasets, the project introduces innovative methodologies and interdisciplinary approaches that can be adapted to Canadian healthcare challenges. Ultimately, the project supports Canada’s leadership in responsible AI, medical AI innovation, and the training of highly qualified personnel capable of driving future technological and societal advances.</w:t>
      </w:r>
    </w:p>
    <w:p>
      <w:pPr>
        <w:pStyle w:val="Normal"/>
        <w:rPr>
          <w:rFonts w:cs="Arial"/>
          <w:sz w:val="20"/>
          <w:szCs w:val="20"/>
        </w:rPr>
      </w:pPr>
      <w:r>
        <w:rPr>
          <w:rFonts w:cs="Arial"/>
          <w:sz w:val="20"/>
          <w:szCs w:val="20"/>
        </w:rPr>
      </w:r>
    </w:p>
    <w:p>
      <w:pPr>
        <w:pStyle w:val="Normal"/>
        <w:ind w:left="720"/>
        <w:rPr>
          <w:rFonts w:cs="Arial"/>
        </w:rPr>
      </w:pPr>
      <w:r>
        <w:rPr>
          <w:rFonts w:cs="Arial"/>
        </w:rPr>
      </w:r>
    </w:p>
    <w:p>
      <w:pPr>
        <w:pStyle w:val="ListParagraph"/>
        <w:ind w:hanging="360" w:left="360"/>
        <w:rPr>
          <w:b/>
          <w:bCs/>
          <w:color w:val="00B0F0"/>
          <w:sz w:val="24"/>
          <w:szCs w:val="24"/>
        </w:rPr>
      </w:pPr>
      <w:r>
        <w:rPr>
          <w:b/>
          <w:bCs/>
          <w:sz w:val="24"/>
          <w:szCs w:val="24"/>
        </w:rPr>
        <w:t xml:space="preserve">4 </w:t>
      </w:r>
      <w:r>
        <w:rPr>
          <w:b/>
          <w:bCs/>
          <w:sz w:val="24"/>
          <w:szCs w:val="24"/>
          <w:u w:val="single"/>
        </w:rPr>
        <w:t>Opportunities offered to the intern(s)</w:t>
      </w:r>
    </w:p>
    <w:p>
      <w:pPr>
        <w:pStyle w:val="Normal"/>
        <w:rPr>
          <w:b/>
          <w:bCs/>
        </w:rPr>
      </w:pPr>
      <w:r>
        <w:rPr>
          <w:b/>
          <w:bCs/>
        </w:rPr>
      </w:r>
    </w:p>
    <w:p>
      <w:pPr>
        <w:pStyle w:val="ListParagraph"/>
        <w:ind w:hanging="284" w:left="284"/>
        <w:rPr>
          <w:b/>
          <w:bCs/>
        </w:rPr>
      </w:pPr>
      <w:r>
        <w:rPr>
          <w:b/>
          <w:bCs/>
        </w:rPr>
        <w:t>4.1 Intern(s) supervision, mentorship and training environment (0.5 page max.)</w:t>
      </w:r>
    </w:p>
    <w:p>
      <w:pPr>
        <w:pStyle w:val="ListParagraph"/>
        <w:ind w:left="0"/>
        <w:rPr>
          <w:rFonts w:cs="Arial"/>
          <w:sz w:val="20"/>
          <w:szCs w:val="20"/>
        </w:rPr>
      </w:pPr>
      <w:r>
        <w:rPr>
          <w:rFonts w:cs="Arial"/>
          <w:sz w:val="20"/>
          <w:szCs w:val="20"/>
        </w:rPr>
        <w:t>(a) Describe the planned interaction between the host supervisor(s), the research team and the intern(s), including the supervision and mentorship that the intern(s) will receive, as well as the nature, frequency, and location of these interactions.</w:t>
      </w:r>
    </w:p>
    <w:p>
      <w:pPr>
        <w:pStyle w:val="ListParagraph"/>
        <w:ind w:left="0"/>
        <w:rPr>
          <w:rFonts w:cs="Arial"/>
          <w:sz w:val="20"/>
          <w:szCs w:val="20"/>
        </w:rPr>
      </w:pPr>
      <w:r>
        <w:rPr>
          <w:rFonts w:cs="Arial"/>
          <w:sz w:val="20"/>
          <w:szCs w:val="20"/>
        </w:rPr>
        <w:t>(b) Include details on the engagement of the host institution and training opportunities offered to the intern(s), and on the research environment in which the intern(s) will be working (facilities and equipment, available expertise, research network, opportunities for fieldwork or data collection, etc.).</w:t>
      </w:r>
    </w:p>
    <w:p>
      <w:pPr>
        <w:pStyle w:val="Normal"/>
        <w:rPr/>
      </w:pPr>
      <w:r>
        <w:rPr/>
      </w:r>
    </w:p>
    <w:p>
      <w:pPr>
        <w:pStyle w:val="Normal"/>
        <w:rPr>
          <w:b/>
          <w:bCs/>
          <w:lang w:val="fr-FR"/>
        </w:rPr>
      </w:pPr>
      <w:r>
        <w:rPr>
          <w:b/>
          <w:bCs/>
          <w:lang w:val="fr-FR"/>
        </w:rPr>
        <w:t>(a) Supervision et mentorat</w:t>
      </w:r>
    </w:p>
    <w:p>
      <w:pPr>
        <w:pStyle w:val="Normal"/>
        <w:rPr>
          <w:lang w:val="fr-FR"/>
        </w:rPr>
      </w:pPr>
      <w:r>
        <w:rPr>
          <w:lang w:val="fr-FR"/>
        </w:rPr>
        <w:t>Le stagiaire bénéficiera d’une supervision étroite, structurée et conjointe assurée par les professeurs des établissements d’accueil et d’attache, combinant expertise en intelligence artificielle avancée, modélisation temporelle, modèles de langage et apprentissage machine. Des réunions hebdomadaires de suivi scientifique seront organisées afin de discuter de l’avancement du projet, des choix méthodologiques, des résultats expérimentaux et des défis techniques liés à l’intégration de modèles de vision, transformers et LLM.</w:t>
      </w:r>
    </w:p>
    <w:p>
      <w:pPr>
        <w:pStyle w:val="Normal"/>
        <w:rPr>
          <w:lang w:val="fr-FR"/>
        </w:rPr>
      </w:pPr>
      <w:r>
        <w:rPr>
          <w:lang w:val="fr-FR"/>
        </w:rPr>
        <w:t>Le stagiaire interagira régulièrement avec les membres des deux groupes de recherche, favorisant un mentorat scientifique continu et une immersion dans un environnement de recherche multidisciplinaire à l’interface de l’IA, du quantique et de la santé numérique. La supervision se déroulera principalement au sein de l’établissement d’accueil (Université TÉLUQ), avec des interactions virtuelles planifiées avec l’établissement d’attache, assurant une collaboration étroite et un transfert effectif de connaissances entre les équipes.</w:t>
      </w:r>
    </w:p>
    <w:p>
      <w:pPr>
        <w:pStyle w:val="Normal"/>
        <w:rPr>
          <w:lang w:val="fr-FR"/>
        </w:rPr>
      </w:pPr>
      <w:r>
        <w:rPr>
          <w:lang w:val="fr-FR"/>
        </w:rPr>
      </w:r>
    </w:p>
    <w:p>
      <w:pPr>
        <w:pStyle w:val="Normal"/>
        <w:rPr>
          <w:b/>
          <w:bCs/>
          <w:lang w:val="fr-FR"/>
        </w:rPr>
      </w:pPr>
      <w:r>
        <w:rPr>
          <w:b/>
          <w:bCs/>
          <w:lang w:val="fr-FR"/>
        </w:rPr>
        <w:t>(b) Environnement de formation et ressources</w:t>
      </w:r>
    </w:p>
    <w:p>
      <w:pPr>
        <w:pStyle w:val="Normal"/>
        <w:rPr>
          <w:lang w:val="fr-FR"/>
        </w:rPr>
      </w:pPr>
      <w:r>
        <w:rPr>
          <w:lang w:val="fr-FR"/>
        </w:rPr>
        <w:t>Le stagiaire évoluera dans un environnement de recherche dynamique offrant un accès à des infrastructures de calcul avancées, incluant des ressources GPU/CPU, ainsi qu’à des cadres logiciels spécialisés pour l’apprentissage profond (PyTorch, HuggingFace, etc.). L’environnement de recherche permettra de travailler sur des données de santé réelles (des scans, etc.) et d’explorer des architectures de modèles de vision et LLM à la fine pointe de la recherche.</w:t>
      </w:r>
    </w:p>
    <w:p>
      <w:pPr>
        <w:pStyle w:val="Normal"/>
        <w:rPr>
          <w:lang w:val="fr-FR"/>
        </w:rPr>
      </w:pPr>
      <w:r>
        <w:rPr>
          <w:lang w:val="fr-FR"/>
        </w:rPr>
        <w:t>Le projet favorisera l’acquisition de compétences techniques avancées en transformers temporels, LLM,  et apprentissage machine, tout en développant des compétences transversales essentielles telles que la communication scientifique, la recherche responsable et le travail collaboratif international. La participation à des séminaires, ateliers et activités de formation offerts par l’établissement d’accueil enrichira l’expérience du stagiaire et lui permettra de s’intégrer à un réseau de recherche multidisciplinaire actif, renforçant ainsi son développement académique et professionnel.</w:t>
      </w:r>
    </w:p>
    <w:p>
      <w:pPr>
        <w:pStyle w:val="Normal"/>
        <w:rPr>
          <w:lang w:val="fr-FR"/>
        </w:rPr>
      </w:pPr>
      <w:r>
        <w:rPr>
          <w:lang w:val="fr-FR"/>
        </w:rPr>
      </w:r>
    </w:p>
    <w:p>
      <w:pPr>
        <w:pStyle w:val="Normal"/>
        <w:rPr>
          <w:rFonts w:cs="Arial"/>
          <w:sz w:val="20"/>
          <w:szCs w:val="20"/>
          <w:lang w:val="fr-FR"/>
        </w:rPr>
      </w:pPr>
      <w:r>
        <w:rPr>
          <w:rFonts w:cs="Arial"/>
          <w:sz w:val="20"/>
          <w:szCs w:val="20"/>
          <w:lang w:val="fr-FR"/>
        </w:rPr>
      </w:r>
    </w:p>
    <w:p>
      <w:pPr>
        <w:pStyle w:val="ListParagraph"/>
        <w:ind w:left="0"/>
        <w:rPr/>
      </w:pPr>
      <w:r>
        <w:rPr>
          <w:b/>
          <w:bCs/>
        </w:rPr>
        <w:t xml:space="preserve">4.2 Interns’ statement(s) of interest:  </w:t>
      </w:r>
      <w:r>
        <w:rPr>
          <w:b/>
          <w:bCs/>
          <w:u w:val="single"/>
        </w:rPr>
        <w:t>Each intern must write their own statement</w:t>
      </w:r>
      <w:r>
        <w:rPr>
          <w:b/>
          <w:bCs/>
        </w:rPr>
        <w:t>.</w:t>
        <w:br/>
      </w:r>
      <w:r>
        <w:rPr>
          <w:rFonts w:cs="Arial"/>
          <w:sz w:val="20"/>
          <w:szCs w:val="20"/>
        </w:rPr>
        <w:t>Duplicate sections below for each intern when there are multiple interns.</w:t>
      </w:r>
    </w:p>
    <w:p>
      <w:pPr>
        <w:pStyle w:val="Normal"/>
        <w:ind w:left="720"/>
        <w:rPr/>
      </w:pPr>
      <w:r>
        <w:rPr/>
      </w:r>
    </w:p>
    <w:p>
      <w:pPr>
        <w:pStyle w:val="ListParagraph"/>
        <w:ind w:hanging="2160" w:left="2160"/>
        <w:rPr>
          <w:b/>
          <w:bCs/>
        </w:rPr>
      </w:pPr>
      <w:r>
        <w:rPr>
          <w:b/>
          <w:bCs/>
        </w:rPr>
        <w:t>(a) Name of intern</w:t>
      </w:r>
    </w:p>
    <w:p>
      <w:pPr>
        <w:pStyle w:val="Normal"/>
        <w:ind w:hanging="1309"/>
        <w:rPr/>
      </w:pPr>
      <w:r>
        <w:rPr/>
      </w:r>
    </w:p>
    <w:p>
      <w:pPr>
        <w:pStyle w:val="ListParagraph"/>
        <w:ind w:hanging="1309" w:left="720"/>
        <w:rPr>
          <w:b/>
          <w:bCs/>
        </w:rPr>
      </w:pPr>
      <w:r>
        <w:rPr>
          <w:b/>
          <w:bCs/>
        </w:rPr>
      </w:r>
    </w:p>
    <w:p>
      <w:pPr>
        <w:pStyle w:val="ListParagraph"/>
        <w:ind w:hanging="2160" w:left="2160"/>
        <w:rPr>
          <w:b/>
          <w:bCs/>
        </w:rPr>
      </w:pPr>
      <w:r>
        <w:rPr>
          <w:b/>
          <w:bCs/>
        </w:rPr>
        <w:t>(b) Statement of interest (0.5 pages)</w:t>
      </w:r>
    </w:p>
    <w:p>
      <w:pPr>
        <w:pStyle w:val="ListParagraph"/>
        <w:ind w:left="0"/>
        <w:rPr>
          <w:b/>
          <w:bCs/>
        </w:rPr>
      </w:pPr>
      <w:r>
        <w:rPr>
          <w:rFonts w:cs="Arial"/>
          <w:sz w:val="20"/>
          <w:szCs w:val="20"/>
        </w:rPr>
        <w:t>Each intern must explain how participating in Mitacs Globalink will benefit their academic studies and research career (e.g., working with internationally renowned experts, unique opportunities for fieldwork or data collection, access to facilities, or expertise not available at their home institution). They must explain how they are prepared or preparing themselves, to successfully conduct this research project (skills, competence, experience, training plan, etc.).</w:t>
      </w:r>
    </w:p>
    <w:p>
      <w:pPr>
        <w:pStyle w:val="ListParagraph"/>
        <w:ind w:left="0"/>
        <w:rPr>
          <w:b/>
          <w:bCs/>
        </w:rPr>
      </w:pPr>
      <w:r>
        <w:rPr>
          <w:b/>
          <w:bCs/>
        </w:rPr>
      </w:r>
    </w:p>
    <w:p>
      <w:pPr>
        <w:pStyle w:val="ListParagraph"/>
        <w:rPr>
          <w:b/>
          <w:bCs/>
        </w:rPr>
      </w:pPr>
      <w:r>
        <w:rPr>
          <w:b/>
          <w:bCs/>
        </w:rPr>
      </w:r>
    </w:p>
    <w:p>
      <w:pPr>
        <w:pStyle w:val="Normal"/>
        <w:rPr/>
      </w:pPr>
      <w:r>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20" w:top="1440" w:footer="720" w:bottom="144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roman"/>
    <w:pitch w:val="variable"/>
  </w:font>
  <w:font w:name="Century Gothic">
    <w:charset w:val="01"/>
    <w:family w:val="roman"/>
    <w:pitch w:val="variable"/>
  </w:font>
  <w:font w:name="Arial">
    <w:charset w:val="01"/>
    <w:family w:val="roman"/>
    <w:pitch w:val="variable"/>
  </w:font>
  <w:font w:name="Times New Roman">
    <w:charset w:val="01"/>
    <w:family w:val="roman"/>
    <w:pitch w:val="variable"/>
  </w:font>
  <w:font w:name="Aptos">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5787" w:type="dxa"/>
      <w:jc w:val="left"/>
      <w:tblInd w:w="-515" w:type="dxa"/>
      <w:tblLayout w:type="fixed"/>
      <w:tblCellMar>
        <w:top w:w="72" w:type="dxa"/>
        <w:left w:w="115" w:type="dxa"/>
        <w:bottom w:w="29" w:type="dxa"/>
        <w:right w:w="115" w:type="dxa"/>
      </w:tblCellMar>
    </w:tblPr>
    <w:tblGrid>
      <w:gridCol w:w="6352"/>
      <w:gridCol w:w="4716"/>
      <w:gridCol w:w="4719"/>
    </w:tblGrid>
    <w:tr>
      <w:trPr>
        <w:trHeight w:val="458" w:hRule="atLeast"/>
      </w:trPr>
      <w:tc>
        <w:tcPr>
          <w:tcW w:w="6352" w:type="dxa"/>
          <w:tcBorders/>
          <w:vAlign w:val="bottom"/>
        </w:tcPr>
        <w:p>
          <w:pPr>
            <w:pStyle w:val="Normal"/>
            <w:tabs>
              <w:tab w:val="clear" w:pos="720"/>
              <w:tab w:val="center" w:pos="4680" w:leader="none"/>
              <w:tab w:val="right" w:pos="9360" w:leader="none"/>
            </w:tabs>
            <w:rPr>
              <w:color w:val="00B0F0"/>
              <w:sz w:val="12"/>
              <w:szCs w:val="12"/>
            </w:rPr>
          </w:pPr>
          <w:r>
            <w:rPr>
              <w:color w:val="00B0F0"/>
              <w:sz w:val="12"/>
              <w:szCs w:val="12"/>
            </w:rPr>
          </w:r>
        </w:p>
        <w:p>
          <w:pPr>
            <w:pStyle w:val="Normal"/>
            <w:tabs>
              <w:tab w:val="clear" w:pos="720"/>
              <w:tab w:val="center" w:pos="4680" w:leader="none"/>
              <w:tab w:val="right" w:pos="9360" w:leader="none"/>
            </w:tabs>
            <w:rPr>
              <w:sz w:val="12"/>
              <w:szCs w:val="12"/>
              <w:shd w:fill="FFFF00" w:val="clear"/>
            </w:rPr>
          </w:pPr>
          <w:r>
            <w:rPr>
              <w:sz w:val="12"/>
              <w:szCs w:val="12"/>
              <w:shd w:fill="FFFF00" w:val="clear"/>
            </w:rPr>
          </w:r>
        </w:p>
      </w:tc>
      <w:tc>
        <w:tcPr>
          <w:tcW w:w="4716" w:type="dxa"/>
          <w:tcBorders/>
          <w:tcMar>
            <w:bottom w:w="72" w:type="dxa"/>
          </w:tcMar>
          <w:vAlign w:val="bottom"/>
        </w:tcPr>
        <w:p>
          <w:pPr>
            <w:pStyle w:val="Normal"/>
            <w:tabs>
              <w:tab w:val="clear" w:pos="720"/>
              <w:tab w:val="left" w:pos="3862" w:leader="none"/>
              <w:tab w:val="center" w:pos="4680" w:leader="none"/>
              <w:tab w:val="right" w:pos="9360" w:leader="none"/>
            </w:tabs>
            <w:ind w:right="543"/>
            <w:rPr>
              <w:rFonts w:cs="Arial"/>
              <w:color w:themeColor="light1" w:val="FFFFFF"/>
              <w:sz w:val="16"/>
              <w:szCs w:val="16"/>
            </w:rPr>
          </w:pPr>
          <w:r>
            <w:rPr>
              <w:rFonts w:cs="Arial"/>
              <w:color w:themeColor="light1" w:val="FFFFFF"/>
              <w:sz w:val="16"/>
              <w:szCs w:val="16"/>
            </w:rPr>
          </w:r>
        </w:p>
        <w:p>
          <w:pPr>
            <w:pStyle w:val="Normal"/>
            <w:tabs>
              <w:tab w:val="clear" w:pos="720"/>
              <w:tab w:val="left" w:pos="3862" w:leader="none"/>
              <w:tab w:val="center" w:pos="4680" w:leader="none"/>
              <w:tab w:val="right" w:pos="9360" w:leader="none"/>
            </w:tabs>
            <w:ind w:right="543"/>
            <w:jc w:val="right"/>
            <w:rPr>
              <w:rFonts w:cs="Arial"/>
              <w:color w:themeColor="light1" w:val="FFFFFF"/>
              <w:sz w:val="16"/>
              <w:szCs w:val="16"/>
            </w:rPr>
          </w:pPr>
          <w:r>
            <w:rPr>
              <w:rFonts w:cs="Arial"/>
              <w:color w:themeColor="light1" w:val="FFFFFF"/>
              <w:sz w:val="16"/>
              <w:szCs w:val="16"/>
            </w:rPr>
          </w:r>
        </w:p>
      </w:tc>
      <w:tc>
        <w:tcPr>
          <w:tcW w:w="4719" w:type="dxa"/>
          <w:tcBorders/>
          <w:tcMar>
            <w:bottom w:w="72" w:type="dxa"/>
          </w:tcMar>
        </w:tcPr>
        <w:p>
          <w:pPr>
            <w:pStyle w:val="Normal"/>
            <w:tabs>
              <w:tab w:val="clear" w:pos="720"/>
              <w:tab w:val="left" w:pos="3862" w:leader="none"/>
              <w:tab w:val="center" w:pos="4680" w:leader="none"/>
              <w:tab w:val="right" w:pos="9360" w:leader="none"/>
            </w:tabs>
            <w:ind w:right="543"/>
            <w:rPr>
              <w:rFonts w:cs="Arial"/>
              <w:color w:themeColor="light1" w:val="FFFFFF"/>
              <w:sz w:val="16"/>
              <w:szCs w:val="16"/>
            </w:rPr>
          </w:pPr>
          <w:r>
            <w:rPr>
              <w:rFonts w:cs="Arial"/>
              <w:color w:themeColor="light1" w:val="FFFFFF"/>
              <w:sz w:val="16"/>
              <w:szCs w:val="16"/>
            </w:rPr>
          </w:r>
        </w:p>
      </w:tc>
    </w:tr>
  </w:tbl>
  <w:p>
    <w:pPr>
      <w:pStyle w:val="Footer"/>
      <w:tabs>
        <w:tab w:val="clear" w:pos="4680"/>
        <w:tab w:val="clear" w:pos="9360"/>
        <w:tab w:val="left" w:pos="8402" w:leader="none"/>
      </w:tabs>
      <w:rPr/>
    </w:pPr>
    <w:r>
      <mc:AlternateContent>
        <mc:Choice Requires="wpg">
          <w:drawing>
            <wp:anchor behindDoc="1" distT="6350" distB="6350" distL="6350" distR="0" simplePos="0" locked="0" layoutInCell="0" allowOverlap="1" relativeHeight="20">
              <wp:simplePos x="0" y="0"/>
              <wp:positionH relativeFrom="page">
                <wp:posOffset>0</wp:posOffset>
              </wp:positionH>
              <wp:positionV relativeFrom="paragraph">
                <wp:posOffset>-222250</wp:posOffset>
              </wp:positionV>
              <wp:extent cx="7812405" cy="1047750"/>
              <wp:effectExtent l="6350" t="6350" r="0" b="6350"/>
              <wp:wrapNone/>
              <wp:docPr id="5" name="Group 1550630802"/>
              <a:graphic xmlns:a="http://schemas.openxmlformats.org/drawingml/2006/main">
                <a:graphicData uri="http://schemas.microsoft.com/office/word/2010/wordprocessingGroup">
                  <wpg:wgp>
                    <wpg:cNvGrpSpPr/>
                    <wpg:grpSpPr>
                      <a:xfrm>
                        <a:off x="0" y="0"/>
                        <a:ext cx="7812360" cy="1047600"/>
                        <a:chOff x="0" y="0"/>
                        <a:chExt cx="7812360" cy="1047600"/>
                      </a:xfrm>
                    </wpg:grpSpPr>
                    <wps:wsp>
                      <wps:cNvPr id="6" name="Rectangle 748855809"/>
                      <wps:cNvSpPr/>
                      <wps:spPr>
                        <a:xfrm>
                          <a:off x="0" y="0"/>
                          <a:ext cx="7772400" cy="1047600"/>
                        </a:xfrm>
                        <a:prstGeom prst="rect">
                          <a:avLst/>
                        </a:prstGeom>
                        <a:solidFill>
                          <a:srgbClr val="005faf"/>
                        </a:solidFill>
                        <a:ln w="12600">
                          <a:solidFill>
                            <a:srgbClr val="002348"/>
                          </a:solidFill>
                          <a:miter/>
                        </a:ln>
                      </wps:spPr>
                      <wps:style>
                        <a:lnRef idx="0"/>
                        <a:fillRef idx="0"/>
                        <a:effectRef idx="0"/>
                        <a:fontRef idx="minor"/>
                      </wps:style>
                      <wps:txbx>
                        <w:txbxContent>
                          <w:p>
                            <w:pPr>
                              <w:pStyle w:val="Normal"/>
                              <w:ind w:left="6480"/>
                              <w:jc w:val="center"/>
                              <w:rPr>
                                <w:lang w:val="fr-CA"/>
                              </w:rPr>
                            </w:pPr>
                            <w:hyperlink r:id="rId1">
                              <w:r>
                                <w:rPr>
                                  <w:rStyle w:val="Hyperlink"/>
                                  <w:color w:themeColor="hyperlink" w:val="0563C1"/>
                                  <w:sz w:val="16"/>
                                  <w:szCs w:val="16"/>
                                  <w:u w:val="single"/>
                                </w:rPr>
                                <w:t>Latest</w:t>
                              </w:r>
                            </w:hyperlink>
                            <w:r>
                              <w:rPr>
                                <w:rStyle w:val="Hyperlink"/>
                                <w:color w:themeColor="light1" w:val="FFFFFF"/>
                                <w:sz w:val="16"/>
                                <w:szCs w:val="16"/>
                                <w:u w:val="none"/>
                              </w:rPr>
                              <w:t xml:space="preserve"> version November 2024</w:t>
                            </w:r>
                          </w:p>
                          <w:p>
                            <w:pPr>
                              <w:pStyle w:val="Normal"/>
                              <w:tabs>
                                <w:tab w:val="clear" w:pos="720"/>
                                <w:tab w:val="left" w:pos="3862" w:leader="none"/>
                                <w:tab w:val="center" w:pos="4680" w:leader="none"/>
                                <w:tab w:val="right" w:pos="9360" w:leader="none"/>
                              </w:tabs>
                              <w:ind w:right="543"/>
                              <w:jc w:val="right"/>
                              <w:rPr>
                                <w:rFonts w:cs="Arial"/>
                                <w:color w:themeColor="light1" w:val="FFFFFF"/>
                                <w:sz w:val="16"/>
                                <w:szCs w:val="16"/>
                              </w:rPr>
                            </w:pPr>
                            <w:r>
                              <w:rPr>
                                <w:rFonts w:cs="Arial"/>
                                <w:b/>
                                <w:color w:themeColor="light1" w:val="FFFFFF"/>
                                <w:sz w:val="16"/>
                                <w:szCs w:val="16"/>
                              </w:rPr>
                              <w:fldChar w:fldCharType="begin"/>
                            </w:r>
                            <w:r>
                              <w:rPr>
                                <w:sz w:val="16"/>
                                <w:b/>
                                <w:szCs w:val="16"/>
                                <w:rFonts w:cs="Arial"/>
                                <w:color w:themeColor="light1" w:val="FFFFFF"/>
                              </w:rPr>
                              <w:instrText xml:space="preserve"> PAGE </w:instrText>
                            </w:r>
                            <w:r>
                              <w:rPr>
                                <w:sz w:val="16"/>
                                <w:b/>
                                <w:szCs w:val="16"/>
                                <w:rFonts w:cs="Arial"/>
                                <w:color w:themeColor="light1" w:val="FFFFFF"/>
                              </w:rPr>
                              <w:fldChar w:fldCharType="separate"/>
                            </w:r>
                            <w:r>
                              <w:rPr>
                                <w:sz w:val="16"/>
                                <w:b/>
                                <w:szCs w:val="16"/>
                                <w:rFonts w:cs="Arial"/>
                                <w:color w:themeColor="light1" w:val="FFFFFF"/>
                              </w:rPr>
                              <w:t>10</w:t>
                            </w:r>
                            <w:r>
                              <w:rPr>
                                <w:sz w:val="16"/>
                                <w:b/>
                                <w:szCs w:val="16"/>
                                <w:rFonts w:cs="Arial"/>
                                <w:color w:themeColor="light1" w:val="FFFFFF"/>
                              </w:rPr>
                              <w:fldChar w:fldCharType="end"/>
                            </w:r>
                            <w:r>
                              <w:rPr>
                                <w:rFonts w:cs="Arial"/>
                                <w:color w:themeColor="light1" w:val="FFFFFF"/>
                                <w:sz w:val="16"/>
                                <w:szCs w:val="16"/>
                              </w:rPr>
                              <w:t xml:space="preserve"> </w:t>
                            </w:r>
                            <w:r>
                              <w:rPr>
                                <w:rFonts w:cs="Arial"/>
                                <w:color w:themeColor="light1" w:val="FFFFFF"/>
                                <w:sz w:val="16"/>
                                <w:szCs w:val="16"/>
                              </w:rPr>
                              <w:t xml:space="preserve">of </w:t>
                            </w:r>
                            <w:r>
                              <w:rPr>
                                <w:rFonts w:cs="Arial"/>
                                <w:b/>
                                <w:color w:themeColor="light1" w:val="FFFFFF"/>
                                <w:sz w:val="16"/>
                                <w:szCs w:val="16"/>
                              </w:rPr>
                              <w:fldChar w:fldCharType="begin"/>
                            </w:r>
                            <w:r>
                              <w:rPr>
                                <w:sz w:val="16"/>
                                <w:b/>
                                <w:szCs w:val="16"/>
                                <w:rFonts w:cs="Arial"/>
                                <w:color w:themeColor="light1" w:val="FFFFFF"/>
                              </w:rPr>
                              <w:instrText xml:space="preserve"> NUMPAGES </w:instrText>
                            </w:r>
                            <w:r>
                              <w:rPr>
                                <w:sz w:val="16"/>
                                <w:b/>
                                <w:szCs w:val="16"/>
                                <w:rFonts w:cs="Arial"/>
                                <w:color w:themeColor="light1" w:val="FFFFFF"/>
                              </w:rPr>
                              <w:fldChar w:fldCharType="separate"/>
                            </w:r>
                            <w:r>
                              <w:rPr>
                                <w:sz w:val="16"/>
                                <w:b/>
                                <w:szCs w:val="16"/>
                                <w:rFonts w:cs="Arial"/>
                                <w:color w:themeColor="light1" w:val="FFFFFF"/>
                              </w:rPr>
                              <w:t>10</w:t>
                            </w:r>
                            <w:r>
                              <w:rPr>
                                <w:sz w:val="16"/>
                                <w:b/>
                                <w:szCs w:val="16"/>
                                <w:rFonts w:cs="Arial"/>
                                <w:color w:themeColor="light1" w:val="FFFFFF"/>
                              </w:rPr>
                              <w:fldChar w:fldCharType="end"/>
                            </w:r>
                          </w:p>
                        </w:txbxContent>
                      </wps:txbx>
                      <wps:bodyPr lIns="0" rIns="0" tIns="0" bIns="0" anchor="b">
                        <a:noAutofit/>
                      </wps:bodyPr>
                    </wps:wsp>
                    <pic:pic xmlns:pic="http://schemas.openxmlformats.org/drawingml/2006/picture">
                      <pic:nvPicPr>
                        <pic:cNvPr id="7" name="Picture 1880279804" descr="A blue circle with yellow and green logo&#10;&#10;Description automatically generated"/>
                        <pic:cNvPicPr/>
                      </pic:nvPicPr>
                      <pic:blipFill>
                        <a:blip r:embed="rId2"/>
                        <a:stretch/>
                      </pic:blipFill>
                      <pic:spPr>
                        <a:xfrm>
                          <a:off x="6989400" y="247680"/>
                          <a:ext cx="822960" cy="800280"/>
                        </a:xfrm>
                        <a:prstGeom prst="rect">
                          <a:avLst/>
                        </a:prstGeom>
                        <a:ln w="0">
                          <a:noFill/>
                        </a:ln>
                      </pic:spPr>
                    </pic:pic>
                    <pic:pic xmlns:pic="http://schemas.openxmlformats.org/drawingml/2006/picture">
                      <pic:nvPicPr>
                        <pic:cNvPr id="8" name="Picture 1007189068" descr=""/>
                        <pic:cNvPicPr/>
                      </pic:nvPicPr>
                      <pic:blipFill>
                        <a:blip r:embed="rId3"/>
                        <a:stretch/>
                      </pic:blipFill>
                      <pic:spPr>
                        <a:xfrm>
                          <a:off x="224280" y="501480"/>
                          <a:ext cx="1858680" cy="303480"/>
                        </a:xfrm>
                        <a:prstGeom prst="rect">
                          <a:avLst/>
                        </a:prstGeom>
                        <a:ln w="0">
                          <a:noFill/>
                        </a:ln>
                      </pic:spPr>
                    </pic:pic>
                  </wpg:wgp>
                </a:graphicData>
              </a:graphic>
            </wp:anchor>
          </w:drawing>
        </mc:Choice>
        <mc:Fallback>
          <w:pict>
            <v:group id="shape_0" alt="Group 1550630802" style="position:absolute;margin-left:0pt;margin-top:-17.5pt;width:615.15pt;height:82.5pt" coordorigin="0,-350" coordsize="12303,1650">
              <v:rect id="shape_0" ID="Rectangle 748855809" path="m0,0l-2147483645,0l-2147483645,-2147483646l0,-2147483646xe" fillcolor="#005faf" stroked="t" o:allowincell="f" style="position:absolute;left:0;top:-350;width:12239;height:1649;mso-wrap-style:square;v-text-anchor:bottom;mso-position-horizontal-relative:page">
                <v:fill o:detectmouseclick="t" type="solid" color2="#ffa050"/>
                <v:stroke color="#002348" weight="12600" joinstyle="miter" endcap="flat"/>
                <v:textbox>
                  <w:txbxContent>
                    <w:p>
                      <w:pPr>
                        <w:pStyle w:val="Normal"/>
                        <w:ind w:left="6480"/>
                        <w:jc w:val="center"/>
                        <w:rPr>
                          <w:lang w:val="fr-CA"/>
                        </w:rPr>
                      </w:pPr>
                      <w:hyperlink r:id="rId4">
                        <w:r>
                          <w:rPr>
                            <w:rStyle w:val="Hyperlink"/>
                            <w:color w:themeColor="hyperlink" w:val="0563C1"/>
                            <w:sz w:val="16"/>
                            <w:szCs w:val="16"/>
                            <w:u w:val="single"/>
                          </w:rPr>
                          <w:t>Latest</w:t>
                        </w:r>
                      </w:hyperlink>
                      <w:r>
                        <w:rPr>
                          <w:rStyle w:val="Hyperlink"/>
                          <w:color w:themeColor="light1" w:val="FFFFFF"/>
                          <w:sz w:val="16"/>
                          <w:szCs w:val="16"/>
                          <w:u w:val="none"/>
                        </w:rPr>
                        <w:t xml:space="preserve"> version November 2024</w:t>
                      </w:r>
                    </w:p>
                    <w:p>
                      <w:pPr>
                        <w:pStyle w:val="Normal"/>
                        <w:tabs>
                          <w:tab w:val="clear" w:pos="720"/>
                          <w:tab w:val="left" w:pos="3862" w:leader="none"/>
                          <w:tab w:val="center" w:pos="4680" w:leader="none"/>
                          <w:tab w:val="right" w:pos="9360" w:leader="none"/>
                        </w:tabs>
                        <w:ind w:right="543"/>
                        <w:jc w:val="right"/>
                        <w:rPr>
                          <w:rFonts w:cs="Arial"/>
                          <w:color w:themeColor="light1" w:val="FFFFFF"/>
                          <w:sz w:val="16"/>
                          <w:szCs w:val="16"/>
                        </w:rPr>
                      </w:pPr>
                      <w:r>
                        <w:rPr>
                          <w:rFonts w:cs="Arial"/>
                          <w:b/>
                          <w:color w:themeColor="light1" w:val="FFFFFF"/>
                          <w:sz w:val="16"/>
                          <w:szCs w:val="16"/>
                        </w:rPr>
                        <w:fldChar w:fldCharType="begin"/>
                      </w:r>
                      <w:r>
                        <w:rPr>
                          <w:sz w:val="16"/>
                          <w:b/>
                          <w:szCs w:val="16"/>
                          <w:rFonts w:cs="Arial"/>
                          <w:color w:themeColor="light1" w:val="FFFFFF"/>
                        </w:rPr>
                        <w:instrText xml:space="preserve"> PAGE </w:instrText>
                      </w:r>
                      <w:r>
                        <w:rPr>
                          <w:sz w:val="16"/>
                          <w:b/>
                          <w:szCs w:val="16"/>
                          <w:rFonts w:cs="Arial"/>
                          <w:color w:themeColor="light1" w:val="FFFFFF"/>
                        </w:rPr>
                        <w:fldChar w:fldCharType="separate"/>
                      </w:r>
                      <w:r>
                        <w:rPr>
                          <w:sz w:val="16"/>
                          <w:b/>
                          <w:szCs w:val="16"/>
                          <w:rFonts w:cs="Arial"/>
                          <w:color w:themeColor="light1" w:val="FFFFFF"/>
                        </w:rPr>
                        <w:t>10</w:t>
                      </w:r>
                      <w:r>
                        <w:rPr>
                          <w:sz w:val="16"/>
                          <w:b/>
                          <w:szCs w:val="16"/>
                          <w:rFonts w:cs="Arial"/>
                          <w:color w:themeColor="light1" w:val="FFFFFF"/>
                        </w:rPr>
                        <w:fldChar w:fldCharType="end"/>
                      </w:r>
                      <w:r>
                        <w:rPr>
                          <w:rFonts w:cs="Arial"/>
                          <w:color w:themeColor="light1" w:val="FFFFFF"/>
                          <w:sz w:val="16"/>
                          <w:szCs w:val="16"/>
                        </w:rPr>
                        <w:t xml:space="preserve"> </w:t>
                      </w:r>
                      <w:r>
                        <w:rPr>
                          <w:rFonts w:cs="Arial"/>
                          <w:color w:themeColor="light1" w:val="FFFFFF"/>
                          <w:sz w:val="16"/>
                          <w:szCs w:val="16"/>
                        </w:rPr>
                        <w:t xml:space="preserve">of </w:t>
                      </w:r>
                      <w:r>
                        <w:rPr>
                          <w:rFonts w:cs="Arial"/>
                          <w:b/>
                          <w:color w:themeColor="light1" w:val="FFFFFF"/>
                          <w:sz w:val="16"/>
                          <w:szCs w:val="16"/>
                        </w:rPr>
                        <w:fldChar w:fldCharType="begin"/>
                      </w:r>
                      <w:r>
                        <w:rPr>
                          <w:sz w:val="16"/>
                          <w:b/>
                          <w:szCs w:val="16"/>
                          <w:rFonts w:cs="Arial"/>
                          <w:color w:themeColor="light1" w:val="FFFFFF"/>
                        </w:rPr>
                        <w:instrText xml:space="preserve"> NUMPAGES </w:instrText>
                      </w:r>
                      <w:r>
                        <w:rPr>
                          <w:sz w:val="16"/>
                          <w:b/>
                          <w:szCs w:val="16"/>
                          <w:rFonts w:cs="Arial"/>
                          <w:color w:themeColor="light1" w:val="FFFFFF"/>
                        </w:rPr>
                        <w:fldChar w:fldCharType="separate"/>
                      </w:r>
                      <w:r>
                        <w:rPr>
                          <w:sz w:val="16"/>
                          <w:b/>
                          <w:szCs w:val="16"/>
                          <w:rFonts w:cs="Arial"/>
                          <w:color w:themeColor="light1" w:val="FFFFFF"/>
                        </w:rPr>
                        <w:t>10</w:t>
                      </w:r>
                      <w:r>
                        <w:rPr>
                          <w:sz w:val="16"/>
                          <w:b/>
                          <w:szCs w:val="16"/>
                          <w:rFonts w:cs="Arial"/>
                          <w:color w:themeColor="light1" w:val="FFFFFF"/>
                        </w:rPr>
                        <w:fldChar w:fldCharType="end"/>
                      </w:r>
                    </w:p>
                  </w:txbxContent>
                </v:textbox>
                <w10:wrap type="none"/>
              </v:rect>
              <v:shape id="shape_0" ID="Picture 1880279804" stroked="f" o:allowincell="f" style="position:absolute;left:11007;top:40;width:1295;height:1259;mso-wrap-style:none;v-text-anchor:middle;mso-position-horizontal-relative:page" type="_x0000_t75">
                <v:imagedata r:id="rId5" o:detectmouseclick="t"/>
                <v:stroke color="#3465a4" joinstyle="round" endcap="flat"/>
                <w10:wrap type="none"/>
              </v:shape>
              <v:shape id="shape_0" ID="Picture 1007189068" stroked="f" o:allowincell="f" style="position:absolute;left:353;top:440;width:2926;height:477;mso-wrap-style:none;v-text-anchor:middle;mso-position-horizontal-relative:page" type="_x0000_t75">
                <v:imagedata r:id="rId6" o:detectmouseclick="t"/>
                <v:stroke color="#3465a4" joinstyle="round" endcap="flat"/>
                <w10:wrap type="none"/>
              </v:shape>
            </v:group>
          </w:pict>
        </mc:Fallback>
      </mc:AlternateContent>
    </w:r>
    <w:r>
      <w:rPr/>
      <w:tab/>
    </w:r>
  </w:p>
  <w:p>
    <w:pPr>
      <w:pStyle w:val="Footer"/>
      <w:tabs>
        <w:tab w:val="clear" w:pos="4680"/>
        <w:tab w:val="clear" w:pos="9360"/>
        <w:tab w:val="left" w:pos="2461" w:leader="none"/>
      </w:tabs>
      <w:rPr/>
    </w:pPr>
    <w:r>
      <w:rPr/>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left"/>
      <w:tblInd w:w="0" w:type="dxa"/>
      <w:tblLayout w:type="fixed"/>
      <w:tblCellMar>
        <w:top w:w="0" w:type="dxa"/>
        <w:left w:w="108" w:type="dxa"/>
        <w:bottom w:w="0" w:type="dxa"/>
        <w:right w:w="108" w:type="dxa"/>
      </w:tblCellMar>
    </w:tblPr>
    <w:tblGrid>
      <w:gridCol w:w="3120"/>
      <w:gridCol w:w="3120"/>
      <w:gridCol w:w="3120"/>
    </w:tblGrid>
    <w:tr>
      <w:trPr>
        <w:trHeight w:val="300" w:hRule="atLeast"/>
      </w:trPr>
      <w:tc>
        <w:tcPr>
          <w:tcW w:w="3120" w:type="dxa"/>
          <w:tcBorders/>
        </w:tcPr>
        <w:p>
          <w:pPr>
            <w:pStyle w:val="Header"/>
            <w:ind w:left="-115"/>
            <w:rPr/>
          </w:pPr>
          <w:r>
            <w:rPr/>
          </w:r>
        </w:p>
      </w:tc>
      <w:tc>
        <w:tcPr>
          <w:tcW w:w="3120" w:type="dxa"/>
          <w:tcBorders/>
        </w:tcPr>
        <w:p>
          <w:pPr>
            <w:pStyle w:val="Header"/>
            <w:jc w:val="center"/>
            <w:rPr/>
          </w:pPr>
          <w:r>
            <w:rPr/>
          </w:r>
        </w:p>
      </w:tc>
      <w:tc>
        <w:tcPr>
          <w:tcW w:w="3120" w:type="dxa"/>
          <w:tcBorders/>
        </w:tcPr>
        <w:p>
          <w:pPr>
            <w:pStyle w:val="Header"/>
            <w:ind w:right="-115"/>
            <w:jc w:val="right"/>
            <w:rPr/>
          </w:pPr>
          <w:r>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1070" w:type="dxa"/>
      <w:jc w:val="left"/>
      <w:tblInd w:w="-515" w:type="dxa"/>
      <w:tblLayout w:type="fixed"/>
      <w:tblCellMar>
        <w:top w:w="72" w:type="dxa"/>
        <w:left w:w="115" w:type="dxa"/>
        <w:bottom w:w="29" w:type="dxa"/>
        <w:right w:w="115" w:type="dxa"/>
      </w:tblCellMar>
    </w:tblPr>
    <w:tblGrid>
      <w:gridCol w:w="6353"/>
      <w:gridCol w:w="4716"/>
    </w:tblGrid>
    <w:tr>
      <w:trPr>
        <w:trHeight w:val="458" w:hRule="atLeast"/>
      </w:trPr>
      <w:tc>
        <w:tcPr>
          <w:tcW w:w="6353" w:type="dxa"/>
          <w:tcBorders/>
          <w:vAlign w:val="bottom"/>
        </w:tcPr>
        <w:p>
          <w:pPr>
            <w:pStyle w:val="Normal"/>
            <w:tabs>
              <w:tab w:val="clear" w:pos="720"/>
              <w:tab w:val="center" w:pos="4680" w:leader="none"/>
              <w:tab w:val="right" w:pos="9360" w:leader="none"/>
            </w:tabs>
            <w:rPr>
              <w:color w:val="00B0F0"/>
              <w:sz w:val="32"/>
              <w:szCs w:val="32"/>
            </w:rPr>
          </w:pPr>
          <w:r>
            <w:rPr>
              <w:color w:val="00B0F0"/>
              <w:sz w:val="32"/>
              <w:szCs w:val="32"/>
            </w:rPr>
          </w:r>
        </w:p>
        <w:p>
          <w:pPr>
            <w:pStyle w:val="Normal"/>
            <w:tabs>
              <w:tab w:val="clear" w:pos="720"/>
              <w:tab w:val="center" w:pos="4680" w:leader="none"/>
              <w:tab w:val="right" w:pos="9360" w:leader="none"/>
            </w:tabs>
            <w:rPr>
              <w:sz w:val="32"/>
              <w:szCs w:val="32"/>
              <w:shd w:fill="FFFF00" w:val="clear"/>
            </w:rPr>
          </w:pPr>
          <w:r>
            <w:rPr>
              <w:sz w:val="32"/>
              <w:szCs w:val="32"/>
              <w:shd w:fill="FFFF00" w:val="clear"/>
            </w:rPr>
          </w:r>
        </w:p>
      </w:tc>
      <w:tc>
        <w:tcPr>
          <w:tcW w:w="4716" w:type="dxa"/>
          <w:tcBorders/>
          <w:tcMar>
            <w:bottom w:w="72" w:type="dxa"/>
          </w:tcMar>
          <w:vAlign w:val="bottom"/>
        </w:tcPr>
        <w:p>
          <w:pPr>
            <w:pStyle w:val="Normal"/>
            <w:tabs>
              <w:tab w:val="clear" w:pos="720"/>
              <w:tab w:val="left" w:pos="3862" w:leader="none"/>
              <w:tab w:val="center" w:pos="4680" w:leader="none"/>
              <w:tab w:val="right" w:pos="9360" w:leader="none"/>
            </w:tabs>
            <w:ind w:hanging="851" w:left="-432" w:right="543"/>
            <w:jc w:val="center"/>
            <w:rPr>
              <w:rFonts w:cs="Arial"/>
              <w:color w:themeColor="light1" w:val="FFFFFF"/>
              <w:sz w:val="32"/>
              <w:szCs w:val="32"/>
            </w:rPr>
          </w:pPr>
          <w:r>
            <w:rPr>
              <w:rFonts w:cs="Arial"/>
              <w:color w:themeColor="light1" w:val="FFFFFF"/>
              <w:sz w:val="32"/>
              <w:szCs w:val="32"/>
            </w:rPr>
          </w:r>
        </w:p>
      </w:tc>
    </w:tr>
  </w:tbl>
  <w:p>
    <w:pPr>
      <w:pStyle w:val="Footer"/>
      <w:tabs>
        <w:tab w:val="clear" w:pos="4680"/>
        <w:tab w:val="clear" w:pos="9360"/>
        <w:tab w:val="left" w:pos="8402" w:leader="none"/>
      </w:tabs>
      <w:rPr/>
    </w:pPr>
    <w:r>
      <w:rPr/>
      <w:tab/>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behindDoc="1" distT="6985" distB="5715" distL="6350" distR="6350" simplePos="0" locked="0" layoutInCell="0" allowOverlap="1" relativeHeight="2">
              <wp:simplePos x="0" y="0"/>
              <wp:positionH relativeFrom="page">
                <wp:posOffset>-101600</wp:posOffset>
              </wp:positionH>
              <wp:positionV relativeFrom="paragraph">
                <wp:posOffset>-463550</wp:posOffset>
              </wp:positionV>
              <wp:extent cx="7884160" cy="1349375"/>
              <wp:effectExtent l="6350" t="6985" r="6350" b="5715"/>
              <wp:wrapNone/>
              <wp:docPr id="1" name="Group 1322014107"/>
              <a:graphic xmlns:a="http://schemas.openxmlformats.org/drawingml/2006/main">
                <a:graphicData uri="http://schemas.microsoft.com/office/word/2010/wordprocessingGroup">
                  <wpg:wgp>
                    <wpg:cNvGrpSpPr/>
                    <wpg:grpSpPr>
                      <a:xfrm>
                        <a:off x="0" y="0"/>
                        <a:ext cx="7884000" cy="1349280"/>
                        <a:chOff x="0" y="0"/>
                        <a:chExt cx="7884000" cy="1349280"/>
                      </a:xfrm>
                    </wpg:grpSpPr>
                    <wps:wsp>
                      <wps:cNvPr id="2" name="Rectangle 748855809"/>
                      <wps:cNvSpPr/>
                      <wps:spPr>
                        <a:xfrm>
                          <a:off x="0" y="0"/>
                          <a:ext cx="7884000" cy="1349280"/>
                        </a:xfrm>
                        <a:prstGeom prst="rect">
                          <a:avLst/>
                        </a:prstGeom>
                        <a:solidFill>
                          <a:srgbClr val="005faf"/>
                        </a:solidFill>
                        <a:ln w="12600">
                          <a:solidFill>
                            <a:srgbClr val="002348"/>
                          </a:solidFill>
                          <a:miter/>
                        </a:ln>
                      </wps:spPr>
                      <wps:style>
                        <a:lnRef idx="0"/>
                        <a:fillRef idx="0"/>
                        <a:effectRef idx="0"/>
                        <a:fontRef idx="minor"/>
                      </wps:style>
                      <wps:txbx>
                        <w:txbxContent>
                          <w:p>
                            <w:pPr>
                              <w:pStyle w:val="Normal"/>
                              <w:jc w:val="center"/>
                              <w:rPr>
                                <w:b/>
                                <w:bCs/>
                                <w:color w:themeColor="light1" w:val="FFFFFF"/>
                                <w:sz w:val="36"/>
                                <w:szCs w:val="36"/>
                                <w:lang w:val="fr-CA"/>
                              </w:rPr>
                            </w:pPr>
                            <w:r>
                              <w:rPr>
                                <w:b/>
                                <w:bCs/>
                                <w:color w:themeColor="light1" w:val="FFFFFF"/>
                                <w:sz w:val="36"/>
                                <w:szCs w:val="36"/>
                                <w:lang w:val="fr-CA"/>
                              </w:rPr>
                              <w:t>Globalink Research Award Proposal</w:t>
                            </w:r>
                          </w:p>
                        </w:txbxContent>
                      </wps:txbx>
                      <wps:bodyPr lIns="0" rIns="0" tIns="0" bIns="0" anchor="b">
                        <a:noAutofit/>
                      </wps:bodyPr>
                    </wps:wsp>
                    <pic:pic xmlns:pic="http://schemas.openxmlformats.org/drawingml/2006/picture">
                      <pic:nvPicPr>
                        <pic:cNvPr id="3" name="Picture 1880279804" descr="A blue circle with yellow and green logo&#10;&#10;Description automatically generated"/>
                        <pic:cNvPicPr/>
                      </pic:nvPicPr>
                      <pic:blipFill>
                        <a:blip r:embed="rId1"/>
                        <a:stretch/>
                      </pic:blipFill>
                      <pic:spPr>
                        <a:xfrm>
                          <a:off x="6696000" y="45000"/>
                          <a:ext cx="994320" cy="1157040"/>
                        </a:xfrm>
                        <a:prstGeom prst="rect">
                          <a:avLst/>
                        </a:prstGeom>
                        <a:ln w="0">
                          <a:noFill/>
                        </a:ln>
                      </pic:spPr>
                    </pic:pic>
                    <pic:pic xmlns:pic="http://schemas.openxmlformats.org/drawingml/2006/picture">
                      <pic:nvPicPr>
                        <pic:cNvPr id="4" name="Picture 1007189068" descr=""/>
                        <pic:cNvPicPr/>
                      </pic:nvPicPr>
                      <pic:blipFill>
                        <a:blip r:embed="rId2"/>
                        <a:stretch/>
                      </pic:blipFill>
                      <pic:spPr>
                        <a:xfrm>
                          <a:off x="344880" y="373320"/>
                          <a:ext cx="2335680" cy="410760"/>
                        </a:xfrm>
                        <a:prstGeom prst="rect">
                          <a:avLst/>
                        </a:prstGeom>
                        <a:ln w="0">
                          <a:noFill/>
                        </a:ln>
                      </pic:spPr>
                    </pic:pic>
                  </wpg:wgp>
                </a:graphicData>
              </a:graphic>
            </wp:anchor>
          </w:drawing>
        </mc:Choice>
        <mc:Fallback>
          <w:pict>
            <v:group id="shape_0" alt="Group 1322014107" style="position:absolute;margin-left:-8pt;margin-top:-36.5pt;width:620.8pt;height:106.25pt" coordorigin="-160,-730" coordsize="12416,2125">
              <v:rect id="shape_0" ID="Rectangle 748855809" path="m0,0l-2147483645,0l-2147483645,-2147483646l0,-2147483646xe" fillcolor="#005faf" stroked="t" o:allowincell="f" style="position:absolute;left:-160;top:-730;width:12415;height:2124;mso-wrap-style:square;v-text-anchor:bottom;mso-position-horizontal-relative:page">
                <v:fill o:detectmouseclick="t" type="solid" color2="#ffa050"/>
                <v:stroke color="#002348" weight="12600" joinstyle="miter" endcap="flat"/>
                <v:textbox>
                  <w:txbxContent>
                    <w:p>
                      <w:pPr>
                        <w:pStyle w:val="Normal"/>
                        <w:jc w:val="center"/>
                        <w:rPr>
                          <w:b/>
                          <w:bCs/>
                          <w:color w:themeColor="light1" w:val="FFFFFF"/>
                          <w:sz w:val="36"/>
                          <w:szCs w:val="36"/>
                          <w:lang w:val="fr-CA"/>
                        </w:rPr>
                      </w:pPr>
                      <w:r>
                        <w:rPr>
                          <w:b/>
                          <w:bCs/>
                          <w:color w:themeColor="light1" w:val="FFFFFF"/>
                          <w:sz w:val="36"/>
                          <w:szCs w:val="36"/>
                          <w:lang w:val="fr-CA"/>
                        </w:rPr>
                        <w:t>Globalink Research Award Proposal</w:t>
                      </w:r>
                    </w:p>
                  </w:txbxContent>
                </v:textbox>
                <w10:wrap type="non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880279804" stroked="f" o:allowincell="f" style="position:absolute;left:10385;top:-659;width:1565;height:1821;mso-wrap-style:none;v-text-anchor:middle;mso-position-horizontal-relative:page" type="_x0000_t75">
                <v:imagedata r:id="rId3" o:detectmouseclick="t"/>
                <v:stroke color="#3465a4" joinstyle="round" endcap="flat"/>
                <w10:wrap type="none"/>
              </v:shape>
              <v:shape id="shape_0" ID="Picture 1007189068" stroked="f" o:allowincell="f" style="position:absolute;left:383;top:-142;width:3677;height:646;mso-wrap-style:none;v-text-anchor:middle;mso-position-horizontal-relative:page" type="_x0000_t75">
                <v:imagedata r:id="rId4" o:detectmouseclick="t"/>
                <v:stroke color="#3465a4" joinstyle="round" endcap="flat"/>
                <w10:wrap type="none"/>
              </v:shape>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 w:eastAsia="" w:bidi=""/>
  <w:docVars>
    <w:docVar w:name="dgnword-docGUID" w:val="{D4712DB1-7589-42A5-A0A1-039E00D974D9}"/>
    <w:docVar w:name="dgnword-eventsink" w:val="304392517939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sz w:val="22"/>
        <w:szCs w:val="22"/>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40" w:before="0" w:after="0"/>
      <w:jc w:val="left"/>
    </w:pPr>
    <w:rPr>
      <w:rFonts w:ascii="Calibri" w:hAnsi="Calibri" w:eastAsia="Calibri" w:cs="Arial"/>
      <w:color w:val="auto"/>
      <w:kern w:val="0"/>
      <w:sz w:val="22"/>
      <w:szCs w:val="22"/>
      <w:lang w:val="en-CA" w:eastAsia="en-US" w:bidi="ar-SA"/>
    </w:rPr>
  </w:style>
  <w:style w:type="paragraph" w:styleId="Heading1">
    <w:name w:val="Heading 1"/>
    <w:basedOn w:val="Normal"/>
    <w:next w:val="Normal"/>
    <w:link w:val="Heading1Char"/>
    <w:qFormat/>
    <w:pPr>
      <w:keepNext w:val="true"/>
      <w:keepLines/>
      <w:numPr>
        <w:ilvl w:val="0"/>
        <w:numId w:val="0"/>
      </w:numPr>
      <w:spacing w:before="240" w:after="0"/>
      <w:outlineLvl w:val="0"/>
    </w:pPr>
    <w:rPr>
      <w:rFonts w:ascii="Calibri Light" w:hAnsi="Calibri Light" w:eastAsia="ＭＳ ゴシック" w:cs="Times New Roman"/>
      <w:color w:themeColor="accent1" w:themeShade="bf" w:val="2F5496"/>
      <w:sz w:val="32"/>
      <w:szCs w:val="32"/>
    </w:rPr>
  </w:style>
  <w:style w:type="paragraph" w:styleId="Heading3">
    <w:name w:val="Heading 3"/>
    <w:basedOn w:val="Normal"/>
    <w:next w:val="Normal"/>
    <w:link w:val="Heading3Char"/>
    <w:qFormat/>
    <w:pPr>
      <w:keepNext w:val="true"/>
      <w:keepLines/>
      <w:numPr>
        <w:ilvl w:val="0"/>
        <w:numId w:val="0"/>
      </w:numPr>
      <w:spacing w:before="40" w:after="0"/>
      <w:outlineLvl w:val="2"/>
    </w:pPr>
    <w:rPr>
      <w:rFonts w:ascii="Calibri Light" w:hAnsi="Calibri Light" w:eastAsia="ＭＳ ゴシック" w:cs="Times New Roman"/>
      <w:color w:themeColor="accent1" w:themeShade="7f" w:val="1F3763"/>
      <w:sz w:val="24"/>
      <w:szCs w:val="24"/>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ListParagraphChar">
    <w:name w:val="List Paragraph Char"/>
    <w:basedOn w:val="DefaultParagraphFont"/>
    <w:link w:val="ListParagraph"/>
    <w:qFormat/>
    <w:rPr>
      <w:lang w:val="en-CA"/>
    </w:rPr>
  </w:style>
  <w:style w:type="character" w:styleId="annotationreference">
    <w:name w:val="annotation reference"/>
    <w:basedOn w:val="DefaultParagraphFont"/>
    <w:qFormat/>
    <w:rPr>
      <w:sz w:val="16"/>
      <w:szCs w:val="16"/>
    </w:rPr>
  </w:style>
  <w:style w:type="character" w:styleId="CommentTextChar">
    <w:name w:val="Comment Text Char"/>
    <w:basedOn w:val="DefaultParagraphFont"/>
    <w:link w:val="AnnotationText"/>
    <w:qFormat/>
    <w:rPr>
      <w:sz w:val="20"/>
      <w:szCs w:val="20"/>
      <w:lang w:val="en-CA"/>
    </w:rPr>
  </w:style>
  <w:style w:type="character" w:styleId="Mention">
    <w:name w:val="Mention"/>
    <w:basedOn w:val="DefaultParagraphFont"/>
    <w:qFormat/>
    <w:rPr>
      <w:color w:val="2B579A"/>
      <w:shd w:fill="E1DFDD" w:val="clear"/>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normaltextrun">
    <w:name w:val="normaltextrun"/>
    <w:basedOn w:val="DefaultParagraphFont"/>
    <w:qFormat/>
    <w:rPr/>
  </w:style>
  <w:style w:type="character" w:styleId="eop">
    <w:name w:val="eop"/>
    <w:basedOn w:val="DefaultParagraphFont"/>
    <w:qFormat/>
    <w:rPr/>
  </w:style>
  <w:style w:type="character" w:styleId="CommentSubjectChar">
    <w:name w:val="Comment Subject Char"/>
    <w:basedOn w:val="CommentTextChar"/>
    <w:link w:val="annotationsubject"/>
    <w:qFormat/>
    <w:rPr>
      <w:b/>
      <w:bCs/>
      <w:sz w:val="20"/>
      <w:szCs w:val="20"/>
      <w:lang w:val="en-CA"/>
    </w:rPr>
  </w:style>
  <w:style w:type="character" w:styleId="FollowedHyperlink">
    <w:name w:val="FollowedHyperlink"/>
    <w:basedOn w:val="DefaultParagraphFont"/>
    <w:rPr>
      <w:color w:themeColor="followedHyperlink" w:val="954F72"/>
      <w:u w:val="single"/>
    </w:rPr>
  </w:style>
  <w:style w:type="character" w:styleId="Heading1Char">
    <w:name w:val="Heading 1 Char"/>
    <w:basedOn w:val="DefaultParagraphFont"/>
    <w:link w:val="Heading1"/>
    <w:qFormat/>
    <w:rPr>
      <w:rFonts w:ascii="Calibri Light" w:hAnsi="Calibri Light" w:eastAsia="ＭＳ ゴシック" w:cs="Times New Roman"/>
      <w:color w:themeColor="accent1" w:themeShade="bf" w:val="2F5496"/>
      <w:sz w:val="32"/>
      <w:szCs w:val="32"/>
      <w:lang w:val="en-CA"/>
    </w:rPr>
  </w:style>
  <w:style w:type="character" w:styleId="Heading3Char">
    <w:name w:val="Heading 3 Char"/>
    <w:basedOn w:val="DefaultParagraphFont"/>
    <w:link w:val="Heading3"/>
    <w:qFormat/>
    <w:rPr>
      <w:rFonts w:ascii="Calibri Light" w:hAnsi="Calibri Light" w:eastAsia="ＭＳ ゴシック" w:cs="Times New Roman"/>
      <w:color w:themeColor="accent1" w:themeShade="7f" w:val="1F3763"/>
      <w:sz w:val="24"/>
      <w:szCs w:val="24"/>
      <w:lang w:val="en-CA"/>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pPr>
    <w:rPr/>
  </w:style>
  <w:style w:type="paragraph" w:styleId="Footer">
    <w:name w:val="Footer"/>
    <w:basedOn w:val="Normal"/>
    <w:link w:val="FooterChar"/>
    <w:pPr>
      <w:tabs>
        <w:tab w:val="clear" w:pos="720"/>
        <w:tab w:val="center" w:pos="4680" w:leader="none"/>
        <w:tab w:val="right" w:pos="9360" w:leader="none"/>
      </w:tabs>
    </w:pPr>
    <w:rPr/>
  </w:style>
  <w:style w:type="paragraph" w:styleId="Header-titlefirstpage">
    <w:name w:val="Header-title (first page)"/>
    <w:basedOn w:val="Normal"/>
    <w:qFormat/>
    <w:pPr>
      <w:spacing w:lineRule="auto" w:line="276" w:before="120" w:after="0"/>
      <w:jc w:val="right"/>
    </w:pPr>
    <w:rPr>
      <w:rFonts w:ascii="Century Gothic" w:hAnsi="Century Gothic" w:eastAsia="ＭＳ ゴシック" w:cs="Times New Roman"/>
      <w:b/>
      <w:bCs/>
      <w:color w:themeColor="light1" w:val="FFFFFF"/>
      <w:sz w:val="24"/>
      <w:szCs w:val="24"/>
    </w:rPr>
  </w:style>
  <w:style w:type="paragraph" w:styleId="Header-datefirstpage">
    <w:name w:val="Header-date (first page)"/>
    <w:basedOn w:val="Normal"/>
    <w:qFormat/>
    <w:pPr>
      <w:spacing w:lineRule="auto" w:line="276"/>
      <w:jc w:val="right"/>
    </w:pPr>
    <w:rPr>
      <w:rFonts w:ascii="Arial" w:hAnsi="Arial" w:eastAsia="Calibri" w:cs="Arial"/>
      <w:bCs/>
      <w:color w:themeColor="light1" w:val="FFFFFF"/>
      <w:sz w:val="18"/>
      <w:szCs w:val="18"/>
    </w:rPr>
  </w:style>
  <w:style w:type="paragraph" w:styleId="ListParagraph">
    <w:name w:val="List Paragraph"/>
    <w:basedOn w:val="Normal"/>
    <w:link w:val="ListParagraphChar"/>
    <w:qFormat/>
    <w:pPr>
      <w:spacing w:before="0" w:after="0"/>
      <w:ind w:left="720"/>
      <w:contextualSpacing/>
    </w:pPr>
    <w:rPr/>
  </w:style>
  <w:style w:type="paragraph" w:styleId="AnnotationText">
    <w:name w:val="Annotation Text"/>
    <w:basedOn w:val="Normal"/>
    <w:link w:val="CommentTextChar"/>
    <w:pPr/>
    <w:rPr>
      <w:sz w:val="20"/>
      <w:szCs w:val="20"/>
    </w:rPr>
  </w:style>
  <w:style w:type="paragraph" w:styleId="annotationsubject">
    <w:name w:val="annotation subject"/>
    <w:basedOn w:val="AnnotationText"/>
    <w:next w:val="AnnotationText"/>
    <w:link w:val="CommentSubjectChar"/>
    <w:qFormat/>
    <w:pPr/>
    <w:rPr>
      <w:b/>
      <w:bCs/>
    </w:rPr>
  </w:style>
  <w:style w:type="paragraph" w:styleId="Revision">
    <w:name w:val="Revision"/>
    <w:qFormat/>
    <w:pPr>
      <w:widowControl/>
      <w:suppressAutoHyphens w:val="true"/>
      <w:overflowPunct w:val="false"/>
      <w:bidi w:val="0"/>
      <w:spacing w:lineRule="auto" w:line="240" w:before="0" w:after="0"/>
      <w:jc w:val="left"/>
    </w:pPr>
    <w:rPr>
      <w:rFonts w:ascii="Calibri" w:hAnsi="Calibri" w:eastAsia="Calibri" w:cs="Arial"/>
      <w:color w:val="auto"/>
      <w:kern w:val="0"/>
      <w:sz w:val="22"/>
      <w:szCs w:val="22"/>
      <w:lang w:val="en-CA" w:eastAsia="en-US" w:bidi="ar-SA"/>
    </w:rPr>
  </w:style>
  <w:style w:type="paragraph" w:styleId="NormalWeb">
    <w:name w:val="Normal (Web)"/>
    <w:basedOn w:val="Normal"/>
    <w:qFormat/>
    <w:pPr>
      <w:spacing w:before="280" w:after="280"/>
    </w:pPr>
    <w:rPr>
      <w:rFonts w:ascii="Times New Roman" w:hAnsi="Times New Roman" w:eastAsia="Times New Roman" w:cs="Times New Roman"/>
      <w:sz w:val="24"/>
      <w:szCs w:val="24"/>
      <w:lang w:eastAsia="en-C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mitacs.ca/about/policies/"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hyperlink" Target="http://www.mitacs.ca/" TargetMode="Externa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www.mitacs.ca/" TargetMode="External"/><Relationship Id="rId5" Type="http://schemas.openxmlformats.org/officeDocument/2006/relationships/image" Target="media/image1.png"/><Relationship Id="rId6"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1.png"/><Relationship Id="rId4"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849</TotalTime>
  <Application>LibreOffice/24.2.7.2$Linux_X86_64 LibreOffice_project/420$Build-2</Application>
  <AppVersion>15.0000</AppVersion>
  <Pages>10</Pages>
  <Words>3708</Words>
  <Characters>23923</Characters>
  <CharactersWithSpaces>27335</CharactersWithSpaces>
  <Paragraphs>221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2024-11-25T20:02:00Z</dcterms:created>
  <dc:creator>Francoise Yesaya Keddy</dc:creator>
  <dc:description/>
  <dc:language>en-US</dc:language>
  <cp:lastModifiedBy/>
  <dcterms:modified xsi:type="dcterms:W3CDTF">2026-04-21T17:00:36Z</dcterms:modified>
  <cp:revision>100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0x010100FDEB8A093838EB4C9C603233601EC5D6</vt:lpwstr>
  </property>
  <property fmtid="{D5CDD505-2E9C-101B-9397-08002B2CF9AE}" pid="4" name="MediaServiceImageTags">
    <vt:lpwstr/>
  </property>
  <property fmtid="{D5CDD505-2E9C-101B-9397-08002B2CF9AE}" pid="5" name="Order">
    <vt:r8>506900</vt:r8>
  </property>
  <property fmtid="{D5CDD505-2E9C-101B-9397-08002B2CF9AE}" pid="6" name="ProgramTypes">
    <vt:lpwstr/>
  </property>
  <property fmtid="{D5CDD505-2E9C-101B-9397-08002B2CF9AE}" pid="7" name="SharedWithUsers">
    <vt:lpwstr>493;#Dorine Rossetto</vt:lpwstr>
  </property>
  <property fmtid="{D5CDD505-2E9C-101B-9397-08002B2CF9AE}" pid="8" name="TemplateUrl">
    <vt:lpwstr/>
  </property>
  <property fmtid="{D5CDD505-2E9C-101B-9397-08002B2CF9AE}" pid="9" name="TriggerFlowInfo">
    <vt:lpwstr/>
  </property>
  <property fmtid="{D5CDD505-2E9C-101B-9397-08002B2CF9AE}" pid="10" name="_ExtendedDescription">
    <vt:lpwstr/>
  </property>
  <property fmtid="{D5CDD505-2E9C-101B-9397-08002B2CF9AE}" pid="11" name="xd_ProgID">
    <vt:lpwstr/>
  </property>
  <property fmtid="{D5CDD505-2E9C-101B-9397-08002B2CF9AE}" pid="12" name="xd_Signature">
    <vt:bool>0</vt:bool>
  </property>
</Properties>
</file>