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D5" w:rsidRPr="00B116D5" w:rsidRDefault="00B116D5" w:rsidP="00B116D5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FR"/>
        </w:rPr>
      </w:pPr>
      <w:r w:rsidRPr="00B116D5">
        <w:rPr>
          <w:rFonts w:ascii="Arial Black" w:eastAsia="Times New Roman" w:hAnsi="Arial Black" w:cs="Times New Roman"/>
          <w:b/>
          <w:bCs/>
          <w:color w:val="000080"/>
          <w:kern w:val="36"/>
          <w:sz w:val="48"/>
          <w:szCs w:val="48"/>
          <w:shd w:val="clear" w:color="auto" w:fill="FFFF00"/>
          <w:lang w:eastAsia="fr-FR"/>
        </w:rPr>
        <w:t>Antigone : résumé préparé par Yassine Qassemi</w:t>
      </w:r>
    </w:p>
    <w:p w:rsidR="00B116D5" w:rsidRPr="00B116D5" w:rsidRDefault="00B116D5" w:rsidP="00B116D5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FR"/>
        </w:rPr>
      </w:pPr>
      <w:r w:rsidRPr="00B116D5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FR"/>
        </w:rPr>
        <w:t>(</w:t>
      </w:r>
      <w:proofErr w:type="gramStart"/>
      <w:r w:rsidRPr="00B116D5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FR"/>
        </w:rPr>
        <w:t>le</w:t>
      </w:r>
      <w:proofErr w:type="gramEnd"/>
      <w:r w:rsidRPr="00B116D5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FR"/>
        </w:rPr>
        <w:t xml:space="preserve"> Samedi 18/08/2012)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prologue : présentation des personnages, leurs rôles et leurs caractéristiques – résumé de l’histoire des deux frères qui se sont entretués après la mort de leur père « Œdipe »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la nourrice : la nourrice adresse des reproches à Antigone qui est sortie à 4 heures du matin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Antigone, la nourrice et Ismène : la nourrice s’est fâchée car les deux princesses se sont levées très tôt, mais Antigone l’a rassurée et lui a demandé du café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Ismène : Ismène essaie de convaincre Antigone afin de renoncer à son projet qui est l’enterrement de leur frère « Polynice ». Mais Antigone n’a qu’une seule idée en tête : « refuser et mourir » et qu’elle compte mettre en pratique coûte que coûte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la nourrice : Antigone se confie corps et âme à la nourrice pour être  réconfortée – Antigone dévoile son projet d’une façon implicite mais la nourrice ne comprend rien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Hémon : Antigone demande pardon à Hémon pour leur dispute de la veille et pour tout, puis elle veut s’assurer de son amour, et enfin, elle lui annonce subitement qu’elle ne pourrait plus l’épouser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Ismène : Ismène revient en scène pour persuader sa sœur  (en employant des arguments affectifs)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 et le garde Jonas : après que les trois gardes ont tiré au sort, Jonas vient annoncer à Créon que quelqu’un a couvert le corps de Polynice ; Créon lui demande de rester au silence de crainte que la nouvelle se propage dans la ville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chœur : le chœur intervient pour commenter les scènes de cette pièce ; il explique aux spectateurs la différence entre le drame et la tragédie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Antigone et les trois gardes : cette scène montre l’ignoble classe à laquelle appartiennent les trois gardes qui n’ont pas </w:t>
      </w:r>
      <w:proofErr w:type="gramStart"/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leurs place</w:t>
      </w:r>
      <w:proofErr w:type="gramEnd"/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dans la tragédie définie comme une pièce qui met en scène des personnages nobles. Et révèle également que ces auxiliaires de la justice  sont indifférents à la souffrance de </w:t>
      </w:r>
      <w:proofErr w:type="gramStart"/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la héroïne</w:t>
      </w:r>
      <w:proofErr w:type="gramEnd"/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Créon, le garde et Antigone : le garde explique à Créon comment ils ont arrêté Antigone. Cette dernière a reconnu son acte sans hésitation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Antigone et Créon : Créon veut s’assurer si quelqu’un sait ce que Antigone a fait – Créon essaie de découvrir les raisons qui ont poussé Antigone à enterrer son frère – Créon raconte à Antigone l’histoire de </w:t>
      </w: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>ses deux frères – Créon a convaincu Antigone, mais il a prononcé le mot « bonheur » qui a détruit tout ce qu’il a bâti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Antigone, Créon et Ismène : Ismène veut mourir avec Antigone, mais cette dernière refuse de partager son héroïsme avec autrui – Créon appelle les gardes et leur demande d’emmener Antigone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 et le Chœur : Créon utilise le temps de l’imparfait en parlant d’Antigone et il s’est assuré qu’elle était faite pour être morte et que Polynice n’était qu’un prétexte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Créon, le choeur et Hémon : Hémon demande à son père de sauver sa fiancée Antigone – le chœur intervient en faveur d’Hémon, mais Créon avoue qu’il est incapable de faire quelque chose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Antigone et le garde : le garde est indifférent aux souffrances d’Antigone : il ne parle que de son grade et il parle d’Antigone comme s’il parle d’une autre personne  - Antigone demande au garde de lui écrire une lettre à Hémon ; dans cette lettre Antigone avoue que Créon avait raison, qu’elle a peur et qu’elle ne sait pas pourquoi elle meurt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choeur et le messager : le messager annonce la mort d’Antigone et d’Hémon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 et le chœur : le chœur annonce la mort d’Eurydice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Créon et le page : Créon montre son courage de poursuivre son travail bien qu’il (son travail) soit ignoble</w:t>
      </w:r>
    </w:p>
    <w:p w:rsidR="00B116D5" w:rsidRPr="00B116D5" w:rsidRDefault="00B116D5" w:rsidP="00B116D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B116D5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 chœur : le chœur conclut la pièce en donnant un commentaire général</w:t>
      </w:r>
    </w:p>
    <w:p w:rsidR="006F115F" w:rsidRDefault="00B116D5" w:rsidP="00B116D5">
      <w:r w:rsidRPr="00B116D5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br/>
        <w:t>En savoir plus sur http://yassinekasmi.e-monsite.com/pages/1ere-annee-bac/antigone-resume-18-08-2012.html#THSKsq3EO2U3GDWK.99</w:t>
      </w:r>
      <w:bookmarkStart w:id="0" w:name="_GoBack"/>
      <w:bookmarkEnd w:id="0"/>
    </w:p>
    <w:sectPr w:rsidR="006F1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4F4"/>
    <w:multiLevelType w:val="multilevel"/>
    <w:tmpl w:val="F280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5"/>
    <w:rsid w:val="006F115F"/>
    <w:rsid w:val="00B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1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6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B116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1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6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B11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Elidrissi</dc:creator>
  <cp:lastModifiedBy>Elidrissi</cp:lastModifiedBy>
  <cp:revision>1</cp:revision>
  <dcterms:created xsi:type="dcterms:W3CDTF">2016-05-12T21:23:00Z</dcterms:created>
  <dcterms:modified xsi:type="dcterms:W3CDTF">2016-05-12T21:24:00Z</dcterms:modified>
</cp:coreProperties>
</file>