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Anat Achiron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System for Award Management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  <w:tr>
        <w:tc>
          <w:tcPr>
            <w:tcW w:type="dxa" w:w="4320"/>
          </w:tcPr>
          <w:p>
            <w:r>
              <w:t>Office of Research Integrity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  <w:br/>
      </w:r>
    </w:p>
    <w:p>
      <w:r>
        <w:t>Once the debarment check has been completed, upload this document to the appropriate record in Datavision.</w:t>
        <w:br/>
      </w:r>
    </w:p>
    <w:p>
      <w:r>
        <w:t>Debarment check completed by:</w:t>
        <w:br/>
      </w:r>
      <w:r>
        <w:rPr>
          <w:b/>
        </w:rPr>
        <w:t>Debarment</w:t>
      </w:r>
    </w:p>
    <w:p>
      <w:r>
        <w:t>Date check completed: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52442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44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