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Elisabeth Celius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31-October-2019 14:55:27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041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lius_Elisabe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