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BRIGHTWATER BUILDERS GROUP, INC.</w:t>
      </w:r>
    </w:p>
    <w:p>
      <w:pPr>
        <w:jc w:val="center"/>
      </w:pPr>
      <w:r>
        <w:rPr>
          <w:sz w:val="28"/>
        </w:rPr>
        <w:t>Corporate Safety &amp; Health Program Manual</w:t>
      </w:r>
    </w:p>
    <w:p>
      <w:pPr>
        <w:jc w:val="center"/>
      </w:pPr>
      <w:r>
        <w:rPr>
          <w:i/>
        </w:rPr>
        <w:t>Revision 7  |  Effective March 1, 2025  |  Owner: Director of Safety &amp; Health</w:t>
      </w:r>
    </w:p>
    <w:p/>
    <w:p>
      <w:pPr>
        <w:pStyle w:val="Heading2"/>
      </w:pPr>
      <w:r>
        <w:t>Revision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Rev</w:t>
            </w:r>
          </w:p>
        </w:tc>
        <w:tc>
          <w:tcPr>
            <w:tcW w:type="dxa" w:w="3120"/>
          </w:tcPr>
          <w:p>
            <w:r>
              <w:t>Date</w:t>
            </w:r>
          </w:p>
        </w:tc>
        <w:tc>
          <w:tcPr>
            <w:tcW w:type="dxa" w:w="3120"/>
          </w:tcPr>
          <w:p>
            <w:r>
              <w:t>Summary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2022-01-10</w:t>
            </w:r>
          </w:p>
        </w:tc>
        <w:tc>
          <w:tcPr>
            <w:tcW w:type="dxa" w:w="3120"/>
          </w:tcPr>
          <w:p>
            <w:r>
              <w:t>Added silica section (Table 1)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2023-06-01</w:t>
            </w:r>
          </w:p>
        </w:tc>
        <w:tc>
          <w:tcPr>
            <w:tcW w:type="dxa" w:w="3120"/>
          </w:tcPr>
          <w:p>
            <w:r>
              <w:t>Fall protection raised to 6 ft for all trades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2025-03-01</w:t>
            </w:r>
          </w:p>
        </w:tc>
        <w:tc>
          <w:tcPr>
            <w:tcW w:type="dxa" w:w="3120"/>
          </w:tcPr>
          <w:p>
            <w:r>
              <w:t>Added healthcare infection control and ILSM; ladder policy; stop work restart rule</w:t>
            </w:r>
          </w:p>
        </w:tc>
      </w:tr>
    </w:tbl>
    <w:p/>
    <w:p>
      <w:r>
        <w:t>This manual applies to Brightwater employees and to every subcontractor of any tier working on a Brightwater project. Subcontract Exhibit D incorporates it by reference.</w:t>
      </w:r>
    </w:p>
    <w:p>
      <w:pPr>
        <w:pStyle w:val="Heading1"/>
      </w:pPr>
      <w:r>
        <w:t>Section 1. Policy and Responsibilities</w:t>
      </w:r>
    </w:p>
    <w:p>
      <w:r>
        <w:rPr>
          <w:b/>
        </w:rPr>
        <w:t xml:space="preserve">1.1  </w:t>
      </w:r>
      <w:r>
        <w:t>Brightwater Builders is committed to providing a workplace free of recognized hazards. Safety is a condition of employment and of every subcontract.</w:t>
      </w:r>
    </w:p>
    <w:p>
      <w:r>
        <w:rPr>
          <w:b/>
        </w:rPr>
        <w:t xml:space="preserve">1.2  </w:t>
      </w:r>
      <w:r>
        <w:t>The Director of Safety &amp; Health owns this manual, reviews it at least once a year and issues revisions with a revision log.</w:t>
      </w:r>
    </w:p>
    <w:p>
      <w:r>
        <w:rPr>
          <w:b/>
        </w:rPr>
        <w:t xml:space="preserve">1.3  </w:t>
      </w:r>
      <w:r>
        <w:t>Every subcontractor shall designate a competent on-site safety representative for each project, by name, before mobilization.</w:t>
      </w:r>
    </w:p>
    <w:p>
      <w:r>
        <w:rPr>
          <w:b/>
        </w:rPr>
        <w:t xml:space="preserve">1.4  </w:t>
      </w:r>
      <w:r>
        <w:t>Where this manual, the contract documents and OSHA differ, the most stringent requirement applies.</w:t>
      </w:r>
    </w:p>
    <w:p>
      <w:pPr>
        <w:pStyle w:val="Heading1"/>
      </w:pPr>
      <w:r>
        <w:t>Section 2. Subcontractor Prequalification</w:t>
      </w:r>
    </w:p>
    <w:p>
      <w:r>
        <w:rPr>
          <w:b/>
        </w:rPr>
        <w:t xml:space="preserve">2.1  </w:t>
      </w:r>
      <w:r>
        <w:t>Subcontractors shall be prequalified before a subcontract is issued. Prequalification is valid for 24 months unless the subcontractor's safety performance changes materially.</w:t>
      </w:r>
    </w:p>
    <w:p>
      <w:r>
        <w:rPr>
          <w:b/>
        </w:rPr>
        <w:t xml:space="preserve">2.2  </w:t>
      </w:r>
      <w:r>
        <w:t>Prequalification requires the three most recent years of EMR, OSHA 300A summaries and hours worked, a certificate of insurance and a copy of the written safety program.</w:t>
      </w:r>
    </w:p>
    <w:p>
      <w:r>
        <w:rPr>
          <w:b/>
        </w:rPr>
        <w:t xml:space="preserve">2.3  </w:t>
      </w:r>
      <w:r>
        <w:t>An EMR above 1.00, a three-year average TRIR above 3.0, or any willful or repeat OSHA citation in the last three years requires written approval by the VP of Operations, with conditions.</w:t>
      </w:r>
    </w:p>
    <w:p>
      <w:r>
        <w:rPr>
          <w:b/>
        </w:rPr>
        <w:t xml:space="preserve">2.4  </w:t>
      </w:r>
      <w:r>
        <w:t>Minimum insurance: general liability $2,000,000 per occurrence / $4,000,000 aggregate; workers' compensation at statutory limits with employer's liability of $1,000,000; umbrella of $5,000,000 for high-risk trades. Brightwater and the owner are named additional insured.</w:t>
      </w:r>
    </w:p>
    <w:p>
      <w:r>
        <w:rPr>
          <w:b/>
        </w:rPr>
        <w:t xml:space="preserve">2.5  </w:t>
      </w:r>
      <w:r>
        <w:t>Certificates of insurance shall be current at all times. A subcontractor whose certificate lapses shall not work on site until a current certificate is received.</w:t>
      </w:r>
    </w:p>
    <w:p>
      <w:pPr>
        <w:pStyle w:val="Heading2"/>
      </w:pPr>
      <w:r>
        <w:t>Table 2-1. Prequalification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Measure</w:t>
            </w:r>
          </w:p>
        </w:tc>
        <w:tc>
          <w:tcPr>
            <w:tcW w:type="dxa" w:w="3120"/>
          </w:tcPr>
          <w:p>
            <w:r>
              <w:t>Threshold</w:t>
            </w:r>
          </w:p>
        </w:tc>
        <w:tc>
          <w:tcPr>
            <w:tcW w:type="dxa" w:w="3120"/>
          </w:tcPr>
          <w:p>
            <w:r>
              <w:t>Above threshold</w:t>
            </w:r>
          </w:p>
        </w:tc>
      </w:tr>
      <w:tr>
        <w:tc>
          <w:tcPr>
            <w:tcW w:type="dxa" w:w="3120"/>
          </w:tcPr>
          <w:p>
            <w:r>
              <w:t>EMR (current year)</w:t>
            </w:r>
          </w:p>
        </w:tc>
        <w:tc>
          <w:tcPr>
            <w:tcW w:type="dxa" w:w="3120"/>
          </w:tcPr>
          <w:p>
            <w:r>
              <w:t>1.00 or less</w:t>
            </w:r>
          </w:p>
        </w:tc>
        <w:tc>
          <w:tcPr>
            <w:tcW w:type="dxa" w:w="3120"/>
          </w:tcPr>
          <w:p>
            <w:r>
              <w:t>VP of Operations approval with conditions</w:t>
            </w:r>
          </w:p>
        </w:tc>
      </w:tr>
      <w:tr>
        <w:tc>
          <w:tcPr>
            <w:tcW w:type="dxa" w:w="3120"/>
          </w:tcPr>
          <w:p>
            <w:r>
              <w:t>TRIR (3-year average)</w:t>
            </w:r>
          </w:p>
        </w:tc>
        <w:tc>
          <w:tcPr>
            <w:tcW w:type="dxa" w:w="3120"/>
          </w:tcPr>
          <w:p>
            <w:r>
              <w:t>3.0 or less</w:t>
            </w:r>
          </w:p>
        </w:tc>
        <w:tc>
          <w:tcPr>
            <w:tcW w:type="dxa" w:w="3120"/>
          </w:tcPr>
          <w:p>
            <w:r>
              <w:t>VP of Operations approval with conditions</w:t>
            </w:r>
          </w:p>
        </w:tc>
      </w:tr>
      <w:tr>
        <w:tc>
          <w:tcPr>
            <w:tcW w:type="dxa" w:w="3120"/>
          </w:tcPr>
          <w:p>
            <w:r>
              <w:t>OSHA citations (3 years)</w:t>
            </w:r>
          </w:p>
        </w:tc>
        <w:tc>
          <w:tcPr>
            <w:tcW w:type="dxa" w:w="3120"/>
          </w:tcPr>
          <w:p>
            <w:r>
              <w:t>No willful or repeat</w:t>
            </w:r>
          </w:p>
        </w:tc>
        <w:tc>
          <w:tcPr>
            <w:tcW w:type="dxa" w:w="3120"/>
          </w:tcPr>
          <w:p>
            <w:r>
              <w:t>VP of Operations approval with conditions</w:t>
            </w:r>
          </w:p>
        </w:tc>
      </w:tr>
    </w:tbl>
    <w:p>
      <w:pPr>
        <w:pStyle w:val="Heading1"/>
      </w:pPr>
      <w:r>
        <w:t>Section 3. Site-Specific Safety Plans</w:t>
      </w:r>
    </w:p>
    <w:p>
      <w:r>
        <w:rPr>
          <w:b/>
        </w:rPr>
        <w:t xml:space="preserve">3.1  </w:t>
      </w:r>
      <w:r>
        <w:t>Each subcontractor shall submit a site-specific safety plan within 10 working days of award and before mobilization.</w:t>
      </w:r>
    </w:p>
    <w:p>
      <w:r>
        <w:rPr>
          <w:b/>
        </w:rPr>
        <w:t xml:space="preserve">3.2  </w:t>
      </w:r>
      <w:r>
        <w:t>The plan shall include the subcontractor's scope, hazard analysis for each high-risk activity, competent persons, emergency contacts and a training matrix.</w:t>
      </w:r>
    </w:p>
    <w:p>
      <w:r>
        <w:rPr>
          <w:b/>
        </w:rPr>
        <w:t xml:space="preserve">3.3  </w:t>
      </w:r>
      <w:r>
        <w:t>Brightwater's Project Safety Manager reviews and approves the plan. Work may not start until it is approved.</w:t>
      </w:r>
    </w:p>
    <w:p>
      <w:r>
        <w:rPr>
          <w:b/>
        </w:rPr>
        <w:t xml:space="preserve">3.4  </w:t>
      </w:r>
      <w:r>
        <w:t>Activity hazard analyses (AHAs) shall be completed before each new phase of work and reviewed with the crew.</w:t>
      </w:r>
    </w:p>
    <w:p>
      <w:pPr>
        <w:pStyle w:val="Heading1"/>
      </w:pPr>
      <w:r>
        <w:t>Section 4. Orientation and Training</w:t>
      </w:r>
    </w:p>
    <w:p>
      <w:r>
        <w:rPr>
          <w:b/>
        </w:rPr>
        <w:t xml:space="preserve">4.1  </w:t>
      </w:r>
      <w:r>
        <w:t>Every person working on a Brightwater site shall complete the Brightwater site orientation before starting work.</w:t>
      </w:r>
    </w:p>
    <w:p>
      <w:r>
        <w:rPr>
          <w:b/>
        </w:rPr>
        <w:t xml:space="preserve">4.2  </w:t>
      </w:r>
      <w:r>
        <w:t>On healthcare projects, workers in or next to occupied areas shall also complete the owner's infection control and hospital awareness module.</w:t>
      </w:r>
    </w:p>
    <w:p>
      <w:r>
        <w:rPr>
          <w:b/>
        </w:rPr>
        <w:t xml:space="preserve">4.3  </w:t>
      </w:r>
      <w:r>
        <w:t>Subcontractors keep their own training records and shall produce them on request within 24 hours.</w:t>
      </w:r>
    </w:p>
    <w:p>
      <w:pPr>
        <w:pStyle w:val="Heading1"/>
      </w:pPr>
      <w:r>
        <w:t>Section 5. Fall Protection</w:t>
      </w:r>
    </w:p>
    <w:p>
      <w:r>
        <w:rPr>
          <w:b/>
        </w:rPr>
        <w:t xml:space="preserve">5.1  </w:t>
      </w:r>
      <w:r>
        <w:t>Fall protection is required at 6 feet or more above a lower level for all trades and all activities, including steel erection and leading-edge work.</w:t>
      </w:r>
    </w:p>
    <w:p>
      <w:r>
        <w:rPr>
          <w:b/>
        </w:rPr>
        <w:t xml:space="preserve">5.2  </w:t>
      </w:r>
      <w:r>
        <w:t>Scaffolds shall have guardrails at 6 feet; the OSHA 10-foot scaffold trigger does not apply on Brightwater sites.</w:t>
      </w:r>
    </w:p>
    <w:p>
      <w:r>
        <w:rPr>
          <w:b/>
        </w:rPr>
        <w:t xml:space="preserve">5.3  </w:t>
      </w:r>
      <w:r>
        <w:t>Personal fall arrest systems shall be inspected before each use and anchored to anchors rated for 5,000 lb or designed by a qualified person.</w:t>
      </w:r>
    </w:p>
    <w:p>
      <w:r>
        <w:rPr>
          <w:b/>
        </w:rPr>
        <w:t xml:space="preserve">5.4  </w:t>
      </w:r>
      <w:r>
        <w:t>Floor and roof openings shall be covered, secured and marked "HOLE" or "COVER" as soon as they are created.</w:t>
      </w:r>
    </w:p>
    <w:p>
      <w:pPr>
        <w:pStyle w:val="Heading1"/>
      </w:pPr>
      <w:r>
        <w:t>Section 6. Ladders and Aerial Lifts</w:t>
      </w:r>
    </w:p>
    <w:p>
      <w:r>
        <w:rPr>
          <w:b/>
        </w:rPr>
        <w:t xml:space="preserve">6.1  </w:t>
      </w:r>
      <w:r>
        <w:t>Ladders are a last resort. Use of step or extension ladders above 6 feet requires the superintendent's approval of a ladder use plan.</w:t>
      </w:r>
    </w:p>
    <w:p>
      <w:r>
        <w:rPr>
          <w:b/>
        </w:rPr>
        <w:t xml:space="preserve">6.2  </w:t>
      </w:r>
      <w:r>
        <w:t>Aerial lift operators shall be trained and familiarized on the model used; occupants of boom lifts shall be tied off to the manufacturer's anchor.</w:t>
      </w:r>
    </w:p>
    <w:p>
      <w:pPr>
        <w:pStyle w:val="Heading1"/>
      </w:pPr>
      <w:r>
        <w:t>Section 7. Excavation and Trenching</w:t>
      </w:r>
    </w:p>
    <w:p>
      <w:r>
        <w:rPr>
          <w:b/>
        </w:rPr>
        <w:t xml:space="preserve">7.1  </w:t>
      </w:r>
      <w:r>
        <w:t>Before any digging, a Sunshine 811 locate ticket shall be current and private utilities located by a private locator.</w:t>
      </w:r>
    </w:p>
    <w:p>
      <w:r>
        <w:rPr>
          <w:b/>
        </w:rPr>
        <w:t xml:space="preserve">7.2  </w:t>
      </w:r>
      <w:r>
        <w:t>Excavations 5 feet or deeper shall have a protective system; excavations over 20 feet shall have a protective system designed by a registered professional engineer.</w:t>
      </w:r>
    </w:p>
    <w:p>
      <w:r>
        <w:rPr>
          <w:b/>
        </w:rPr>
        <w:t xml:space="preserve">7.3  </w:t>
      </w:r>
      <w:r>
        <w:t>A competent person shall inspect excavations daily, after every rain event and after any change in conditions, and record the inspection.</w:t>
      </w:r>
    </w:p>
    <w:p>
      <w:r>
        <w:rPr>
          <w:b/>
        </w:rPr>
        <w:t xml:space="preserve">7.4  </w:t>
      </w:r>
      <w:r>
        <w:t>Spoil and equipment shall be kept at least 2 feet from the edge of an excavation.</w:t>
      </w:r>
    </w:p>
    <w:p>
      <w:pPr>
        <w:pStyle w:val="Heading1"/>
      </w:pPr>
      <w:r>
        <w:t>Section 8. Hot Work and Fire Prevention</w:t>
      </w:r>
    </w:p>
    <w:p>
      <w:r>
        <w:rPr>
          <w:b/>
        </w:rPr>
        <w:t xml:space="preserve">8.1  </w:t>
      </w:r>
      <w:r>
        <w:t>All welding, cutting, brazing and grinding outside designated shop areas requires a Brightwater hot work permit.</w:t>
      </w:r>
    </w:p>
    <w:p>
      <w:r>
        <w:rPr>
          <w:b/>
        </w:rPr>
        <w:t xml:space="preserve">8.2  </w:t>
      </w:r>
      <w:r>
        <w:t>Combustibles within 35 feet shall be removed or protected, and a fire watch shall be maintained during the work and for 60 minutes after it ends.</w:t>
      </w:r>
    </w:p>
    <w:p>
      <w:r>
        <w:rPr>
          <w:b/>
        </w:rPr>
        <w:t xml:space="preserve">8.3  </w:t>
      </w:r>
      <w:r>
        <w:t>Hot work in or next to an occupied healthcare building also requires an interim life safety measures (ILSM) assessment and the owner's approval before the permit is issued.</w:t>
      </w:r>
    </w:p>
    <w:p>
      <w:r>
        <w:rPr>
          <w:b/>
        </w:rPr>
        <w:t xml:space="preserve">8.4  </w:t>
      </w:r>
      <w:r>
        <w:t>Fire protection systems shall not be impaired without an approved impairment notice; the owner shall be notified and a fire watch posted for the duration.</w:t>
      </w:r>
    </w:p>
    <w:p>
      <w:pPr>
        <w:pStyle w:val="Heading1"/>
      </w:pPr>
      <w:r>
        <w:t>Section 9. Hazardous Energy Control</w:t>
      </w:r>
    </w:p>
    <w:p>
      <w:r>
        <w:rPr>
          <w:b/>
        </w:rPr>
        <w:t xml:space="preserve">9.1  </w:t>
      </w:r>
      <w:r>
        <w:t>Lockout/tagout shall follow the subcontractor's written energy control program, reviewed by Brightwater, with individual locks for each worker.</w:t>
      </w:r>
    </w:p>
    <w:p>
      <w:r>
        <w:rPr>
          <w:b/>
        </w:rPr>
        <w:t xml:space="preserve">9.2  </w:t>
      </w:r>
      <w:r>
        <w:t>Zero energy shall be verified by try-out and testing before work begins.</w:t>
      </w:r>
    </w:p>
    <w:p>
      <w:r>
        <w:rPr>
          <w:b/>
        </w:rPr>
        <w:t xml:space="preserve">9.3  </w:t>
      </w:r>
      <w:r>
        <w:t>Tie-ins to existing hospital systems shall be coordinated through the owner's utility shutdown request process with at least 14 calendar days' notice.</w:t>
      </w:r>
    </w:p>
    <w:p>
      <w:pPr>
        <w:pStyle w:val="Heading1"/>
      </w:pPr>
      <w:r>
        <w:t>Section 10. Electrical Safety</w:t>
      </w:r>
    </w:p>
    <w:p>
      <w:r>
        <w:rPr>
          <w:b/>
        </w:rPr>
        <w:t xml:space="preserve">10.1  </w:t>
      </w:r>
      <w:r>
        <w:t>Energized electrical work is prohibited unless justified under NFPA 70E and authorized on an energized electrical work permit signed by the subcontractor, Brightwater's Project Safety Manager and the Project Manager.</w:t>
      </w:r>
    </w:p>
    <w:p>
      <w:r>
        <w:rPr>
          <w:b/>
        </w:rPr>
        <w:t xml:space="preserve">10.2  </w:t>
      </w:r>
      <w:r>
        <w:t>Temporary power shall be GFCI protected, and cords inspected daily.</w:t>
      </w:r>
    </w:p>
    <w:p>
      <w:pPr>
        <w:pStyle w:val="Heading1"/>
      </w:pPr>
      <w:r>
        <w:t>Section 11. Cranes and Rigging</w:t>
      </w:r>
    </w:p>
    <w:p>
      <w:r>
        <w:rPr>
          <w:b/>
        </w:rPr>
        <w:t xml:space="preserve">11.1  </w:t>
      </w:r>
      <w:r>
        <w:t>A critical lift plan is required for any lift above 75% of the crane's rated capacity, tandem lifts, personnel lifts, and any lift over an occupied building or occupied area.</w:t>
      </w:r>
    </w:p>
    <w:p>
      <w:r>
        <w:rPr>
          <w:b/>
        </w:rPr>
        <w:t xml:space="preserve">11.2  </w:t>
      </w:r>
      <w:r>
        <w:t>Critical lift plans shall be submitted at least 48 hours before the lift and approved by Brightwater's Project Safety Manager.</w:t>
      </w:r>
    </w:p>
    <w:p>
      <w:r>
        <w:rPr>
          <w:b/>
        </w:rPr>
        <w:t xml:space="preserve">11.3  </w:t>
      </w:r>
      <w:r>
        <w:t>Loads shall not be lifted over the occupied hospital unless the owner has approved a written evacuation or protection plan for the affected area.</w:t>
      </w:r>
    </w:p>
    <w:p>
      <w:r>
        <w:rPr>
          <w:b/>
        </w:rPr>
        <w:t xml:space="preserve">11.4  </w:t>
      </w:r>
      <w:r>
        <w:t>Operators shall be certified; riggers and signal persons qualified, with proof available on site.</w:t>
      </w:r>
    </w:p>
    <w:p>
      <w:pPr>
        <w:pStyle w:val="Heading1"/>
      </w:pPr>
      <w:r>
        <w:t>Section 12. Confined Spaces</w:t>
      </w:r>
    </w:p>
    <w:p>
      <w:r>
        <w:rPr>
          <w:b/>
        </w:rPr>
        <w:t xml:space="preserve">12.1  </w:t>
      </w:r>
      <w:r>
        <w:t>Permit-required confined spaces shall be entered only under a written entry permit with atmospheric testing and a rescue plan.</w:t>
      </w:r>
    </w:p>
    <w:p>
      <w:pPr>
        <w:pStyle w:val="Heading1"/>
      </w:pPr>
      <w:r>
        <w:t>Section 13. Health Hazards</w:t>
      </w:r>
    </w:p>
    <w:p>
      <w:r>
        <w:rPr>
          <w:b/>
        </w:rPr>
        <w:t xml:space="preserve">13.1  </w:t>
      </w:r>
      <w:r>
        <w:t>Silica-generating tasks shall follow Table 1 of 29 CFR 1926.1153 or an exposure assessment.</w:t>
      </w:r>
    </w:p>
    <w:p>
      <w:r>
        <w:rPr>
          <w:b/>
        </w:rPr>
        <w:t xml:space="preserve">13.2  </w:t>
      </w:r>
      <w:r>
        <w:t>Work that disturbs ceilings, walls or floors in an existing hospital area requires an asbestos and lead survey review before work starts.</w:t>
      </w:r>
    </w:p>
    <w:p>
      <w:r>
        <w:rPr>
          <w:b/>
        </w:rPr>
        <w:t xml:space="preserve">13.3  </w:t>
      </w:r>
      <w:r>
        <w:t>Noise and vibration next to occupied patient areas shall stay within the limits set by the owner, and shall be monitored when the owner requests it.</w:t>
      </w:r>
    </w:p>
    <w:p>
      <w:pPr>
        <w:pStyle w:val="Heading1"/>
      </w:pPr>
      <w:r>
        <w:t>Section 14. Personal Protective Equipment</w:t>
      </w:r>
    </w:p>
    <w:p>
      <w:r>
        <w:rPr>
          <w:b/>
        </w:rPr>
        <w:t xml:space="preserve">14.1  </w:t>
      </w:r>
      <w:r>
        <w:t>Minimum PPE: hard hat (Type II on steel and crane work), safety glasses, high-visibility garment (Class 2), gloves suited to the task and safety-toe boots.</w:t>
      </w:r>
    </w:p>
    <w:p>
      <w:pPr>
        <w:pStyle w:val="Heading1"/>
      </w:pPr>
      <w:r>
        <w:t>Section 15. Housekeeping and Site Logistics</w:t>
      </w:r>
    </w:p>
    <w:p>
      <w:r>
        <w:rPr>
          <w:b/>
        </w:rPr>
        <w:t xml:space="preserve">15.1  </w:t>
      </w:r>
      <w:r>
        <w:t>Work areas shall be cleaned daily; walkways and exits kept clear at all times.</w:t>
      </w:r>
    </w:p>
    <w:p>
      <w:r>
        <w:rPr>
          <w:b/>
        </w:rPr>
        <w:t xml:space="preserve">15.2  </w:t>
      </w:r>
      <w:r>
        <w:t>Hospital entrances, ambulance routes and fire lanes shall never be blocked, even temporarily.</w:t>
      </w:r>
    </w:p>
    <w:p>
      <w:pPr>
        <w:pStyle w:val="Heading1"/>
      </w:pPr>
      <w:r>
        <w:t>Section 16. Infection Control on Healthcare Projects</w:t>
      </w:r>
    </w:p>
    <w:p>
      <w:r>
        <w:rPr>
          <w:b/>
        </w:rPr>
        <w:t xml:space="preserve">16.1  </w:t>
      </w:r>
      <w:r>
        <w:t>An infection control risk assessment (ICRA) and ICRA permit shall be in place before any work in or next to an occupied healthcare area. The permit class sets the controls.</w:t>
      </w:r>
    </w:p>
    <w:p>
      <w:r>
        <w:rPr>
          <w:b/>
        </w:rPr>
        <w:t xml:space="preserve">16.2  </w:t>
      </w:r>
      <w:r>
        <w:t>Class III and IV work requires hard barriers sealed floor to deck, negative air pressure verified and recorded at least daily, and HEPA-filtered exhaust.</w:t>
      </w:r>
    </w:p>
    <w:p>
      <w:r>
        <w:rPr>
          <w:b/>
        </w:rPr>
        <w:t xml:space="preserve">16.3  </w:t>
      </w:r>
      <w:r>
        <w:t>Barriers shall be inspected daily by the subcontractor and weekly by the owner's infection prevention staff; any breach stops the work until it is repaired.</w:t>
      </w:r>
    </w:p>
    <w:p>
      <w:pPr>
        <w:pStyle w:val="Heading1"/>
      </w:pPr>
      <w:r>
        <w:t>Section 17. Inspections and Audits</w:t>
      </w:r>
    </w:p>
    <w:p>
      <w:r>
        <w:rPr>
          <w:b/>
        </w:rPr>
        <w:t xml:space="preserve">17.1  </w:t>
      </w:r>
      <w:r>
        <w:t>The superintendent performs a documented weekly site inspection.</w:t>
      </w:r>
    </w:p>
    <w:p>
      <w:r>
        <w:rPr>
          <w:b/>
        </w:rPr>
        <w:t xml:space="preserve">17.2  </w:t>
      </w:r>
      <w:r>
        <w:t>The Project Safety Manager audits each subcontractor at least monthly.</w:t>
      </w:r>
    </w:p>
    <w:p>
      <w:r>
        <w:rPr>
          <w:b/>
        </w:rPr>
        <w:t xml:space="preserve">17.3  </w:t>
      </w:r>
      <w:r>
        <w:t>On healthcare projects, a joint monthly walk with the owner covers the connection areas.</w:t>
      </w:r>
    </w:p>
    <w:p>
      <w:pPr>
        <w:pStyle w:val="Heading1"/>
      </w:pPr>
      <w:r>
        <w:t>Section 18. Corrective Actions</w:t>
      </w:r>
    </w:p>
    <w:p>
      <w:r>
        <w:rPr>
          <w:b/>
        </w:rPr>
        <w:t xml:space="preserve">18.1  </w:t>
      </w:r>
      <w:r>
        <w:t>Deficiencies are classed as Imminent danger, Serious, Other than serious, or Housekeeping / minor.</w:t>
      </w:r>
    </w:p>
    <w:p>
      <w:r>
        <w:rPr>
          <w:b/>
        </w:rPr>
        <w:t xml:space="preserve">18.2  </w:t>
      </w:r>
      <w:r>
        <w:t>Imminent danger shall be corrected immediately and the work stopped until it is; Serious within 24 hours; all others within 7 days.</w:t>
      </w:r>
    </w:p>
    <w:p>
      <w:r>
        <w:rPr>
          <w:b/>
        </w:rPr>
        <w:t xml:space="preserve">18.3  </w:t>
      </w:r>
      <w:r>
        <w:t>Corrective actions not closed on time are escalated to the subcontractor's project manager, then its principal after 2 days, then Brightwater's VP of Operations after 5 days.</w:t>
      </w:r>
    </w:p>
    <w:p>
      <w:pPr>
        <w:pStyle w:val="Heading2"/>
      </w:pPr>
      <w:r>
        <w:t>Table 18-1. Correction times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Class</w:t>
            </w:r>
          </w:p>
        </w:tc>
        <w:tc>
          <w:tcPr>
            <w:tcW w:type="dxa" w:w="4680"/>
          </w:tcPr>
          <w:p>
            <w:r>
              <w:t>Correct within</w:t>
            </w:r>
          </w:p>
        </w:tc>
      </w:tr>
      <w:tr>
        <w:tc>
          <w:tcPr>
            <w:tcW w:type="dxa" w:w="4680"/>
          </w:tcPr>
          <w:p>
            <w:r>
              <w:t>Imminent danger</w:t>
            </w:r>
          </w:p>
        </w:tc>
        <w:tc>
          <w:tcPr>
            <w:tcW w:type="dxa" w:w="4680"/>
          </w:tcPr>
          <w:p>
            <w:r>
              <w:t>Immediately - stop the work</w:t>
            </w:r>
          </w:p>
        </w:tc>
      </w:tr>
      <w:tr>
        <w:tc>
          <w:tcPr>
            <w:tcW w:type="dxa" w:w="4680"/>
          </w:tcPr>
          <w:p>
            <w:r>
              <w:t>Serious</w:t>
            </w:r>
          </w:p>
        </w:tc>
        <w:tc>
          <w:tcPr>
            <w:tcW w:type="dxa" w:w="4680"/>
          </w:tcPr>
          <w:p>
            <w:r>
              <w:t>24 hours</w:t>
            </w:r>
          </w:p>
        </w:tc>
      </w:tr>
      <w:tr>
        <w:tc>
          <w:tcPr>
            <w:tcW w:type="dxa" w:w="4680"/>
          </w:tcPr>
          <w:p>
            <w:r>
              <w:t>Other than serious</w:t>
            </w:r>
          </w:p>
        </w:tc>
        <w:tc>
          <w:tcPr>
            <w:tcW w:type="dxa" w:w="4680"/>
          </w:tcPr>
          <w:p>
            <w:r>
              <w:t>7 days</w:t>
            </w:r>
          </w:p>
        </w:tc>
      </w:tr>
      <w:tr>
        <w:tc>
          <w:tcPr>
            <w:tcW w:type="dxa" w:w="4680"/>
          </w:tcPr>
          <w:p>
            <w:r>
              <w:t>Housekeeping / minor</w:t>
            </w:r>
          </w:p>
        </w:tc>
        <w:tc>
          <w:tcPr>
            <w:tcW w:type="dxa" w:w="4680"/>
          </w:tcPr>
          <w:p>
            <w:r>
              <w:t>7 days</w:t>
            </w:r>
          </w:p>
        </w:tc>
      </w:tr>
    </w:tbl>
    <w:p>
      <w:pPr>
        <w:pStyle w:val="Heading1"/>
      </w:pPr>
      <w:r>
        <w:t>Section 19. Incident Reporting and Investigation</w:t>
      </w:r>
    </w:p>
    <w:p>
      <w:r>
        <w:rPr>
          <w:b/>
        </w:rPr>
        <w:t xml:space="preserve">19.1  </w:t>
      </w:r>
      <w:r>
        <w:t>All injuries, near misses and property damage shall be reported to the superintendent immediately and in writing within 1 hour.</w:t>
      </w:r>
    </w:p>
    <w:p>
      <w:r>
        <w:rPr>
          <w:b/>
        </w:rPr>
        <w:t xml:space="preserve">19.2  </w:t>
      </w:r>
      <w:r>
        <w:t>Serious incidents are investigated to root cause within 72 hours with a written report.</w:t>
      </w:r>
    </w:p>
    <w:p>
      <w:r>
        <w:rPr>
          <w:b/>
        </w:rPr>
        <w:t xml:space="preserve">19.3  </w:t>
      </w:r>
      <w:r>
        <w:t>Subcontractors submit monthly hours worked and injury data by the 5th of the following month.</w:t>
      </w:r>
    </w:p>
    <w:p>
      <w:pPr>
        <w:pStyle w:val="Heading1"/>
      </w:pPr>
      <w:r>
        <w:t>Section 20. Stop Work Authority</w:t>
      </w:r>
    </w:p>
    <w:p>
      <w:r>
        <w:rPr>
          <w:b/>
        </w:rPr>
        <w:t xml:space="preserve">20.1  </w:t>
      </w:r>
      <w:r>
        <w:t>Every person on site has the authority and the obligation to stop work that is unsafe. No one will be disciplined for a good-faith stop.</w:t>
      </w:r>
    </w:p>
    <w:p>
      <w:r>
        <w:rPr>
          <w:b/>
        </w:rPr>
        <w:t xml:space="preserve">20.2  </w:t>
      </w:r>
      <w:r>
        <w:t>Work stopped for an imminent danger restarts only after the superintendent and the subcontractor's foreman agree the hazard is controlled, and the Project Safety Manager is informed.</w:t>
      </w:r>
    </w:p>
    <w:p>
      <w:pPr>
        <w:pStyle w:val="Heading1"/>
      </w:pPr>
      <w:r>
        <w:t>Section 21. Drug and Alcohol</w:t>
      </w:r>
    </w:p>
    <w:p>
      <w:r>
        <w:rPr>
          <w:b/>
        </w:rPr>
        <w:t xml:space="preserve">21.1  </w:t>
      </w:r>
      <w:r>
        <w:t>Subcontractors shall maintain a drug and alcohol program with pre-access, post-incident and reasonable-suspicion testing.</w:t>
      </w:r>
    </w:p>
    <w:p>
      <w:pPr>
        <w:pStyle w:val="Heading1"/>
      </w:pPr>
      <w:r>
        <w:t>Section 22. Performance Evaluation</w:t>
      </w:r>
    </w:p>
    <w:p>
      <w:r>
        <w:rPr>
          <w:b/>
        </w:rPr>
        <w:t xml:space="preserve">22.1  </w:t>
      </w:r>
      <w:r>
        <w:t>Each subcontractor is evaluated at completion of its scope on safety performance, corrective action timeliness and plan quality. The result sets its status for future bids: Preferred, Approved or Conditional.</w:t>
      </w:r>
    </w:p>
    <w:p>
      <w:r>
        <w:rPr>
          <w:b/>
        </w:rPr>
        <w:t xml:space="preserve">22.2  </w:t>
      </w:r>
      <w:r>
        <w:t>A serious injury or a serious near miss places the subcontractor on Conditional status with a performance improvement plan for 12 months.</w:t>
      </w:r>
    </w:p>
    <w:p/>
    <w:p>
      <w:r>
        <w:t>Appendix A (forms) is maintained separately in the Brightwater forms library and is not reproduced here.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