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 Definitions: Categorial → Numerical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Fund Types: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0 - Multilateral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1 - Multi Donor National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2 - Multi Donor Regional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World Bank Regions: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0 - East Asia &amp; Pacific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1 - Europe &amp; Central Asia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2 - Latin America &amp; Caribbean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3 - Middle East &amp; North Africa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4 - South Asia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5 - Sub-Saharan Africa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6 - Western Asia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7 - Not applicable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Income Classifications: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0 - High income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1 - Low income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2 - Lower middle income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3 - Upper middle income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4 - Not applicable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Themes/Objectives: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0 - Adaptation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1 - Mitigation - General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2 - Mitigation - REDD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REDD stands for: Reducing emissions from deforestation and forest degradation in developing countries)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3 - Multiple foci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Small Island Developing Nation: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0 - SIDS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1 - SIDS - Caribbean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2 - SIDS - Pacific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3 - SIDS - AIMS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AIMS stands for: Atlantic, Indian Ocean, Mediterranean and South China Sea)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