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Protocol for Generating New Wolffia Transcriptomic Data</w:t>
      </w:r>
    </w:p>
    <w:p>
      <w:pPr>
        <w:pStyle w:val="Heading1"/>
      </w:pPr>
      <w:r>
        <w:t>Title</w:t>
      </w:r>
    </w:p>
    <w:p>
      <w:pPr>
        <w:spacing w:after="120" w:line="276" w:lineRule="auto"/>
      </w:pPr>
      <w:r>
        <w:t>Stepwise pilot-to-discovery protocol for generating a first Wolffia australiana single-cell or single-nucleus transcriptomic dataset</w:t>
      </w:r>
    </w:p>
    <w:p>
      <w:pPr>
        <w:pStyle w:val="Heading1"/>
      </w:pPr>
      <w:r>
        <w:t>Purpose</w:t>
      </w:r>
    </w:p>
    <w:p>
      <w:pPr>
        <w:spacing w:after="120" w:line="276" w:lineRule="auto"/>
      </w:pPr>
      <w:r>
        <w:t>This protocol is designed to generate a first Wolffia dataset that is good enough to:</w:t>
      </w:r>
    </w:p>
    <w:p>
      <w:pPr>
        <w:pStyle w:val="ListBullet"/>
      </w:pPr>
      <w:r>
        <w:t>recover broad transcriptional programs reproducibly</w:t>
      </w:r>
    </w:p>
    <w:p>
      <w:pPr>
        <w:pStyle w:val="ListBullet"/>
      </w:pPr>
      <w:r>
        <w:t>distinguish biological structure from preparation artifacts</w:t>
      </w:r>
    </w:p>
    <w:p>
      <w:pPr>
        <w:pStyle w:val="ListBullet"/>
      </w:pPr>
      <w:r>
        <w:t>support the first Wolffia-native atlas analysis</w:t>
      </w:r>
    </w:p>
    <w:p>
      <w:pPr>
        <w:spacing w:after="120" w:line="276" w:lineRule="auto"/>
      </w:pPr>
      <w:r>
        <w:t>The central operational question is:</w:t>
      </w:r>
    </w:p>
    <w:p>
      <w:pPr>
        <w:ind w:left="360"/>
      </w:pPr>
      <w:r>
        <w:rPr>
          <w:i/>
        </w:rPr>
        <w:t>which upstream input route gives cleaner Wolffia transcriptomes: intact cells or nuclei?</w:t>
      </w:r>
    </w:p>
    <w:p>
      <w:pPr>
        <w:spacing w:after="120" w:line="276" w:lineRule="auto"/>
      </w:pPr>
      <w:r>
        <w:t>For that reason, this is a staged protocol with a pilot comparison before any larger sequencing run.</w:t>
      </w:r>
    </w:p>
    <w:p>
      <w:pPr>
        <w:pStyle w:val="Heading1"/>
      </w:pPr>
      <w:r>
        <w:t>Scope</w:t>
      </w:r>
    </w:p>
    <w:p>
      <w:pPr>
        <w:spacing w:after="120" w:line="276" w:lineRule="auto"/>
      </w:pPr>
      <w:r>
        <w:t>This protocol covers:</w:t>
      </w:r>
    </w:p>
    <w:p>
      <w:pPr>
        <w:pStyle w:val="ListNumber"/>
      </w:pPr>
      <w:r>
        <w:t>Wolffia culture standardization</w:t>
      </w:r>
    </w:p>
    <w:p>
      <w:pPr>
        <w:pStyle w:val="ListNumber"/>
      </w:pPr>
      <w:r>
        <w:t>pre-harvest QC</w:t>
      </w:r>
    </w:p>
    <w:p>
      <w:pPr>
        <w:pStyle w:val="ListNumber"/>
      </w:pPr>
      <w:r>
        <w:t>matched pilot comparison of intact-cell and nuclei preparation</w:t>
      </w:r>
    </w:p>
    <w:p>
      <w:pPr>
        <w:pStyle w:val="ListNumber"/>
      </w:pPr>
      <w:r>
        <w:t>route-selection criteria</w:t>
      </w:r>
    </w:p>
    <w:p>
      <w:pPr>
        <w:pStyle w:val="ListNumber"/>
      </w:pPr>
      <w:r>
        <w:t>execution of the first full Wolffia discovery run</w:t>
      </w:r>
    </w:p>
    <w:p>
      <w:pPr>
        <w:pStyle w:val="ListNumber"/>
      </w:pPr>
      <w:r>
        <w:t>required post-sequencing QC readouts</w:t>
      </w:r>
    </w:p>
    <w:p>
      <w:pPr>
        <w:spacing w:after="120" w:line="276" w:lineRule="auto"/>
      </w:pPr>
      <w:r>
        <w:t>It does not claim one universally optimal recipe for every Wolffia line or platform. However, it does include a literature-based benchmark intact-cell workflow that can be used as the first pilot starting point for Wolffia australiana.</w:t>
      </w:r>
    </w:p>
    <w:p>
      <w:pPr>
        <w:pStyle w:val="Heading1"/>
      </w:pPr>
      <w:r>
        <w:t>Experimental principle</w:t>
      </w:r>
    </w:p>
    <w:p>
      <w:pPr>
        <w:spacing w:after="120" w:line="276" w:lineRule="auto"/>
      </w:pPr>
      <w:r>
        <w:t>Because plant single-cell experiments frequently fail at the sample-preparation stage, the first experiment should maximize:</w:t>
      </w:r>
    </w:p>
    <w:p>
      <w:pPr>
        <w:pStyle w:val="ListBullet"/>
      </w:pPr>
      <w:r>
        <w:t>biological consistency</w:t>
      </w:r>
    </w:p>
    <w:p>
      <w:pPr>
        <w:pStyle w:val="ListBullet"/>
      </w:pPr>
      <w:r>
        <w:t>handling speed</w:t>
      </w:r>
    </w:p>
    <w:p>
      <w:pPr>
        <w:pStyle w:val="ListBullet"/>
      </w:pPr>
      <w:r>
        <w:t>sterility</w:t>
      </w:r>
    </w:p>
    <w:p>
      <w:pPr>
        <w:pStyle w:val="ListBullet"/>
      </w:pPr>
      <w:r>
        <w:t>low-stress preparation</w:t>
      </w:r>
    </w:p>
    <w:p>
      <w:pPr>
        <w:pStyle w:val="ListBullet"/>
      </w:pPr>
      <w:r>
        <w:t>reproducibility across replicates</w:t>
      </w:r>
    </w:p>
    <w:p>
      <w:pPr>
        <w:spacing w:after="120" w:line="276" w:lineRule="auto"/>
      </w:pPr>
      <w:r>
        <w:t>The first experiment should not try to solve every developmental condition at once.</w:t>
      </w:r>
    </w:p>
    <w:p>
      <w:pPr>
        <w:pStyle w:val="Heading1"/>
      </w:pPr>
      <w:r>
        <w:t>Recommended baseline biological design</w:t>
      </w:r>
    </w:p>
    <w:p>
      <w:pPr>
        <w:spacing w:after="120" w:line="276" w:lineRule="auto"/>
      </w:pPr>
      <w:r>
        <w:t>Use:</w:t>
      </w:r>
    </w:p>
    <w:p>
      <w:pPr>
        <w:pStyle w:val="ListBullet"/>
      </w:pPr>
      <w:r>
        <w:t>one Wolffia line or stock</w:t>
      </w:r>
    </w:p>
    <w:p>
      <w:pPr>
        <w:pStyle w:val="ListBullet"/>
      </w:pPr>
      <w:r>
        <w:t>one baseline vegetative growth condition</w:t>
      </w:r>
    </w:p>
    <w:p>
      <w:pPr>
        <w:pStyle w:val="ListBullet"/>
      </w:pPr>
      <w:r>
        <w:t>three biological replicates for the first real run</w:t>
      </w:r>
    </w:p>
    <w:p>
      <w:pPr>
        <w:pStyle w:val="ListBullet"/>
      </w:pPr>
      <w:r>
        <w:t>one fixed harvest window within the light cycle</w:t>
      </w:r>
    </w:p>
    <w:p>
      <w:pPr>
        <w:spacing w:after="120" w:line="276" w:lineRule="auto"/>
      </w:pPr>
      <w:r>
        <w:t>For a first-pass standardization condition, cultivate Wolffia:</w:t>
      </w:r>
    </w:p>
    <w:p>
      <w:pPr>
        <w:pStyle w:val="ListBullet"/>
      </w:pPr>
      <w:r>
        <w:t>as an axenic liquid culture if possible</w:t>
      </w:r>
    </w:p>
    <w:p>
      <w:pPr>
        <w:pStyle w:val="ListBullet"/>
      </w:pPr>
      <w:r>
        <w:t>in the lab's established duckweed maintenance medium for that line</w:t>
      </w:r>
    </w:p>
    <w:p>
      <w:pPr>
        <w:pStyle w:val="ListBullet"/>
      </w:pPr>
      <w:r>
        <w:t>under a stable light-dark cycle</w:t>
      </w:r>
    </w:p>
    <w:p>
      <w:pPr>
        <w:pStyle w:val="ListBullet"/>
      </w:pPr>
      <w:r>
        <w:t>at a stable room-temperature or growth-chamber temperature</w:t>
      </w:r>
    </w:p>
    <w:p>
      <w:pPr>
        <w:pStyle w:val="ListBullet"/>
      </w:pPr>
      <w:r>
        <w:t>with minimal crowding, visible stress, or contamination</w:t>
      </w:r>
    </w:p>
    <w:p>
      <w:pPr>
        <w:spacing w:after="120" w:line="276" w:lineRule="auto"/>
      </w:pPr>
      <w:r>
        <w:t>If the line is already maintained successfully in the lab, keep the maintenance environment unchanged during the pilot phase unless there is a strong reason to switch. The most important rule is consistency, not unnecessary re-optimization.</w:t>
      </w:r>
    </w:p>
    <w:p>
      <w:pPr>
        <w:pStyle w:val="Heading1"/>
      </w:pPr>
      <w:r>
        <w:t>Recommended starting culture environment</w:t>
      </w:r>
    </w:p>
    <w:p>
      <w:pPr>
        <w:spacing w:after="120" w:line="276" w:lineRule="auto"/>
      </w:pPr>
      <w:r>
        <w:t>If a local standard already exists, use that standard.</w:t>
      </w:r>
    </w:p>
    <w:p>
      <w:pPr>
        <w:spacing w:after="120" w:line="276" w:lineRule="auto"/>
      </w:pPr>
      <w:r>
        <w:t>If no local standard exists, use the following as a recommended benchmark baseline adapted from the Wolffia australiana workflow reported in *Genome Research* (2024):</w:t>
      </w:r>
    </w:p>
    <w:p>
      <w:pPr>
        <w:pStyle w:val="ListBullet"/>
      </w:pPr>
      <w:r>
        <w:t>axenic liquid culture</w:t>
      </w:r>
    </w:p>
    <w:p>
      <w:pPr>
        <w:pStyle w:val="ListBullet"/>
      </w:pPr>
      <w:r>
        <w:t>0.5x Schenk and Hildebrandt medium</w:t>
      </w:r>
    </w:p>
    <w:p>
      <w:pPr>
        <w:pStyle w:val="ListBullet"/>
      </w:pPr>
      <w:r>
        <w:t>0.1% sucrose</w:t>
      </w:r>
    </w:p>
    <w:p>
      <w:pPr>
        <w:pStyle w:val="ListBullet"/>
      </w:pPr>
      <w:r>
        <w:t>medium adjusted to pH 6.7</w:t>
      </w:r>
    </w:p>
    <w:p>
      <w:pPr>
        <w:pStyle w:val="ListBullet"/>
      </w:pPr>
      <w:r>
        <w:t>12-hour light / 12-hour dark photoperiod</w:t>
      </w:r>
    </w:p>
    <w:p>
      <w:pPr>
        <w:pStyle w:val="ListBullet"/>
      </w:pPr>
      <w:r>
        <w:t>24 C growth temperature</w:t>
      </w:r>
    </w:p>
    <w:p>
      <w:pPr>
        <w:pStyle w:val="ListBullet"/>
      </w:pPr>
      <w:r>
        <w:t>approximately 100 uE light intensity</w:t>
      </w:r>
    </w:p>
    <w:p>
      <w:pPr>
        <w:pStyle w:val="ListBullet"/>
      </w:pPr>
      <w:r>
        <w:t>weekly subculture by transferring about 10 fronds</w:t>
      </w:r>
    </w:p>
    <w:p>
      <w:pPr>
        <w:pStyle w:val="ListBullet"/>
      </w:pPr>
      <w:r>
        <w:t>harvest at the same time of day for all matched replicates</w:t>
      </w:r>
    </w:p>
    <w:p>
      <w:pPr>
        <w:pStyle w:val="ListBullet"/>
      </w:pPr>
      <w:r>
        <w:t>if following the published benchmark closely, use 200 to 300 plants per sample and avoid very old material</w:t>
      </w:r>
    </w:p>
    <w:p>
      <w:pPr>
        <w:spacing w:after="120" w:line="276" w:lineRule="auto"/>
      </w:pPr>
      <w:r>
        <w:t>These values are intended as a practical benchmark for pilot work, not as a claim that every Wolffia line must be grown under one universal condition.</w:t>
      </w:r>
    </w:p>
    <w:p>
      <w:pPr>
        <w:pStyle w:val="Heading1"/>
      </w:pPr>
      <w:r>
        <w:t>Required materials and equipment</w:t>
      </w:r>
    </w:p>
    <w:p>
      <w:pPr>
        <w:pStyle w:val="Heading2"/>
      </w:pPr>
      <w:r>
        <w:t>Culture and sampling</w:t>
      </w:r>
    </w:p>
    <w:p>
      <w:pPr>
        <w:pStyle w:val="ListBullet"/>
      </w:pPr>
      <w:r>
        <w:t>healthy Wolffia stock</w:t>
      </w:r>
    </w:p>
    <w:p>
      <w:pPr>
        <w:pStyle w:val="ListBullet"/>
      </w:pPr>
      <w:r>
        <w:t>growth medium</w:t>
      </w:r>
    </w:p>
    <w:p>
      <w:pPr>
        <w:pStyle w:val="ListBullet"/>
      </w:pPr>
      <w:r>
        <w:t>sterile culture vessels</w:t>
      </w:r>
    </w:p>
    <w:p>
      <w:pPr>
        <w:pStyle w:val="ListBullet"/>
      </w:pPr>
      <w:r>
        <w:t>sterile pipettes and tips</w:t>
      </w:r>
    </w:p>
    <w:p>
      <w:pPr>
        <w:pStyle w:val="ListBullet"/>
      </w:pPr>
      <w:r>
        <w:t>sterile forceps or sampling tools</w:t>
      </w:r>
    </w:p>
    <w:p>
      <w:pPr>
        <w:pStyle w:val="ListBullet"/>
      </w:pPr>
      <w:r>
        <w:t>metadata sheet or electronic sample log</w:t>
      </w:r>
    </w:p>
    <w:p>
      <w:pPr>
        <w:pStyle w:val="Heading2"/>
      </w:pPr>
      <w:r>
        <w:t>Pre-harvest QC</w:t>
      </w:r>
    </w:p>
    <w:p>
      <w:pPr>
        <w:pStyle w:val="ListBullet"/>
      </w:pPr>
      <w:r>
        <w:t>brightfield microscope or stereomicroscope</w:t>
      </w:r>
    </w:p>
    <w:p>
      <w:pPr>
        <w:pStyle w:val="ListBullet"/>
      </w:pPr>
      <w:r>
        <w:t>imaging device</w:t>
      </w:r>
    </w:p>
    <w:p>
      <w:pPr>
        <w:pStyle w:val="ListBullet"/>
      </w:pPr>
      <w:r>
        <w:t>optional balance for wet-weight estimation</w:t>
      </w:r>
    </w:p>
    <w:p>
      <w:pPr>
        <w:pStyle w:val="Heading2"/>
      </w:pPr>
      <w:r>
        <w:t>Intact-cell pilot</w:t>
      </w:r>
    </w:p>
    <w:p>
      <w:pPr>
        <w:pStyle w:val="ListBullet"/>
      </w:pPr>
      <w:r>
        <w:t>fresh sterile razor blade or similarly fine disruption tool</w:t>
      </w:r>
    </w:p>
    <w:p>
      <w:pPr>
        <w:pStyle w:val="ListBullet"/>
      </w:pPr>
      <w:r>
        <w:t>osmotic stabilization buffer</w:t>
      </w:r>
    </w:p>
    <w:p>
      <w:pPr>
        <w:pStyle w:val="ListBullet"/>
      </w:pPr>
      <w:r>
        <w:t>plant cell-wall digestion reagents</w:t>
      </w:r>
    </w:p>
    <w:p>
      <w:pPr>
        <w:pStyle w:val="ListBullet"/>
      </w:pPr>
      <w:r>
        <w:t>100 um sieve or mesh filter</w:t>
      </w:r>
    </w:p>
    <w:p>
      <w:pPr>
        <w:pStyle w:val="ListBullet"/>
      </w:pPr>
      <w:r>
        <w:t>40 um cell strainer</w:t>
      </w:r>
    </w:p>
    <w:p>
      <w:pPr>
        <w:pStyle w:val="ListBullet"/>
      </w:pPr>
      <w:r>
        <w:t>low-speed centrifuge</w:t>
      </w:r>
    </w:p>
    <w:p>
      <w:pPr>
        <w:pStyle w:val="ListBullet"/>
      </w:pPr>
      <w:r>
        <w:t>hemocytometer or automated counter</w:t>
      </w:r>
    </w:p>
    <w:p>
      <w:pPr>
        <w:pStyle w:val="ListBullet"/>
      </w:pPr>
      <w:r>
        <w:t>optional viability dye</w:t>
      </w:r>
    </w:p>
    <w:p>
      <w:pPr>
        <w:pStyle w:val="Heading2"/>
      </w:pPr>
      <w:r>
        <w:t>Nuclei pilot</w:t>
      </w:r>
    </w:p>
    <w:p>
      <w:pPr>
        <w:pStyle w:val="ListBullet"/>
      </w:pPr>
      <w:r>
        <w:t>ice bucket or cold block</w:t>
      </w:r>
    </w:p>
    <w:p>
      <w:pPr>
        <w:pStyle w:val="ListBullet"/>
      </w:pPr>
      <w:r>
        <w:t>nuclei isolation buffer</w:t>
      </w:r>
    </w:p>
    <w:p>
      <w:pPr>
        <w:pStyle w:val="ListBullet"/>
      </w:pPr>
      <w:r>
        <w:t>gentle homogenization setup such as a Dounce homogenizer</w:t>
      </w:r>
    </w:p>
    <w:p>
      <w:pPr>
        <w:pStyle w:val="ListBullet"/>
      </w:pPr>
      <w:r>
        <w:t>mesh filters or strainers</w:t>
      </w:r>
    </w:p>
    <w:p>
      <w:pPr>
        <w:pStyle w:val="ListBullet"/>
      </w:pPr>
      <w:r>
        <w:t>refrigerated centrifuge</w:t>
      </w:r>
    </w:p>
    <w:p>
      <w:pPr>
        <w:pStyle w:val="ListBullet"/>
      </w:pPr>
      <w:r>
        <w:t>nuclei counting setup</w:t>
      </w:r>
    </w:p>
    <w:p>
      <w:pPr>
        <w:pStyle w:val="ListBullet"/>
      </w:pPr>
      <w:r>
        <w:t>optional DNA stain</w:t>
      </w:r>
    </w:p>
    <w:p>
      <w:pPr>
        <w:pStyle w:val="Heading2"/>
      </w:pPr>
      <w:r>
        <w:t>Library preparation and sequencing</w:t>
      </w:r>
    </w:p>
    <w:p>
      <w:pPr>
        <w:pStyle w:val="ListBullet"/>
      </w:pPr>
      <w:r>
        <w:t>chosen library-prep kit or core-facility workflow</w:t>
      </w:r>
    </w:p>
    <w:p>
      <w:pPr>
        <w:pStyle w:val="ListBullet"/>
      </w:pPr>
      <w:r>
        <w:t>low-bind tubes</w:t>
      </w:r>
    </w:p>
    <w:p>
      <w:pPr>
        <w:pStyle w:val="ListBullet"/>
      </w:pPr>
      <w:r>
        <w:t>RNase-free plastics</w:t>
      </w:r>
    </w:p>
    <w:p>
      <w:pPr>
        <w:pStyle w:val="ListBullet"/>
      </w:pPr>
      <w:r>
        <w:t>PCR or amplification equipment as required by the platform</w:t>
      </w:r>
    </w:p>
    <w:p>
      <w:pPr>
        <w:pStyle w:val="ListBullet"/>
      </w:pPr>
      <w:r>
        <w:t>library quantification system</w:t>
      </w:r>
    </w:p>
    <w:p>
      <w:pPr>
        <w:pStyle w:val="ListBullet"/>
      </w:pPr>
      <w:r>
        <w:t>sequencing core or sequencing platform access</w:t>
      </w:r>
    </w:p>
    <w:p>
      <w:pPr>
        <w:pStyle w:val="ListBullet"/>
      </w:pPr>
      <w:r>
        <w:t>written platform specifications from the core or lab for acceptable input concentration, loading range, and cleanup expectations</w:t>
      </w:r>
    </w:p>
    <w:p>
      <w:pPr>
        <w:pStyle w:val="Heading1"/>
      </w:pPr>
      <w:r>
        <w:t>Metadata that must be recorded for every sample</w:t>
      </w:r>
    </w:p>
    <w:p>
      <w:pPr>
        <w:pStyle w:val="ListBullet"/>
      </w:pPr>
      <w:r>
        <w:t>sample ID</w:t>
      </w:r>
    </w:p>
    <w:p>
      <w:pPr>
        <w:pStyle w:val="ListBullet"/>
      </w:pPr>
      <w:r>
        <w:t>biological replicate ID</w:t>
      </w:r>
    </w:p>
    <w:p>
      <w:pPr>
        <w:pStyle w:val="ListBullet"/>
      </w:pPr>
      <w:r>
        <w:t>stock or genotype ID</w:t>
      </w:r>
    </w:p>
    <w:p>
      <w:pPr>
        <w:pStyle w:val="ListBullet"/>
      </w:pPr>
      <w:r>
        <w:t>medium</w:t>
      </w:r>
    </w:p>
    <w:p>
      <w:pPr>
        <w:pStyle w:val="ListBullet"/>
      </w:pPr>
      <w:r>
        <w:t>temperature</w:t>
      </w:r>
    </w:p>
    <w:p>
      <w:pPr>
        <w:pStyle w:val="ListBullet"/>
      </w:pPr>
      <w:r>
        <w:t>photoperiod</w:t>
      </w:r>
    </w:p>
    <w:p>
      <w:pPr>
        <w:pStyle w:val="ListBullet"/>
      </w:pPr>
      <w:r>
        <w:t>harvest date and time</w:t>
      </w:r>
    </w:p>
    <w:p>
      <w:pPr>
        <w:pStyle w:val="ListBullet"/>
      </w:pPr>
      <w:r>
        <w:t>operator</w:t>
      </w:r>
    </w:p>
    <w:p>
      <w:pPr>
        <w:pStyle w:val="ListBullet"/>
      </w:pPr>
      <w:r>
        <w:t>prep route: cell or nucleus</w:t>
      </w:r>
    </w:p>
    <w:p>
      <w:pPr>
        <w:pStyle w:val="ListBullet"/>
      </w:pPr>
      <w:r>
        <w:t>preparation condition ID</w:t>
      </w:r>
    </w:p>
    <w:p>
      <w:pPr>
        <w:pStyle w:val="ListBullet"/>
      </w:pPr>
      <w:r>
        <w:t>viability or nuclei-integrity observation</w:t>
      </w:r>
    </w:p>
    <w:p>
      <w:pPr>
        <w:pStyle w:val="ListBullet"/>
      </w:pPr>
      <w:r>
        <w:t>library batch</w:t>
      </w:r>
    </w:p>
    <w:p>
      <w:pPr>
        <w:pStyle w:val="ListBullet"/>
      </w:pPr>
      <w:r>
        <w:t>sequencing batch</w:t>
      </w:r>
    </w:p>
    <w:p>
      <w:pPr>
        <w:pStyle w:val="Heading1"/>
      </w:pPr>
      <w:r>
        <w:t>Protocol</w:t>
      </w:r>
    </w:p>
    <w:p>
      <w:pPr>
        <w:pStyle w:val="Heading1"/>
      </w:pPr>
      <w:r>
        <w:t>Step 1: Establish and stabilize Wolffia cultures</w:t>
      </w:r>
    </w:p>
    <w:p>
      <w:pPr>
        <w:pStyle w:val="ListNumber"/>
      </w:pPr>
      <w:r>
        <w:t>Start with one Wolffia line or stock only.</w:t>
      </w:r>
    </w:p>
    <w:p>
      <w:pPr>
        <w:pStyle w:val="ListNumber"/>
      </w:pPr>
      <w:r>
        <w:t>Grow the material under one defined baseline vegetative condition.</w:t>
      </w:r>
    </w:p>
    <w:p>
      <w:pPr>
        <w:pStyle w:val="ListNumber"/>
      </w:pPr>
      <w:r>
        <w:t>Maintain the same medium, light schedule, and temperature across all pilot cultures.</w:t>
      </w:r>
    </w:p>
    <w:p>
      <w:pPr>
        <w:pStyle w:val="ListNumber"/>
      </w:pPr>
      <w:r>
        <w:t>Avoid mixing very old and very young cultures in the same experimental batch.</w:t>
      </w:r>
    </w:p>
    <w:p>
      <w:pPr>
        <w:pStyle w:val="ListNumber"/>
      </w:pPr>
      <w:r>
        <w:t>Keep a culture log for at least several days before harvest.</w:t>
      </w:r>
    </w:p>
    <w:p>
      <w:pPr>
        <w:pStyle w:val="Heading2"/>
      </w:pPr>
      <w:r>
        <w:t>Output</w:t>
      </w:r>
    </w:p>
    <w:p>
      <w:pPr>
        <w:pStyle w:val="ListBullet"/>
      </w:pPr>
      <w:r>
        <w:t>healthy, standardized Wolffia cultures</w:t>
      </w:r>
    </w:p>
    <w:p>
      <w:pPr>
        <w:pStyle w:val="ListBullet"/>
      </w:pPr>
      <w:r>
        <w:t>stable maintenance conditions</w:t>
      </w:r>
    </w:p>
    <w:p>
      <w:pPr>
        <w:pStyle w:val="ListBullet"/>
      </w:pPr>
      <w:r>
        <w:t>clear metadata records</w:t>
      </w:r>
    </w:p>
    <w:p>
      <w:pPr>
        <w:pStyle w:val="Heading1"/>
      </w:pPr>
      <w:r>
        <w:t>Step 2: Perform pre-harvest culture QC</w:t>
      </w:r>
    </w:p>
    <w:p>
      <w:pPr>
        <w:pStyle w:val="ListNumber"/>
      </w:pPr>
      <w:r>
        <w:t>Inspect representative fronds by brightfield microscopy or stereomicroscopy.</w:t>
      </w:r>
    </w:p>
    <w:p>
      <w:pPr>
        <w:pStyle w:val="ListNumber"/>
      </w:pPr>
      <w:r>
        <w:t>Record visible morphology, frond size, budding status, and contamination.</w:t>
      </w:r>
    </w:p>
    <w:p>
      <w:pPr>
        <w:pStyle w:val="ListNumber"/>
      </w:pPr>
      <w:r>
        <w:t>Estimate available biomass by frond count, wet weight, or both.</w:t>
      </w:r>
    </w:p>
    <w:p>
      <w:pPr>
        <w:pStyle w:val="ListNumber"/>
      </w:pPr>
      <w:r>
        <w:t>Exclude cultures that are obviously stressed, contaminated, senescent, or highly heterogeneous.</w:t>
      </w:r>
    </w:p>
    <w:p>
      <w:pPr>
        <w:pStyle w:val="Heading2"/>
      </w:pPr>
      <w:r>
        <w:t>Go / no-go rule</w:t>
      </w:r>
    </w:p>
    <w:p>
      <w:pPr>
        <w:spacing w:after="120" w:line="276" w:lineRule="auto"/>
      </w:pPr>
      <w:r>
        <w:t>Proceed only if the cultures are:</w:t>
      </w:r>
    </w:p>
    <w:p>
      <w:pPr>
        <w:pStyle w:val="ListBullet"/>
      </w:pPr>
      <w:r>
        <w:t>visibly healthy</w:t>
      </w:r>
    </w:p>
    <w:p>
      <w:pPr>
        <w:pStyle w:val="ListBullet"/>
      </w:pPr>
      <w:r>
        <w:t>reasonably uniform</w:t>
      </w:r>
    </w:p>
    <w:p>
      <w:pPr>
        <w:pStyle w:val="ListBullet"/>
      </w:pPr>
      <w:r>
        <w:t>free of obvious contamination</w:t>
      </w:r>
    </w:p>
    <w:p>
      <w:pPr>
        <w:pStyle w:val="ListBullet"/>
      </w:pPr>
      <w:r>
        <w:t>sufficient in biomass for a split pilot</w:t>
      </w:r>
    </w:p>
    <w:p>
      <w:pPr>
        <w:pStyle w:val="Heading1"/>
      </w:pPr>
      <w:r>
        <w:t>Step 3: Harvest fresh Wolffia fronds or pooled plant material</w:t>
      </w:r>
    </w:p>
    <w:p>
      <w:pPr>
        <w:spacing w:after="120" w:line="276" w:lineRule="auto"/>
      </w:pPr>
      <w:r>
        <w:t>In this protocol, "tissue" means the harvested Wolffia material itself: usually pooled fronds or pooled whole plants from culture, not a large leaf or organ.</w:t>
      </w:r>
    </w:p>
    <w:p>
      <w:pPr>
        <w:pStyle w:val="ListNumber"/>
      </w:pPr>
      <w:r>
        <w:t>Harvest fronds or pooled plant material gently to avoid unnecessary mechanical damage.</w:t>
      </w:r>
    </w:p>
    <w:p>
      <w:pPr>
        <w:pStyle w:val="ListNumber"/>
      </w:pPr>
      <w:r>
        <w:t>Use the same harvest method and timing for all matched pilot samples.</w:t>
      </w:r>
    </w:p>
    <w:p>
      <w:pPr>
        <w:pStyle w:val="ListNumber"/>
      </w:pPr>
      <w:r>
        <w:t>Minimize the time between harvest and the start of preparation.</w:t>
      </w:r>
    </w:p>
    <w:p>
      <w:pPr>
        <w:pStyle w:val="ListNumber"/>
      </w:pPr>
      <w:r>
        <w:t>For nuclei preparations, place the harvested material on ice immediately after harvest.</w:t>
      </w:r>
    </w:p>
    <w:p>
      <w:pPr>
        <w:pStyle w:val="ListNumber"/>
      </w:pPr>
      <w:r>
        <w:t>For intact-cell preparations, move the harvested material rapidly into the chosen wash or stabilization buffer.</w:t>
      </w:r>
    </w:p>
    <w:p>
      <w:pPr>
        <w:pStyle w:val="Heading2"/>
      </w:pPr>
      <w:r>
        <w:t>Critical rule</w:t>
      </w:r>
    </w:p>
    <w:p>
      <w:pPr>
        <w:spacing w:after="120" w:line="276" w:lineRule="auto"/>
      </w:pPr>
      <w:r>
        <w:t>Record the harvest-to-processing time for every sample.</w:t>
      </w:r>
    </w:p>
    <w:p>
      <w:pPr>
        <w:pStyle w:val="Heading1"/>
      </w:pPr>
      <w:r>
        <w:t>Step 4: Split the matched pilot into two preparation routes</w:t>
      </w:r>
    </w:p>
    <w:p>
      <w:pPr>
        <w:spacing w:after="120" w:line="276" w:lineRule="auto"/>
      </w:pPr>
      <w:r>
        <w:t>From the same starting biological material, divide the sample into:</w:t>
      </w:r>
    </w:p>
    <w:p>
      <w:pPr>
        <w:pStyle w:val="ListBullet"/>
      </w:pPr>
      <w:r>
        <w:t>Route A: intact-cell preparation</w:t>
      </w:r>
    </w:p>
    <w:p>
      <w:pPr>
        <w:pStyle w:val="ListBullet"/>
      </w:pPr>
      <w:r>
        <w:t>Route B: nuclei preparation</w:t>
      </w:r>
    </w:p>
    <w:p>
      <w:pPr>
        <w:spacing w:after="120" w:line="276" w:lineRule="auto"/>
      </w:pPr>
      <w:r>
        <w:t>The purpose of the pilot is technical comparison, not biological comparison.</w:t>
      </w:r>
    </w:p>
    <w:p>
      <w:pPr>
        <w:pStyle w:val="Heading1"/>
      </w:pPr>
      <w:r>
        <w:t>Step 5A: Intact-cell preparation pilot</w:t>
      </w:r>
    </w:p>
    <w:p>
      <w:pPr>
        <w:pStyle w:val="Heading2"/>
      </w:pPr>
      <w:r>
        <w:t>Goal</w:t>
      </w:r>
    </w:p>
    <w:p>
      <w:pPr>
        <w:spacing w:after="120" w:line="276" w:lineRule="auto"/>
      </w:pPr>
      <w:r>
        <w:t>Recover intact, viable single cells with minimal preparation-induced stress.</w:t>
      </w:r>
    </w:p>
    <w:p>
      <w:pPr>
        <w:pStyle w:val="Heading2"/>
      </w:pPr>
      <w:r>
        <w:t>Practical starting workflow</w:t>
      </w:r>
    </w:p>
    <w:p>
      <w:pPr>
        <w:pStyle w:val="ListNumber"/>
      </w:pPr>
      <w:r>
        <w:t>Rinse freshly harvested Wolffia briefly to remove residual medium.</w:t>
      </w:r>
    </w:p>
    <w:p>
      <w:pPr>
        <w:pStyle w:val="ListNumber"/>
      </w:pPr>
      <w:r>
        <w:t>If using the published Wolffia australiana benchmark route, collect a pooled sample of about 200 to 300 plants and gently dice the pooled fronds or whole plants with a fresh sterile razor blade. This step is used to improve enzyme access through the thick waterproof cuticle; it does not mean trying to cut one tiny plant at a time.</w:t>
      </w:r>
    </w:p>
    <w:p>
      <w:pPr>
        <w:pStyle w:val="ListNumber"/>
      </w:pPr>
      <w:r>
        <w:t>Transfer the diced plant material into a benchmark digestion solution containing 0.1 M KCl, 0.02 M MgCl2, 0.1% BSA, 0.08 M MES, 0.6 M mannitol, adjusted to pH 5.5, plus 1.5% cellulase R-10, 1% maceroenzyme, and 0.5% pectolyase.</w:t>
      </w:r>
    </w:p>
    <w:p>
      <w:pPr>
        <w:pStyle w:val="ListNumber"/>
      </w:pPr>
      <w:r>
        <w:t>Incubate under gentle agitation, keeping the shaker below 200 rpm, for a short pilot time course that does not exceed about 90 minutes unless the lab deliberately tests a longer condition.</w:t>
      </w:r>
    </w:p>
    <w:p>
      <w:pPr>
        <w:pStyle w:val="ListNumber"/>
      </w:pPr>
      <w:r>
        <w:t>Filter the digest first through a 100 um sieve and then through a 40 um cell strainer to remove large debris.</w:t>
      </w:r>
    </w:p>
    <w:p>
      <w:pPr>
        <w:pStyle w:val="ListNumber"/>
      </w:pPr>
      <w:r>
        <w:t>Wash the recovered cells in the same buffer formulation without enzymes.</w:t>
      </w:r>
    </w:p>
    <w:p>
      <w:pPr>
        <w:pStyle w:val="ListNumber"/>
      </w:pPr>
      <w:r>
        <w:t>Pellet and wash using gentle centrifugation consistent with the benchmark route, for example an initial spin near 1000 g at 20 C followed by a later wash near 500 g at 20 C.</w:t>
      </w:r>
    </w:p>
    <w:p>
      <w:pPr>
        <w:pStyle w:val="ListNumber"/>
      </w:pPr>
      <w:r>
        <w:t>Resuspend the final pellet in about 500 uL wash buffer, minimize total washing time, and aim to finish the wash steps within about 30 minutes.</w:t>
      </w:r>
    </w:p>
    <w:p>
      <w:pPr>
        <w:pStyle w:val="ListNumber"/>
      </w:pPr>
      <w:r>
        <w:t>Count cells immediately by light microscopy and hemocytometer, inspect morphology, and measure viability if the workflow supports it.</w:t>
      </w:r>
    </w:p>
    <w:p>
      <w:pPr>
        <w:pStyle w:val="Heading2"/>
      </w:pPr>
      <w:r>
        <w:t>Pilot variables to compare</w:t>
      </w:r>
    </w:p>
    <w:p>
      <w:pPr>
        <w:spacing w:after="120" w:line="276" w:lineRule="auto"/>
      </w:pPr>
      <w:r>
        <w:t>Do not assume one final condition on day one. Start close to the published benchmark, then compare a small matrix such as:</w:t>
      </w:r>
    </w:p>
    <w:p>
      <w:pPr>
        <w:pStyle w:val="ListBullet"/>
      </w:pPr>
      <w:r>
        <w:t>shorter versus longer digestion time</w:t>
      </w:r>
    </w:p>
    <w:p>
      <w:pPr>
        <w:pStyle w:val="ListBullet"/>
      </w:pPr>
      <w:r>
        <w:t>lower versus moderate enzyme strength</w:t>
      </w:r>
    </w:p>
    <w:p>
      <w:pPr>
        <w:pStyle w:val="ListBullet"/>
      </w:pPr>
      <w:r>
        <w:t>with versus without gentle agitation</w:t>
      </w:r>
    </w:p>
    <w:p>
      <w:pPr>
        <w:pStyle w:val="ListBullet"/>
      </w:pPr>
      <w:r>
        <w:t>with versus without a pre-infiltration step if the lab routinely uses one</w:t>
      </w:r>
    </w:p>
    <w:p>
      <w:pPr>
        <w:pStyle w:val="ListBullet"/>
      </w:pPr>
      <w:r>
        <w:t>whole-frond handling versus gentle razor dicing if the lab wants to test whether cutting is truly necessary for its line and growth condition</w:t>
      </w:r>
    </w:p>
    <w:p>
      <w:pPr>
        <w:pStyle w:val="Heading2"/>
      </w:pPr>
      <w:r>
        <w:t>What must be measured</w:t>
      </w:r>
    </w:p>
    <w:p>
      <w:pPr>
        <w:pStyle w:val="ListBullet"/>
      </w:pPr>
      <w:r>
        <w:t>total recovered cell count</w:t>
      </w:r>
    </w:p>
    <w:p>
      <w:pPr>
        <w:pStyle w:val="ListBullet"/>
      </w:pPr>
      <w:r>
        <w:t>cell concentration</w:t>
      </w:r>
    </w:p>
    <w:p>
      <w:pPr>
        <w:pStyle w:val="ListBullet"/>
      </w:pPr>
      <w:r>
        <w:t>viability</w:t>
      </w:r>
    </w:p>
    <w:p>
      <w:pPr>
        <w:pStyle w:val="ListBullet"/>
      </w:pPr>
      <w:r>
        <w:t>visible clumping</w:t>
      </w:r>
    </w:p>
    <w:p>
      <w:pPr>
        <w:pStyle w:val="ListBullet"/>
      </w:pPr>
      <w:r>
        <w:t>debris burden</w:t>
      </w:r>
    </w:p>
    <w:p>
      <w:pPr>
        <w:pStyle w:val="ListBullet"/>
      </w:pPr>
      <w:r>
        <w:t>approximate time from harvest to stabilization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reproducible recovery of intact-looking cells</w:t>
      </w:r>
    </w:p>
    <w:p>
      <w:pPr>
        <w:pStyle w:val="ListBullet"/>
      </w:pPr>
      <w:r>
        <w:t>acceptable viability</w:t>
      </w:r>
    </w:p>
    <w:p>
      <w:pPr>
        <w:pStyle w:val="ListBullet"/>
      </w:pPr>
      <w:r>
        <w:t>manageable debris</w:t>
      </w:r>
    </w:p>
    <w:p>
      <w:pPr>
        <w:pStyle w:val="ListBullet"/>
      </w:pPr>
      <w:r>
        <w:t>limited clumping</w:t>
      </w:r>
    </w:p>
    <w:p>
      <w:pPr>
        <w:pStyle w:val="Heading2"/>
      </w:pPr>
      <w:r>
        <w:t>Failure criteria</w:t>
      </w:r>
    </w:p>
    <w:p>
      <w:pPr>
        <w:pStyle w:val="ListBullet"/>
      </w:pPr>
      <w:r>
        <w:t>mostly broken material</w:t>
      </w:r>
    </w:p>
    <w:p>
      <w:pPr>
        <w:pStyle w:val="ListBullet"/>
      </w:pPr>
      <w:r>
        <w:t>very low viability</w:t>
      </w:r>
    </w:p>
    <w:p>
      <w:pPr>
        <w:pStyle w:val="ListBullet"/>
      </w:pPr>
      <w:r>
        <w:t>extreme clumping</w:t>
      </w:r>
    </w:p>
    <w:p>
      <w:pPr>
        <w:pStyle w:val="ListBullet"/>
      </w:pPr>
      <w:r>
        <w:t>very low yield</w:t>
      </w:r>
    </w:p>
    <w:p>
      <w:pPr>
        <w:pStyle w:val="ListBullet"/>
      </w:pPr>
      <w:r>
        <w:t>harsh treatment required just to recover any cells</w:t>
      </w:r>
    </w:p>
    <w:p>
      <w:pPr>
        <w:spacing w:after="120" w:line="276" w:lineRule="auto"/>
      </w:pPr>
      <w:r>
        <w:t>If the failure criteria dominate, do not force the cell route. Continue with the nuclei route as the likely preferred option.</w:t>
      </w:r>
    </w:p>
    <w:p>
      <w:pPr>
        <w:pStyle w:val="Heading1"/>
      </w:pPr>
      <w:r>
        <w:t>Step 5B: Nuclei preparation pilot</w:t>
      </w:r>
    </w:p>
    <w:p>
      <w:pPr>
        <w:pStyle w:val="Heading2"/>
      </w:pPr>
      <w:r>
        <w:t>Goal</w:t>
      </w:r>
    </w:p>
    <w:p>
      <w:pPr>
        <w:spacing w:after="120" w:line="276" w:lineRule="auto"/>
      </w:pPr>
      <w:r>
        <w:t>Recover clean, intact single nuclei while avoiding the stress burden of full wall digestion.</w:t>
      </w:r>
    </w:p>
    <w:p>
      <w:pPr>
        <w:pStyle w:val="Heading2"/>
      </w:pPr>
      <w:r>
        <w:t>Practical starting workflow</w:t>
      </w:r>
    </w:p>
    <w:p>
      <w:pPr>
        <w:pStyle w:val="ListNumber"/>
      </w:pPr>
      <w:r>
        <w:t>Keep freshly harvested Wolffia cold from the start of processing.</w:t>
      </w:r>
    </w:p>
    <w:p>
      <w:pPr>
        <w:pStyle w:val="ListNumber"/>
      </w:pPr>
      <w:r>
        <w:t>Transfer the harvested plant material into a cold nuclei isolation buffer.</w:t>
      </w:r>
    </w:p>
    <w:p>
      <w:pPr>
        <w:pStyle w:val="ListNumber"/>
      </w:pPr>
      <w:r>
        <w:t>Homogenize gently just enough to release nuclei.</w:t>
      </w:r>
    </w:p>
    <w:p>
      <w:pPr>
        <w:pStyle w:val="ListNumber"/>
      </w:pPr>
      <w:r>
        <w:t>Filter the homogenate to remove large debris.</w:t>
      </w:r>
    </w:p>
    <w:p>
      <w:pPr>
        <w:pStyle w:val="ListNumber"/>
      </w:pPr>
      <w:r>
        <w:t>Pellet and wash nuclei carefully under cold conditions.</w:t>
      </w:r>
    </w:p>
    <w:p>
      <w:pPr>
        <w:pStyle w:val="ListNumber"/>
      </w:pPr>
      <w:r>
        <w:t>Count nuclei and inspect nuclear integrity.</w:t>
      </w:r>
    </w:p>
    <w:p>
      <w:pPr>
        <w:pStyle w:val="ListNumber"/>
      </w:pPr>
      <w:r>
        <w:t>If appropriate, use a standard nuclei stain for counting or gating.</w:t>
      </w:r>
    </w:p>
    <w:p>
      <w:pPr>
        <w:pStyle w:val="Heading2"/>
      </w:pPr>
      <w:r>
        <w:t>What must be measured</w:t>
      </w:r>
    </w:p>
    <w:p>
      <w:pPr>
        <w:pStyle w:val="ListBullet"/>
      </w:pPr>
      <w:r>
        <w:t>nuclei count</w:t>
      </w:r>
    </w:p>
    <w:p>
      <w:pPr>
        <w:pStyle w:val="ListBullet"/>
      </w:pPr>
      <w:r>
        <w:t>clumping</w:t>
      </w:r>
    </w:p>
    <w:p>
      <w:pPr>
        <w:pStyle w:val="ListBullet"/>
      </w:pPr>
      <w:r>
        <w:t>visible nuclear integrity</w:t>
      </w:r>
    </w:p>
    <w:p>
      <w:pPr>
        <w:pStyle w:val="ListBullet"/>
      </w:pPr>
      <w:r>
        <w:t>debris burden</w:t>
      </w:r>
    </w:p>
    <w:p>
      <w:pPr>
        <w:pStyle w:val="ListBullet"/>
      </w:pPr>
      <w:r>
        <w:t>apparent plastid carryover</w:t>
      </w:r>
    </w:p>
    <w:p>
      <w:pPr>
        <w:pStyle w:val="ListBullet"/>
      </w:pPr>
      <w:r>
        <w:t>apparent ambient contamination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clean single nuclei</w:t>
      </w:r>
    </w:p>
    <w:p>
      <w:pPr>
        <w:pStyle w:val="ListBullet"/>
      </w:pPr>
      <w:r>
        <w:t>reproducible yield</w:t>
      </w:r>
    </w:p>
    <w:p>
      <w:pPr>
        <w:pStyle w:val="ListBullet"/>
      </w:pPr>
      <w:r>
        <w:t>manageable debris</w:t>
      </w:r>
    </w:p>
    <w:p>
      <w:pPr>
        <w:pStyle w:val="ListBullet"/>
      </w:pPr>
      <w:r>
        <w:t>better overall sample quality than the cell route</w:t>
      </w:r>
    </w:p>
    <w:p>
      <w:pPr>
        <w:pStyle w:val="Heading2"/>
      </w:pPr>
      <w:r>
        <w:t>Failure criteria</w:t>
      </w:r>
    </w:p>
    <w:p>
      <w:pPr>
        <w:pStyle w:val="ListBullet"/>
      </w:pPr>
      <w:r>
        <w:t>extensive rupture</w:t>
      </w:r>
    </w:p>
    <w:p>
      <w:pPr>
        <w:pStyle w:val="ListBullet"/>
      </w:pPr>
      <w:r>
        <w:t>severe aggregation</w:t>
      </w:r>
    </w:p>
    <w:p>
      <w:pPr>
        <w:pStyle w:val="ListBullet"/>
      </w:pPr>
      <w:r>
        <w:t>extreme contamination</w:t>
      </w:r>
    </w:p>
    <w:p>
      <w:pPr>
        <w:pStyle w:val="ListBullet"/>
      </w:pPr>
      <w:r>
        <w:t>very poor recovery</w:t>
      </w:r>
    </w:p>
    <w:p>
      <w:pPr>
        <w:pStyle w:val="Heading1"/>
      </w:pPr>
      <w:r>
        <w:t>Step 6: Choose the route for the full experiment</w:t>
      </w:r>
    </w:p>
    <w:p>
      <w:pPr>
        <w:spacing w:after="120" w:line="276" w:lineRule="auto"/>
      </w:pPr>
      <w:r>
        <w:t>Select the route using evidence, not preference.</w:t>
      </w:r>
    </w:p>
    <w:p>
      <w:pPr>
        <w:pStyle w:val="Heading2"/>
      </w:pPr>
      <w:r>
        <w:t>Choose the intact-cell route if</w:t>
      </w:r>
    </w:p>
    <w:p>
      <w:pPr>
        <w:pStyle w:val="ListBullet"/>
      </w:pPr>
      <w:r>
        <w:t>viable cell recovery is reproducible</w:t>
      </w:r>
    </w:p>
    <w:p>
      <w:pPr>
        <w:pStyle w:val="ListBullet"/>
      </w:pPr>
      <w:r>
        <w:t>debris and clumping are manageable</w:t>
      </w:r>
    </w:p>
    <w:p>
      <w:pPr>
        <w:pStyle w:val="ListBullet"/>
      </w:pPr>
      <w:r>
        <w:t>the preparation does not appear excessively harsh</w:t>
      </w:r>
    </w:p>
    <w:p>
      <w:pPr>
        <w:pStyle w:val="ListBullet"/>
      </w:pPr>
      <w:r>
        <w:t>the route is likely to preserve real biological structure</w:t>
      </w:r>
    </w:p>
    <w:p>
      <w:pPr>
        <w:pStyle w:val="Heading2"/>
      </w:pPr>
      <w:r>
        <w:t>Choose the nuclei route if</w:t>
      </w:r>
    </w:p>
    <w:p>
      <w:pPr>
        <w:pStyle w:val="ListBullet"/>
      </w:pPr>
      <w:r>
        <w:t>the cell route is harsh, inconsistent, or low-yield</w:t>
      </w:r>
    </w:p>
    <w:p>
      <w:pPr>
        <w:pStyle w:val="ListBullet"/>
      </w:pPr>
      <w:r>
        <w:t>nuclei are clearly cleaner and more reproducible</w:t>
      </w:r>
    </w:p>
    <w:p>
      <w:pPr>
        <w:pStyle w:val="ListBullet"/>
      </w:pPr>
      <w:r>
        <w:t>the fronds or pooled plant material appear difficult to dissociate cleanly as intact cells</w:t>
      </w:r>
    </w:p>
    <w:p>
      <w:pPr>
        <w:pStyle w:val="Heading1"/>
      </w:pPr>
      <w:r>
        <w:t>Step 7: Run the first full Wolffia discovery experiment</w:t>
      </w:r>
    </w:p>
    <w:p>
      <w:pPr>
        <w:spacing w:after="120" w:line="276" w:lineRule="auto"/>
      </w:pPr>
      <w:r>
        <w:t>Once a route is selected, lock the upstream preparation and run the first full experiment with:</w:t>
      </w:r>
    </w:p>
    <w:p>
      <w:pPr>
        <w:pStyle w:val="ListBullet"/>
      </w:pPr>
      <w:r>
        <w:t>one defined vegetative condition</w:t>
      </w:r>
    </w:p>
    <w:p>
      <w:pPr>
        <w:pStyle w:val="ListBullet"/>
      </w:pPr>
      <w:r>
        <w:t>three biological replicates</w:t>
      </w:r>
    </w:p>
    <w:p>
      <w:pPr>
        <w:pStyle w:val="ListBullet"/>
      </w:pPr>
      <w:r>
        <w:t>one fixed preparation route</w:t>
      </w:r>
    </w:p>
    <w:p>
      <w:pPr>
        <w:pStyle w:val="ListBullet"/>
      </w:pPr>
      <w:r>
        <w:t>one fixed library-prep workflow</w:t>
      </w:r>
    </w:p>
    <w:p>
      <w:pPr>
        <w:pStyle w:val="Heading2"/>
      </w:pPr>
      <w:r>
        <w:t>Sample-design rule</w:t>
      </w:r>
    </w:p>
    <w:p>
      <w:pPr>
        <w:spacing w:after="120" w:line="276" w:lineRule="auto"/>
      </w:pPr>
      <w:r>
        <w:t>The first full experiment should remain simple.</w:t>
      </w:r>
    </w:p>
    <w:p>
      <w:pPr>
        <w:spacing w:after="120" w:line="276" w:lineRule="auto"/>
      </w:pPr>
      <w:r>
        <w:t>Do not combine:</w:t>
      </w:r>
    </w:p>
    <w:p>
      <w:pPr>
        <w:pStyle w:val="ListBullet"/>
      </w:pPr>
      <w:r>
        <w:t>multiple perturbations</w:t>
      </w:r>
    </w:p>
    <w:p>
      <w:pPr>
        <w:pStyle w:val="ListBullet"/>
      </w:pPr>
      <w:r>
        <w:t>mixed developmental conditions</w:t>
      </w:r>
    </w:p>
    <w:p>
      <w:pPr>
        <w:pStyle w:val="ListBullet"/>
      </w:pPr>
      <w:r>
        <w:t>rare-state enrichment schemes</w:t>
      </w:r>
    </w:p>
    <w:p>
      <w:pPr>
        <w:spacing w:after="120" w:line="276" w:lineRule="auto"/>
      </w:pPr>
      <w:r>
        <w:t>until a clean baseline Wolffia reference exists.</w:t>
      </w:r>
    </w:p>
    <w:p>
      <w:pPr>
        <w:pStyle w:val="Heading1"/>
      </w:pPr>
      <w:r>
        <w:t>Step 8: Prepare libraries and sequence</w:t>
      </w:r>
    </w:p>
    <w:p>
      <w:pPr>
        <w:pStyle w:val="ListNumber"/>
      </w:pPr>
      <w:r>
        <w:t>Use the selected input type consistently across all replicates.</w:t>
      </w:r>
    </w:p>
    <w:p>
      <w:pPr>
        <w:pStyle w:val="ListNumber"/>
      </w:pPr>
      <w:r>
        <w:t>Keep library preparation as uniform as possible across replicates.</w:t>
      </w:r>
    </w:p>
    <w:p>
      <w:pPr>
        <w:pStyle w:val="ListNumber"/>
      </w:pPr>
      <w:r>
        <w:t>Sequence replicates in a balanced way to avoid obvious batch imbalance.</w:t>
      </w:r>
    </w:p>
    <w:p>
      <w:pPr>
        <w:pStyle w:val="ListNumber"/>
      </w:pPr>
      <w:r>
        <w:t>Prioritize library quality and replicate consistency over scale inflation.</w:t>
      </w:r>
    </w:p>
    <w:p>
      <w:pPr>
        <w:pStyle w:val="Heading2"/>
      </w:pPr>
      <w:r>
        <w:t>Important note</w:t>
      </w:r>
    </w:p>
    <w:p>
      <w:pPr>
        <w:spacing w:after="120" w:line="276" w:lineRule="auto"/>
      </w:pPr>
      <w:r>
        <w:t>If the lab uses PIP-seq, the most important Wolffia-specific optimization still remains upstream preparation quality. In practice, that means:</w:t>
      </w:r>
    </w:p>
    <w:p>
      <w:pPr>
        <w:pStyle w:val="ListBullet"/>
      </w:pPr>
      <w:r>
        <w:t>confirm with the lab or core whether the PIP-seq run expects intact cells, nuclei, or can support both</w:t>
      </w:r>
    </w:p>
    <w:p>
      <w:pPr>
        <w:pStyle w:val="ListBullet"/>
      </w:pPr>
      <w:r>
        <w:t>deliver a low-clump, low-debris suspension rather than chasing the largest possible yield</w:t>
      </w:r>
    </w:p>
    <w:p>
      <w:pPr>
        <w:pStyle w:val="ListBullet"/>
      </w:pPr>
      <w:r>
        <w:t>stay within the platform's required concentration or loading window</w:t>
      </w:r>
    </w:p>
    <w:p>
      <w:pPr>
        <w:pStyle w:val="ListBullet"/>
      </w:pPr>
      <w:r>
        <w:t>keep replicate handling and barcoding uniform across the whole run</w:t>
      </w:r>
    </w:p>
    <w:p>
      <w:pPr>
        <w:pStyle w:val="ListBullet"/>
      </w:pPr>
      <w:r>
        <w:t>record any cleanup, enrichment, or loading deviations because they may matter later during interpretation</w:t>
      </w:r>
    </w:p>
    <w:p>
      <w:pPr>
        <w:spacing w:after="120" w:line="276" w:lineRule="auto"/>
      </w:pPr>
      <w:r>
        <w:t>If the lab later uses another lower-throughput workflow instead of PIP-seq, the same rule still applies: clean input biology comes first.</w:t>
      </w:r>
    </w:p>
    <w:p>
      <w:pPr>
        <w:pStyle w:val="Heading1"/>
      </w:pPr>
      <w:r>
        <w:t>Step 9: Perform immediate post-sequencing QC</w:t>
      </w:r>
    </w:p>
    <w:p>
      <w:pPr>
        <w:spacing w:after="120" w:line="276" w:lineRule="auto"/>
      </w:pPr>
      <w:r>
        <w:t>As soon as sequencing data are available, evaluate:</w:t>
      </w:r>
    </w:p>
    <w:p>
      <w:pPr>
        <w:pStyle w:val="ListBullet"/>
      </w:pPr>
      <w:r>
        <w:t>reads per cell or per nucleus</w:t>
      </w:r>
    </w:p>
    <w:p>
      <w:pPr>
        <w:pStyle w:val="ListBullet"/>
      </w:pPr>
      <w:r>
        <w:t>genes detected per cell or per nucleus</w:t>
      </w:r>
    </w:p>
    <w:p>
      <w:pPr>
        <w:pStyle w:val="ListBullet"/>
      </w:pPr>
      <w:r>
        <w:t>organellar fraction</w:t>
      </w:r>
    </w:p>
    <w:p>
      <w:pPr>
        <w:pStyle w:val="ListBullet"/>
      </w:pPr>
      <w:r>
        <w:t>ambient-RNA-like background</w:t>
      </w:r>
    </w:p>
    <w:p>
      <w:pPr>
        <w:pStyle w:val="ListBullet"/>
      </w:pPr>
      <w:r>
        <w:t>probable doublet burden</w:t>
      </w:r>
    </w:p>
    <w:p>
      <w:pPr>
        <w:pStyle w:val="ListBullet"/>
      </w:pPr>
      <w:r>
        <w:t>replicate mixing</w:t>
      </w:r>
    </w:p>
    <w:p>
      <w:pPr>
        <w:pStyle w:val="ListBullet"/>
      </w:pPr>
      <w:r>
        <w:t>stress-like artifact burden</w:t>
      </w:r>
    </w:p>
    <w:p>
      <w:pPr>
        <w:pStyle w:val="ListBullet"/>
      </w:pPr>
      <w:r>
        <w:t>stability of recovered clusters or neighborhoods</w:t>
      </w:r>
    </w:p>
    <w:p>
      <w:pPr>
        <w:pStyle w:val="Heading2"/>
      </w:pPr>
      <w:r>
        <w:t>Minimum biological success criterion</w:t>
      </w:r>
    </w:p>
    <w:p>
      <w:pPr>
        <w:spacing w:after="120" w:line="276" w:lineRule="auto"/>
      </w:pPr>
      <w:r>
        <w:t>The experiment is successful if it recovers at least some broad expected programs in a reproducible way, such as:</w:t>
      </w:r>
    </w:p>
    <w:p>
      <w:pPr>
        <w:pStyle w:val="ListBullet"/>
      </w:pPr>
      <w:r>
        <w:t>proliferative or meristematic signal</w:t>
      </w:r>
    </w:p>
    <w:p>
      <w:pPr>
        <w:pStyle w:val="ListBullet"/>
      </w:pPr>
      <w:r>
        <w:t>photosynthetic or assimilation signal</w:t>
      </w:r>
    </w:p>
    <w:p>
      <w:pPr>
        <w:pStyle w:val="ListBullet"/>
      </w:pPr>
      <w:r>
        <w:t>transport or interface-associated signal</w:t>
      </w:r>
    </w:p>
    <w:p>
      <w:pPr>
        <w:pStyle w:val="ListBullet"/>
      </w:pPr>
      <w:r>
        <w:t>developmental transition-like signal</w:t>
      </w:r>
    </w:p>
    <w:p>
      <w:pPr>
        <w:spacing w:after="120" w:line="276" w:lineRule="auto"/>
      </w:pPr>
      <w:r>
        <w:t>Fine-grained cell labels are not required for the first run to be useful.</w:t>
      </w:r>
    </w:p>
    <w:p>
      <w:pPr>
        <w:pStyle w:val="Heading1"/>
      </w:pPr>
      <w:r>
        <w:t>Step 10: Decide on the next experiment</w:t>
      </w:r>
    </w:p>
    <w:p>
      <w:pPr>
        <w:spacing w:after="120" w:line="276" w:lineRule="auto"/>
      </w:pPr>
      <w:r>
        <w:t>Only after the first clean baseline dataset exists should the project move to:</w:t>
      </w:r>
    </w:p>
    <w:p>
      <w:pPr>
        <w:pStyle w:val="ListBullet"/>
      </w:pPr>
      <w:r>
        <w:t>developmental contrasts</w:t>
      </w:r>
    </w:p>
    <w:p>
      <w:pPr>
        <w:pStyle w:val="ListBullet"/>
      </w:pPr>
      <w:r>
        <w:t>light or nutrient perturbations</w:t>
      </w:r>
    </w:p>
    <w:p>
      <w:pPr>
        <w:pStyle w:val="ListBullet"/>
      </w:pPr>
      <w:r>
        <w:t>osmotic or water-balance experiments</w:t>
      </w:r>
    </w:p>
    <w:p>
      <w:pPr>
        <w:pStyle w:val="ListBullet"/>
      </w:pPr>
      <w:r>
        <w:t>flowering or reproductive induction designs</w:t>
      </w:r>
    </w:p>
    <w:p>
      <w:pPr>
        <w:pStyle w:val="Heading1"/>
      </w:pPr>
      <w:r>
        <w:t>What not to do</w:t>
      </w:r>
    </w:p>
    <w:p>
      <w:pPr>
        <w:spacing w:after="120" w:line="276" w:lineRule="auto"/>
      </w:pPr>
      <w:r>
        <w:t>Avoid the following mistakes in the first Wolffia experiment:</w:t>
      </w:r>
    </w:p>
    <w:p>
      <w:pPr>
        <w:pStyle w:val="ListBullet"/>
      </w:pPr>
      <w:r>
        <w:t>changing culture conditions immediately before harvest</w:t>
      </w:r>
    </w:p>
    <w:p>
      <w:pPr>
        <w:pStyle w:val="ListBullet"/>
      </w:pPr>
      <w:r>
        <w:t>harvesting stressed or mixed-quality material</w:t>
      </w:r>
    </w:p>
    <w:p>
      <w:pPr>
        <w:pStyle w:val="ListBullet"/>
      </w:pPr>
      <w:r>
        <w:t>forcing an intact-cell route when nuclei are clearly cleaner</w:t>
      </w:r>
    </w:p>
    <w:p>
      <w:pPr>
        <w:pStyle w:val="ListBullet"/>
      </w:pPr>
      <w:r>
        <w:t>over-optimizing indefinitely without generating a real test dataset</w:t>
      </w:r>
    </w:p>
    <w:p>
      <w:pPr>
        <w:pStyle w:val="ListBullet"/>
      </w:pPr>
      <w:r>
        <w:t>over-interpreting technical stress as novel Wolffia biology</w:t>
      </w:r>
    </w:p>
    <w:p>
      <w:pPr>
        <w:pStyle w:val="Heading1"/>
      </w:pPr>
      <w:r>
        <w:t>Recommended timeline</w:t>
      </w:r>
    </w:p>
    <w:p>
      <w:pPr>
        <w:pStyle w:val="Heading2"/>
      </w:pPr>
      <w:r>
        <w:t>Week 1</w:t>
      </w:r>
    </w:p>
    <w:p>
      <w:pPr>
        <w:pStyle w:val="ListBullet"/>
      </w:pPr>
      <w:r>
        <w:t>standardize cultures</w:t>
      </w:r>
    </w:p>
    <w:p>
      <w:pPr>
        <w:pStyle w:val="ListBullet"/>
      </w:pPr>
      <w:r>
        <w:t>finalize metadata tracking</w:t>
      </w:r>
    </w:p>
    <w:p>
      <w:pPr>
        <w:pStyle w:val="Heading2"/>
      </w:pPr>
      <w:r>
        <w:t>Week 2</w:t>
      </w:r>
    </w:p>
    <w:p>
      <w:pPr>
        <w:pStyle w:val="ListBullet"/>
      </w:pPr>
      <w:r>
        <w:t>run matched intact-cell and nuclei pilots</w:t>
      </w:r>
    </w:p>
    <w:p>
      <w:pPr>
        <w:pStyle w:val="Heading2"/>
      </w:pPr>
      <w:r>
        <w:t>Week 3</w:t>
      </w:r>
    </w:p>
    <w:p>
      <w:pPr>
        <w:pStyle w:val="ListBullet"/>
      </w:pPr>
      <w:r>
        <w:t>choose the cleaner route</w:t>
      </w:r>
    </w:p>
    <w:p>
      <w:pPr>
        <w:pStyle w:val="ListBullet"/>
      </w:pPr>
      <w:r>
        <w:t>repeat the chosen route on fresh material if needed</w:t>
      </w:r>
    </w:p>
    <w:p>
      <w:pPr>
        <w:pStyle w:val="Heading2"/>
      </w:pPr>
      <w:r>
        <w:t>Week 4</w:t>
      </w:r>
    </w:p>
    <w:p>
      <w:pPr>
        <w:pStyle w:val="ListBullet"/>
      </w:pPr>
      <w:r>
        <w:t>prepare the first full libraries</w:t>
      </w:r>
    </w:p>
    <w:p>
      <w:pPr>
        <w:pStyle w:val="ListBullet"/>
      </w:pPr>
      <w:r>
        <w:t>submit sequencing</w:t>
      </w:r>
    </w:p>
    <w:p>
      <w:pPr>
        <w:pStyle w:val="Heading2"/>
      </w:pPr>
      <w:r>
        <w:t>Week 5 onward</w:t>
      </w:r>
    </w:p>
    <w:p>
      <w:pPr>
        <w:pStyle w:val="ListBullet"/>
      </w:pPr>
      <w:r>
        <w:t>run computational QC and first-pass biological interpretation</w:t>
      </w:r>
    </w:p>
    <w:p>
      <w:pPr>
        <w:pStyle w:val="Heading1"/>
      </w:pPr>
      <w:r>
        <w:t>Bottom line</w:t>
      </w:r>
    </w:p>
    <w:p>
      <w:pPr>
        <w:spacing w:after="120" w:line="276" w:lineRule="auto"/>
      </w:pPr>
      <w:r>
        <w:t>The best first Wolffia transcriptomic experiment is the cleanest one:</w:t>
      </w:r>
    </w:p>
    <w:p>
      <w:pPr>
        <w:pStyle w:val="ListBullet"/>
      </w:pPr>
      <w:r>
        <w:t>stable vegetative cultures</w:t>
      </w:r>
    </w:p>
    <w:p>
      <w:pPr>
        <w:pStyle w:val="ListBullet"/>
      </w:pPr>
      <w:r>
        <w:t>matched pilot comparison of cells versus nuclei</w:t>
      </w:r>
    </w:p>
    <w:p>
      <w:pPr>
        <w:pStyle w:val="ListBullet"/>
      </w:pPr>
      <w:r>
        <w:t>evidence-based route selection</w:t>
      </w:r>
    </w:p>
    <w:p>
      <w:pPr>
        <w:pStyle w:val="ListBullet"/>
      </w:pPr>
      <w:r>
        <w:t>three biological replicates</w:t>
      </w:r>
    </w:p>
    <w:p>
      <w:pPr>
        <w:pStyle w:val="ListBullet"/>
      </w:pPr>
      <w:r>
        <w:t>immediate computational QC after sequencing</w:t>
      </w:r>
    </w:p>
    <w:p>
      <w:pPr>
        <w:spacing w:after="120" w:line="276" w:lineRule="auto"/>
      </w:pPr>
      <w:r>
        <w:t>That is the fastest scientifically defensible route to a usable Wolffia-native reference.</w:t>
      </w:r>
    </w:p>
    <w:p>
      <w:pPr>
        <w:pStyle w:val="Heading1"/>
      </w:pPr>
      <w:r>
        <w:t>References</w:t>
      </w:r>
    </w:p>
    <w:p>
      <w:pPr>
        <w:pStyle w:val="ListNumber"/>
      </w:pPr>
      <w:r>
        <w:t>Park J. et al. Genome of the world's smallest flowering plant, Wolffia australiana, helps explain its specialized physiology and unique morphology. *Communications Biology* (2021). DOI: 10.1038/s42003-021-02389-w</w:t>
      </w:r>
    </w:p>
    <w:p>
      <w:pPr>
        <w:pStyle w:val="ListNumber"/>
      </w:pPr>
      <w:r>
        <w:t>Hoang P.T.N. et al. The genome of Wolffia australiana facilitates discovery of genetic basis for aquatic adaptation in duckweeds. *The Plant Cell* (2022). DOI: 10.1093/plcell/koac068</w:t>
      </w:r>
    </w:p>
    <w:p>
      <w:pPr>
        <w:pStyle w:val="ListNumber"/>
      </w:pPr>
      <w:r>
        <w:t>Wu Y. et al. Streamlined spatial and environmental expression signatures characterize the minimalist duckweed Wolffia australiana. *Genome Research* 34(7):1106-1122 (2024). DOI: 10.1101/gr.279091.124</w:t>
      </w:r>
    </w:p>
    <w:p>
      <w:pPr>
        <w:pStyle w:val="ListNumber"/>
      </w:pPr>
      <w:r>
        <w:t>Public Wolffia reference datasets already identified in this project and useful for assay benchmarking:</w:t>
      </w:r>
    </w:p>
    <w:p>
      <w:pPr>
        <w:pStyle w:val="ListBullet"/>
      </w:pPr>
      <w:r>
        <w:t>PRJNA1124135 Wolffia scRNA-seq</w:t>
      </w:r>
    </w:p>
    <w:p>
      <w:pPr>
        <w:pStyle w:val="ListBullet"/>
      </w:pPr>
      <w:r>
        <w:t>PRJNA809022 Wolffia snRNA-seq</w:t>
      </w:r>
    </w:p>
    <w:p>
      <w:pPr>
        <w:pStyle w:val="Heading1"/>
      </w:pPr>
      <w:r>
        <w:t>Reference use note</w:t>
      </w:r>
    </w:p>
    <w:p>
      <w:pPr>
        <w:spacing w:after="120" w:line="276" w:lineRule="auto"/>
      </w:pPr>
      <w:r>
        <w:t>The Wolffia papers above provide the biological context for why Wolffia is a compelling and unusual system. The 2024 *Genome Research* paper also provides a strong benchmark starting point for culture conditions and protoplast preparation. Even so, the exact dissociation chemistry for your own line, growth state, and library platform should still be treated as a laboratory optimization variable unless your lab or sequencing core already has a validated plant single-cell or plant nuclei workflow that can be adapted directly.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