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Reinforcement Learning Summative Assignment Report</w:t>
      </w:r>
    </w:p>
    <w:p>
      <w:pPr>
        <w:spacing w:after="150"/>
      </w:pPr>
      <w:r>
        <w:rPr>
          <w:b/>
          <w:bCs/>
        </w:rPr>
        <w:t xml:space="preserve">Student Name: </w:t>
      </w:r>
      <w:r>
        <w:t xml:space="preserve">Bella Melissa Ineza</w:t>
      </w:r>
    </w:p>
    <w:p>
      <w:pPr>
        <w:spacing w:after="150"/>
      </w:pPr>
      <w:r>
        <w:rPr>
          <w:b/>
          <w:bCs/>
        </w:rPr>
        <w:t xml:space="preserve">Video Recording: </w:t>
      </w:r>
      <w:r>
        <w:t xml:space="preserve">[Insert link to your 5-minute demo video here — camera on, full screen shared]</w:t>
      </w:r>
    </w:p>
    <w:p>
      <w:pPr>
        <w:spacing w:after="150"/>
      </w:pPr>
      <w:r>
        <w:rPr>
          <w:b/>
          <w:bCs/>
        </w:rPr>
        <w:t xml:space="preserve">GitHub Repository: </w:t>
      </w:r>
      <w:r>
        <w:t xml:space="preserve">[Insert link to https://github.com/&lt;your-username&gt;/bella_melissa_ineza_rl_summative here]</w:t>
      </w:r>
    </w:p>
    <w:p>
      <w:pPr>
        <w:pStyle w:val="Heading1"/>
        <w:spacing w:after="150" w:before="300"/>
      </w:pPr>
      <w:r>
        <w:t xml:space="preserve">Project Overview</w:t>
      </w:r>
    </w:p>
    <w:p>
      <w:pPr>
        <w:spacing w:after="150"/>
      </w:pPr>
      <w:r>
        <w:t xml:space="preserve">This project trains and compares four reinforcement learning algorithms — Deep Q-Network (DQN), REINFORCE, Proximal Policy Optimization (PPO), and Advantage Actor-Critic (A2C) — on a custom environment simulating weekly medicine restocking decisions at a rural health clinic in Rwanda. The problem is motivated by a real and persistent challenge: rural clinics frequently run out of essential medicines (antimalarials, antibiotics, oral rehydration salts) because restocking decisions are made reactively rather than in anticipation of seasonal demand and delivery lead times. The agent observes current stock levels, delivery status, and seasonal signals (e.g. malaria season), and must decide how aggressively to reorder each week so as to minimise both stockouts and wasteful over-ordering. All four algorithms were trained and evaluated on the identical environment for an objective, like-for-like comparison of value-based and policy-gradient methods.</w:t>
      </w:r>
    </w:p>
    <w:p>
      <w:pPr>
        <w:pStyle w:val="Heading1"/>
        <w:spacing w:after="150" w:before="300"/>
      </w:pPr>
      <w:r>
        <w:t xml:space="preserve">Environment Description</w:t>
      </w:r>
    </w:p>
    <w:p>
      <w:pPr>
        <w:pStyle w:val="Heading2"/>
        <w:spacing w:after="120" w:before="250"/>
      </w:pPr>
      <w:r>
        <w:t xml:space="preserve">Agent(s)</w:t>
      </w:r>
    </w:p>
    <w:p>
      <w:pPr>
        <w:spacing w:after="150"/>
      </w:pPr>
      <w:r>
        <w:t xml:space="preserve">The agent represents a clinic supply officer who makes one restocking decision per simulated week, across a basket of three essential medicines (an antimalarial ACT, amoxicillin, and oral rehydration salts / ORS). The agent does not control the demand for medicine (that is driven by an exogenous, seasonal, stochastic process representing patient visits) — it only controls how much of each medicine's estimated reorder quantity to purchase. Its capability is therefore purely a supply-side lever: order timing and quantity, constrained by a fixed delivery lead time and a maximum shelf/storage capacity per drug.</w:t>
      </w:r>
    </w:p>
    <w:p>
      <w:pPr>
        <w:pStyle w:val="Heading3"/>
        <w:spacing w:after="100" w:before="200"/>
      </w:pPr>
      <w:r>
        <w:t xml:space="preserve">a. Action Space</w:t>
      </w:r>
    </w:p>
    <w:p>
      <w:pPr>
        <w:spacing w:after="150"/>
      </w:pPr>
      <w:r>
        <w:t xml:space="preserve">The action space is discrete, Discrete(5), so that the exact same environment and action semantics can be used to fairly compare DQN (which requires a discrete action space in Stable-Baselines3) against the three policy-gradient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F5496" w:val="clear"/>
            <w:tcMar>
              <w:top w:type="dxa" w:w="60"/>
              <w:left w:type="dxa" w:w="100"/>
              <w:bottom w:type="dxa" w:w="60"/>
              <w:right w:type="dxa" w:w="100"/>
            </w:tcMar>
          </w:tcPr>
          <w:p>
            <w:r>
              <w:rPr>
                <w:b/>
                <w:bCs/>
                <w:color w:val="FFFFFF"/>
                <w:sz w:val="18"/>
                <w:szCs w:val="18"/>
              </w:rPr>
              <w:t xml:space="preserve">Action</w:t>
            </w:r>
          </w:p>
        </w:tc>
        <w:tc>
          <w:tcPr>
            <w:tcW w:type="dxa" w:w="7500"/>
            <w:shd w:fill="2F5496" w:val="clear"/>
            <w:tcMar>
              <w:top w:type="dxa" w:w="60"/>
              <w:left w:type="dxa" w:w="100"/>
              <w:bottom w:type="dxa" w:w="60"/>
              <w:right w:type="dxa" w:w="100"/>
            </w:tcMar>
          </w:tcPr>
          <w:p>
            <w:r>
              <w:rPr>
                <w:b/>
                <w:bCs/>
                <w:color w:val="FFFFFF"/>
                <w:sz w:val="18"/>
                <w:szCs w:val="18"/>
              </w:rPr>
              <w:t xml:space="preserve">Meaning</w:t>
            </w:r>
          </w:p>
        </w:tc>
      </w:tr>
      <w:tr>
        <w:tc>
          <w:tcPr>
            <w:tcW w:type="dxa" w:w="1500"/>
            <w:tcMar>
              <w:top w:type="dxa" w:w="60"/>
              <w:left w:type="dxa" w:w="100"/>
              <w:bottom w:type="dxa" w:w="60"/>
              <w:right w:type="dxa" w:w="100"/>
            </w:tcMar>
          </w:tcPr>
          <w:p>
            <w:r>
              <w:rPr>
                <w:sz w:val="18"/>
                <w:szCs w:val="18"/>
              </w:rPr>
              <w:t xml:space="preserve">0</w:t>
            </w:r>
          </w:p>
        </w:tc>
        <w:tc>
          <w:tcPr>
            <w:tcW w:type="dxa" w:w="7500"/>
            <w:tcMar>
              <w:top w:type="dxa" w:w="60"/>
              <w:left w:type="dxa" w:w="100"/>
              <w:bottom w:type="dxa" w:w="60"/>
              <w:right w:type="dxa" w:w="100"/>
            </w:tcMar>
          </w:tcPr>
          <w:p>
            <w:r>
              <w:rPr>
                <w:sz w:val="18"/>
                <w:szCs w:val="18"/>
              </w:rPr>
              <w:t xml:space="preserve">Order nothing this week</w:t>
            </w:r>
          </w:p>
        </w:tc>
      </w:tr>
      <w:tr>
        <w:tc>
          <w:tcPr>
            <w:tcW w:type="dxa" w:w="1500"/>
            <w:tcMar>
              <w:top w:type="dxa" w:w="60"/>
              <w:left w:type="dxa" w:w="100"/>
              <w:bottom w:type="dxa" w:w="60"/>
              <w:right w:type="dxa" w:w="100"/>
            </w:tcMar>
          </w:tcPr>
          <w:p>
            <w:r>
              <w:rPr>
                <w:sz w:val="18"/>
                <w:szCs w:val="18"/>
              </w:rPr>
              <w:t xml:space="preserve">1</w:t>
            </w:r>
          </w:p>
        </w:tc>
        <w:tc>
          <w:tcPr>
            <w:tcW w:type="dxa" w:w="7500"/>
            <w:tcMar>
              <w:top w:type="dxa" w:w="60"/>
              <w:left w:type="dxa" w:w="100"/>
              <w:bottom w:type="dxa" w:w="60"/>
              <w:right w:type="dxa" w:w="100"/>
            </w:tcMar>
          </w:tcPr>
          <w:p>
            <w:r>
              <w:rPr>
                <w:sz w:val="18"/>
                <w:szCs w:val="18"/>
              </w:rPr>
              <w:t xml:space="preserve">Order at 0.5x the estimated reorder quantity</w:t>
            </w:r>
          </w:p>
        </w:tc>
      </w:tr>
      <w:tr>
        <w:tc>
          <w:tcPr>
            <w:tcW w:type="dxa" w:w="1500"/>
            <w:tcMar>
              <w:top w:type="dxa" w:w="60"/>
              <w:left w:type="dxa" w:w="100"/>
              <w:bottom w:type="dxa" w:w="60"/>
              <w:right w:type="dxa" w:w="100"/>
            </w:tcMar>
          </w:tcPr>
          <w:p>
            <w:r>
              <w:rPr>
                <w:sz w:val="18"/>
                <w:szCs w:val="18"/>
              </w:rPr>
              <w:t xml:space="preserve">2</w:t>
            </w:r>
          </w:p>
        </w:tc>
        <w:tc>
          <w:tcPr>
            <w:tcW w:type="dxa" w:w="7500"/>
            <w:tcMar>
              <w:top w:type="dxa" w:w="60"/>
              <w:left w:type="dxa" w:w="100"/>
              <w:bottom w:type="dxa" w:w="60"/>
              <w:right w:type="dxa" w:w="100"/>
            </w:tcMar>
          </w:tcPr>
          <w:p>
            <w:r>
              <w:rPr>
                <w:sz w:val="18"/>
                <w:szCs w:val="18"/>
              </w:rPr>
              <w:t xml:space="preserve">Order at 1.0x the estimated reorder quantity</w:t>
            </w:r>
          </w:p>
        </w:tc>
      </w:tr>
      <w:tr>
        <w:tc>
          <w:tcPr>
            <w:tcW w:type="dxa" w:w="1500"/>
            <w:tcMar>
              <w:top w:type="dxa" w:w="60"/>
              <w:left w:type="dxa" w:w="100"/>
              <w:bottom w:type="dxa" w:w="60"/>
              <w:right w:type="dxa" w:w="100"/>
            </w:tcMar>
          </w:tcPr>
          <w:p>
            <w:r>
              <w:rPr>
                <w:sz w:val="18"/>
                <w:szCs w:val="18"/>
              </w:rPr>
              <w:t xml:space="preserve">3</w:t>
            </w:r>
          </w:p>
        </w:tc>
        <w:tc>
          <w:tcPr>
            <w:tcW w:type="dxa" w:w="7500"/>
            <w:tcMar>
              <w:top w:type="dxa" w:w="60"/>
              <w:left w:type="dxa" w:w="100"/>
              <w:bottom w:type="dxa" w:w="60"/>
              <w:right w:type="dxa" w:w="100"/>
            </w:tcMar>
          </w:tcPr>
          <w:p>
            <w:r>
              <w:rPr>
                <w:sz w:val="18"/>
                <w:szCs w:val="18"/>
              </w:rPr>
              <w:t xml:space="preserve">Order at 1.5x the estimated reorder quantity</w:t>
            </w:r>
          </w:p>
        </w:tc>
      </w:tr>
      <w:tr>
        <w:tc>
          <w:tcPr>
            <w:tcW w:type="dxa" w:w="1500"/>
            <w:tcMar>
              <w:top w:type="dxa" w:w="60"/>
              <w:left w:type="dxa" w:w="100"/>
              <w:bottom w:type="dxa" w:w="60"/>
              <w:right w:type="dxa" w:w="100"/>
            </w:tcMar>
          </w:tcPr>
          <w:p>
            <w:r>
              <w:rPr>
                <w:sz w:val="18"/>
                <w:szCs w:val="18"/>
              </w:rPr>
              <w:t xml:space="preserve">4</w:t>
            </w:r>
          </w:p>
        </w:tc>
        <w:tc>
          <w:tcPr>
            <w:tcW w:type="dxa" w:w="7500"/>
            <w:tcMar>
              <w:top w:type="dxa" w:w="60"/>
              <w:left w:type="dxa" w:w="100"/>
              <w:bottom w:type="dxa" w:w="60"/>
              <w:right w:type="dxa" w:w="100"/>
            </w:tcMar>
          </w:tcPr>
          <w:p>
            <w:r>
              <w:rPr>
                <w:sz w:val="18"/>
                <w:szCs w:val="18"/>
              </w:rPr>
              <w:t xml:space="preserve">Order at 2.0x the estimated reorder quantity</w:t>
            </w:r>
          </w:p>
        </w:tc>
      </w:tr>
    </w:tbl>
    <w:p>
      <w:pPr>
        <w:spacing w:after="150"/>
      </w:pPr>
      <w:r>
        <w:t xml:space="preserve">The estimated reorder quantity itself is computed internally each week from each drug's seasonally-adjusted base demand rate multiplied by the lead time, so the same discrete action level allocates proportionally more units during malaria season without the agent needing a larger action space.</w:t>
      </w:r>
    </w:p>
    <w:p>
      <w:pPr>
        <w:pStyle w:val="Heading3"/>
        <w:spacing w:after="100" w:before="200"/>
      </w:pPr>
      <w:r>
        <w:t xml:space="preserve">b. Observation Space</w:t>
      </w:r>
    </w:p>
    <w:p>
      <w:pPr>
        <w:spacing w:after="150"/>
      </w:pPr>
      <w:r>
        <w:t xml:space="preserve">The observation is a 10-dimensional continuous vector, Box(10,), all components normalised to roughly [0, 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1400"/>
        <w:gridCol w:w="1400"/>
      </w:tblGrid>
      <w:tr>
        <w:trPr>
          <w:tblHeader/>
        </w:trPr>
        <w:tc>
          <w:tcPr>
            <w:tcW w:type="dxa" w:w="1600"/>
            <w:shd w:fill="2F5496" w:val="clear"/>
            <w:tcMar>
              <w:top w:type="dxa" w:w="60"/>
              <w:left w:type="dxa" w:w="100"/>
              <w:bottom w:type="dxa" w:w="60"/>
              <w:right w:type="dxa" w:w="100"/>
            </w:tcMar>
          </w:tcPr>
          <w:p>
            <w:r>
              <w:rPr>
                <w:b/>
                <w:bCs/>
                <w:color w:val="FFFFFF"/>
                <w:sz w:val="18"/>
                <w:szCs w:val="18"/>
              </w:rPr>
              <w:t xml:space="preserve">Observation</w:t>
            </w:r>
          </w:p>
        </w:tc>
        <w:tc>
          <w:tcPr>
            <w:tcW w:type="dxa" w:w="3200"/>
            <w:shd w:fill="2F5496" w:val="clear"/>
            <w:tcMar>
              <w:top w:type="dxa" w:w="60"/>
              <w:left w:type="dxa" w:w="100"/>
              <w:bottom w:type="dxa" w:w="60"/>
              <w:right w:type="dxa" w:w="100"/>
            </w:tcMar>
          </w:tcPr>
          <w:p>
            <w:r>
              <w:rPr>
                <w:b/>
                <w:bCs/>
                <w:color w:val="FFFFFF"/>
                <w:sz w:val="18"/>
                <w:szCs w:val="18"/>
              </w:rPr>
              <w:t xml:space="preserve">Description</w:t>
            </w:r>
          </w:p>
        </w:tc>
        <w:tc>
          <w:tcPr>
            <w:tcW w:type="dxa" w:w="2400"/>
            <w:shd w:fill="2F5496" w:val="clear"/>
            <w:tcMar>
              <w:top w:type="dxa" w:w="60"/>
              <w:left w:type="dxa" w:w="100"/>
              <w:bottom w:type="dxa" w:w="60"/>
              <w:right w:type="dxa" w:w="100"/>
            </w:tcMar>
          </w:tcPr>
          <w:p>
            <w:r>
              <w:rPr>
                <w:b/>
                <w:bCs/>
                <w:color w:val="FFFFFF"/>
                <w:sz w:val="18"/>
                <w:szCs w:val="18"/>
              </w:rPr>
              <w:t xml:space="preserve">Source (Sensor/Camera/API/Dataset)</w:t>
            </w:r>
          </w:p>
        </w:tc>
        <w:tc>
          <w:tcPr>
            <w:tcW w:type="dxa" w:w="1400"/>
            <w:shd w:fill="2F5496" w:val="clear"/>
            <w:tcMar>
              <w:top w:type="dxa" w:w="60"/>
              <w:left w:type="dxa" w:w="100"/>
              <w:bottom w:type="dxa" w:w="60"/>
              <w:right w:type="dxa" w:w="100"/>
            </w:tcMar>
          </w:tcPr>
          <w:p>
            <w:r>
              <w:rPr>
                <w:b/>
                <w:bCs/>
                <w:color w:val="FFFFFF"/>
                <w:sz w:val="18"/>
                <w:szCs w:val="18"/>
              </w:rPr>
              <w:t xml:space="preserve">Encoding / Data Type</w:t>
            </w:r>
          </w:p>
        </w:tc>
        <w:tc>
          <w:tcPr>
            <w:tcW w:type="dxa" w:w="1400"/>
            <w:shd w:fill="2F5496" w:val="clear"/>
            <w:tcMar>
              <w:top w:type="dxa" w:w="60"/>
              <w:left w:type="dxa" w:w="100"/>
              <w:bottom w:type="dxa" w:w="60"/>
              <w:right w:type="dxa" w:w="100"/>
            </w:tcMar>
          </w:tcPr>
          <w:p>
            <w:r>
              <w:rPr>
                <w:b/>
                <w:bCs/>
                <w:color w:val="FFFFFF"/>
                <w:sz w:val="18"/>
                <w:szCs w:val="18"/>
              </w:rPr>
              <w:t xml:space="preserve">Range</w:t>
            </w:r>
          </w:p>
        </w:tc>
      </w:tr>
      <w:tr>
        <w:tc>
          <w:tcPr>
            <w:tcW w:type="dxa" w:w="1600"/>
            <w:tcMar>
              <w:top w:type="dxa" w:w="60"/>
              <w:left w:type="dxa" w:w="100"/>
              <w:bottom w:type="dxa" w:w="60"/>
              <w:right w:type="dxa" w:w="100"/>
            </w:tcMar>
          </w:tcPr>
          <w:p>
            <w:r>
              <w:rPr>
                <w:sz w:val="18"/>
                <w:szCs w:val="18"/>
              </w:rPr>
              <w:t xml:space="preserve">stock[0:3]</w:t>
            </w:r>
          </w:p>
        </w:tc>
        <w:tc>
          <w:tcPr>
            <w:tcW w:type="dxa" w:w="3200"/>
            <w:tcMar>
              <w:top w:type="dxa" w:w="60"/>
              <w:left w:type="dxa" w:w="100"/>
              <w:bottom w:type="dxa" w:w="60"/>
              <w:right w:type="dxa" w:w="100"/>
            </w:tcMar>
          </w:tcPr>
          <w:p>
            <w:r>
              <w:rPr>
                <w:sz w:val="18"/>
                <w:szCs w:val="18"/>
              </w:rPr>
              <w:t xml:space="preserve">Current on-shelf stock for ACT, Amoxicillin, ORS</w:t>
            </w:r>
          </w:p>
        </w:tc>
        <w:tc>
          <w:tcPr>
            <w:tcW w:type="dxa" w:w="2400"/>
            <w:tcMar>
              <w:top w:type="dxa" w:w="60"/>
              <w:left w:type="dxa" w:w="100"/>
              <w:bottom w:type="dxa" w:w="60"/>
              <w:right w:type="dxa" w:w="100"/>
            </w:tcMar>
          </w:tcPr>
          <w:p>
            <w:r>
              <w:rPr>
                <w:sz w:val="18"/>
                <w:szCs w:val="18"/>
              </w:rPr>
              <w:t xml:space="preserve">Clinic inventory management system / pharmacy stock ledger (would be a barcode/inventory-scanner API in a real deployment)</w:t>
            </w:r>
          </w:p>
        </w:tc>
        <w:tc>
          <w:tcPr>
            <w:tcW w:type="dxa" w:w="1400"/>
            <w:tcMar>
              <w:top w:type="dxa" w:w="60"/>
              <w:left w:type="dxa" w:w="100"/>
              <w:bottom w:type="dxa" w:w="60"/>
              <w:right w:type="dxa" w:w="100"/>
            </w:tcMar>
          </w:tcPr>
          <w:p>
            <w:r>
              <w:rPr>
                <w:sz w:val="18"/>
                <w:szCs w:val="18"/>
              </w:rPr>
              <w:t xml:space="preserve">float32, normalised by max capacity</w:t>
            </w:r>
          </w:p>
        </w:tc>
        <w:tc>
          <w:tcPr>
            <w:tcW w:type="dxa" w:w="1400"/>
            <w:tcMar>
              <w:top w:type="dxa" w:w="60"/>
              <w:left w:type="dxa" w:w="100"/>
              <w:bottom w:type="dxa" w:w="60"/>
              <w:right w:type="dxa" w:w="100"/>
            </w:tcMar>
          </w:tcPr>
          <w:p>
            <w:r>
              <w:rPr>
                <w:sz w:val="18"/>
                <w:szCs w:val="18"/>
              </w:rPr>
              <w:t xml:space="preserve">[0, 1]</w:t>
            </w:r>
          </w:p>
        </w:tc>
      </w:tr>
      <w:tr>
        <w:tc>
          <w:tcPr>
            <w:tcW w:type="dxa" w:w="1600"/>
            <w:tcMar>
              <w:top w:type="dxa" w:w="60"/>
              <w:left w:type="dxa" w:w="100"/>
              <w:bottom w:type="dxa" w:w="60"/>
              <w:right w:type="dxa" w:w="100"/>
            </w:tcMar>
          </w:tcPr>
          <w:p>
            <w:r>
              <w:rPr>
                <w:sz w:val="18"/>
                <w:szCs w:val="18"/>
              </w:rPr>
              <w:t xml:space="preserve">weeks_since_delivery</w:t>
            </w:r>
          </w:p>
        </w:tc>
        <w:tc>
          <w:tcPr>
            <w:tcW w:type="dxa" w:w="3200"/>
            <w:tcMar>
              <w:top w:type="dxa" w:w="60"/>
              <w:left w:type="dxa" w:w="100"/>
              <w:bottom w:type="dxa" w:w="60"/>
              <w:right w:type="dxa" w:w="100"/>
            </w:tcMar>
          </w:tcPr>
          <w:p>
            <w:r>
              <w:rPr>
                <w:sz w:val="18"/>
                <w:szCs w:val="18"/>
              </w:rPr>
              <w:t xml:space="preserve">Time since the last delivery arrived</w:t>
            </w:r>
          </w:p>
        </w:tc>
        <w:tc>
          <w:tcPr>
            <w:tcW w:type="dxa" w:w="2400"/>
            <w:tcMar>
              <w:top w:type="dxa" w:w="60"/>
              <w:left w:type="dxa" w:w="100"/>
              <w:bottom w:type="dxa" w:w="60"/>
              <w:right w:type="dxa" w:w="100"/>
            </w:tcMar>
          </w:tcPr>
          <w:p>
            <w:r>
              <w:rPr>
                <w:sz w:val="18"/>
                <w:szCs w:val="18"/>
              </w:rPr>
              <w:t xml:space="preserve">Derived from clinic delivery logs / HMIS records</w:t>
            </w:r>
          </w:p>
        </w:tc>
        <w:tc>
          <w:tcPr>
            <w:tcW w:type="dxa" w:w="1400"/>
            <w:tcMar>
              <w:top w:type="dxa" w:w="60"/>
              <w:left w:type="dxa" w:w="100"/>
              <w:bottom w:type="dxa" w:w="60"/>
              <w:right w:type="dxa" w:w="100"/>
            </w:tcMar>
          </w:tcPr>
          <w:p>
            <w:r>
              <w:rPr>
                <w:sz w:val="18"/>
                <w:szCs w:val="18"/>
              </w:rPr>
              <w:t xml:space="preserve">float32, normalised</w:t>
            </w:r>
          </w:p>
        </w:tc>
        <w:tc>
          <w:tcPr>
            <w:tcW w:type="dxa" w:w="1400"/>
            <w:tcMar>
              <w:top w:type="dxa" w:w="60"/>
              <w:left w:type="dxa" w:w="100"/>
              <w:bottom w:type="dxa" w:w="60"/>
              <w:right w:type="dxa" w:w="100"/>
            </w:tcMar>
          </w:tcPr>
          <w:p>
            <w:r>
              <w:rPr>
                <w:sz w:val="18"/>
                <w:szCs w:val="18"/>
              </w:rPr>
              <w:t xml:space="preserve">[0, 1]</w:t>
            </w:r>
          </w:p>
        </w:tc>
      </w:tr>
      <w:tr>
        <w:tc>
          <w:tcPr>
            <w:tcW w:type="dxa" w:w="1600"/>
            <w:tcMar>
              <w:top w:type="dxa" w:w="60"/>
              <w:left w:type="dxa" w:w="100"/>
              <w:bottom w:type="dxa" w:w="60"/>
              <w:right w:type="dxa" w:w="100"/>
            </w:tcMar>
          </w:tcPr>
          <w:p>
            <w:r>
              <w:rPr>
                <w:sz w:val="18"/>
                <w:szCs w:val="18"/>
              </w:rPr>
              <w:t xml:space="preserve">in_transit_flag</w:t>
            </w:r>
          </w:p>
        </w:tc>
        <w:tc>
          <w:tcPr>
            <w:tcW w:type="dxa" w:w="3200"/>
            <w:tcMar>
              <w:top w:type="dxa" w:w="60"/>
              <w:left w:type="dxa" w:w="100"/>
              <w:bottom w:type="dxa" w:w="60"/>
              <w:right w:type="dxa" w:w="100"/>
            </w:tcMar>
          </w:tcPr>
          <w:p>
            <w:r>
              <w:rPr>
                <w:sz w:val="18"/>
                <w:szCs w:val="18"/>
              </w:rPr>
              <w:t xml:space="preserve">Whether an order is currently in transit</w:t>
            </w:r>
          </w:p>
        </w:tc>
        <w:tc>
          <w:tcPr>
            <w:tcW w:type="dxa" w:w="2400"/>
            <w:tcMar>
              <w:top w:type="dxa" w:w="60"/>
              <w:left w:type="dxa" w:w="100"/>
              <w:bottom w:type="dxa" w:w="60"/>
              <w:right w:type="dxa" w:w="100"/>
            </w:tcMar>
          </w:tcPr>
          <w:p>
            <w:r>
              <w:rPr>
                <w:sz w:val="18"/>
                <w:szCs w:val="18"/>
              </w:rPr>
              <w:t xml:space="preserve">Derived from Rwanda HMIS (DHIS2) order-tracking API</w:t>
            </w:r>
          </w:p>
        </w:tc>
        <w:tc>
          <w:tcPr>
            <w:tcW w:type="dxa" w:w="1400"/>
            <w:tcMar>
              <w:top w:type="dxa" w:w="60"/>
              <w:left w:type="dxa" w:w="100"/>
              <w:bottom w:type="dxa" w:w="60"/>
              <w:right w:type="dxa" w:w="100"/>
            </w:tcMar>
          </w:tcPr>
          <w:p>
            <w:r>
              <w:rPr>
                <w:sz w:val="18"/>
                <w:szCs w:val="18"/>
              </w:rPr>
              <w:t xml:space="preserve">binary float32</w:t>
            </w:r>
          </w:p>
        </w:tc>
        <w:tc>
          <w:tcPr>
            <w:tcW w:type="dxa" w:w="1400"/>
            <w:tcMar>
              <w:top w:type="dxa" w:w="60"/>
              <w:left w:type="dxa" w:w="100"/>
              <w:bottom w:type="dxa" w:w="60"/>
              <w:right w:type="dxa" w:w="100"/>
            </w:tcMar>
          </w:tcPr>
          <w:p>
            <w:r>
              <w:rPr>
                <w:sz w:val="18"/>
                <w:szCs w:val="18"/>
              </w:rPr>
              <w:t xml:space="preserve">{0, 1}</w:t>
            </w:r>
          </w:p>
        </w:tc>
      </w:tr>
      <w:tr>
        <w:tc>
          <w:tcPr>
            <w:tcW w:type="dxa" w:w="1600"/>
            <w:tcMar>
              <w:top w:type="dxa" w:w="60"/>
              <w:left w:type="dxa" w:w="100"/>
              <w:bottom w:type="dxa" w:w="60"/>
              <w:right w:type="dxa" w:w="100"/>
            </w:tcMar>
          </w:tcPr>
          <w:p>
            <w:r>
              <w:rPr>
                <w:sz w:val="18"/>
                <w:szCs w:val="18"/>
              </w:rPr>
              <w:t xml:space="preserve">weeks_until_arrival</w:t>
            </w:r>
          </w:p>
        </w:tc>
        <w:tc>
          <w:tcPr>
            <w:tcW w:type="dxa" w:w="3200"/>
            <w:tcMar>
              <w:top w:type="dxa" w:w="60"/>
              <w:left w:type="dxa" w:w="100"/>
              <w:bottom w:type="dxa" w:w="60"/>
              <w:right w:type="dxa" w:w="100"/>
            </w:tcMar>
          </w:tcPr>
          <w:p>
            <w:r>
              <w:rPr>
                <w:sz w:val="18"/>
                <w:szCs w:val="18"/>
              </w:rPr>
              <w:t xml:space="preserve">Time remaining until the pending order arrives</w:t>
            </w:r>
          </w:p>
        </w:tc>
        <w:tc>
          <w:tcPr>
            <w:tcW w:type="dxa" w:w="2400"/>
            <w:tcMar>
              <w:top w:type="dxa" w:w="60"/>
              <w:left w:type="dxa" w:w="100"/>
              <w:bottom w:type="dxa" w:w="60"/>
              <w:right w:type="dxa" w:w="100"/>
            </w:tcMar>
          </w:tcPr>
          <w:p>
            <w:r>
              <w:rPr>
                <w:sz w:val="18"/>
                <w:szCs w:val="18"/>
              </w:rPr>
              <w:t xml:space="preserve">Supplier / warehouse dispatch API</w:t>
            </w:r>
          </w:p>
        </w:tc>
        <w:tc>
          <w:tcPr>
            <w:tcW w:type="dxa" w:w="1400"/>
            <w:tcMar>
              <w:top w:type="dxa" w:w="60"/>
              <w:left w:type="dxa" w:w="100"/>
              <w:bottom w:type="dxa" w:w="60"/>
              <w:right w:type="dxa" w:w="100"/>
            </w:tcMar>
          </w:tcPr>
          <w:p>
            <w:r>
              <w:rPr>
                <w:sz w:val="18"/>
                <w:szCs w:val="18"/>
              </w:rPr>
              <w:t xml:space="preserve">float32, normalised</w:t>
            </w:r>
          </w:p>
        </w:tc>
        <w:tc>
          <w:tcPr>
            <w:tcW w:type="dxa" w:w="1400"/>
            <w:tcMar>
              <w:top w:type="dxa" w:w="60"/>
              <w:left w:type="dxa" w:w="100"/>
              <w:bottom w:type="dxa" w:w="60"/>
              <w:right w:type="dxa" w:w="100"/>
            </w:tcMar>
          </w:tcPr>
          <w:p>
            <w:r>
              <w:rPr>
                <w:sz w:val="18"/>
                <w:szCs w:val="18"/>
              </w:rPr>
              <w:t xml:space="preserve">[0, 1]</w:t>
            </w:r>
          </w:p>
        </w:tc>
      </w:tr>
      <w:tr>
        <w:tc>
          <w:tcPr>
            <w:tcW w:type="dxa" w:w="1600"/>
            <w:tcMar>
              <w:top w:type="dxa" w:w="60"/>
              <w:left w:type="dxa" w:w="100"/>
              <w:bottom w:type="dxa" w:w="60"/>
              <w:right w:type="dxa" w:w="100"/>
            </w:tcMar>
          </w:tcPr>
          <w:p>
            <w:r>
              <w:rPr>
                <w:sz w:val="18"/>
                <w:szCs w:val="18"/>
              </w:rPr>
              <w:t xml:space="preserve">week_sin, week_cos</w:t>
            </w:r>
          </w:p>
        </w:tc>
        <w:tc>
          <w:tcPr>
            <w:tcW w:type="dxa" w:w="3200"/>
            <w:tcMar>
              <w:top w:type="dxa" w:w="60"/>
              <w:left w:type="dxa" w:w="100"/>
              <w:bottom w:type="dxa" w:w="60"/>
              <w:right w:type="dxa" w:w="100"/>
            </w:tcMar>
          </w:tcPr>
          <w:p>
            <w:r>
              <w:rPr>
                <w:sz w:val="18"/>
                <w:szCs w:val="18"/>
              </w:rPr>
              <w:t xml:space="preserve">Cyclic encoding of week-of-year (captures seasonality)</w:t>
            </w:r>
          </w:p>
        </w:tc>
        <w:tc>
          <w:tcPr>
            <w:tcW w:type="dxa" w:w="2400"/>
            <w:tcMar>
              <w:top w:type="dxa" w:w="60"/>
              <w:left w:type="dxa" w:w="100"/>
              <w:bottom w:type="dxa" w:w="60"/>
              <w:right w:type="dxa" w:w="100"/>
            </w:tcMar>
          </w:tcPr>
          <w:p>
            <w:r>
              <w:rPr>
                <w:sz w:val="18"/>
                <w:szCs w:val="18"/>
              </w:rPr>
              <w:t xml:space="preserve">System clock / calendar</w:t>
            </w:r>
          </w:p>
        </w:tc>
        <w:tc>
          <w:tcPr>
            <w:tcW w:type="dxa" w:w="1400"/>
            <w:tcMar>
              <w:top w:type="dxa" w:w="60"/>
              <w:left w:type="dxa" w:w="100"/>
              <w:bottom w:type="dxa" w:w="60"/>
              <w:right w:type="dxa" w:w="100"/>
            </w:tcMar>
          </w:tcPr>
          <w:p>
            <w:r>
              <w:rPr>
                <w:sz w:val="18"/>
                <w:szCs w:val="18"/>
              </w:rPr>
              <w:t xml:space="preserve">float32 (sin/cos pair)</w:t>
            </w:r>
          </w:p>
        </w:tc>
        <w:tc>
          <w:tcPr>
            <w:tcW w:type="dxa" w:w="1400"/>
            <w:tcMar>
              <w:top w:type="dxa" w:w="60"/>
              <w:left w:type="dxa" w:w="100"/>
              <w:bottom w:type="dxa" w:w="60"/>
              <w:right w:type="dxa" w:w="100"/>
            </w:tcMar>
          </w:tcPr>
          <w:p>
            <w:r>
              <w:rPr>
                <w:sz w:val="18"/>
                <w:szCs w:val="18"/>
              </w:rPr>
              <w:t xml:space="preserve">[0, 1]</w:t>
            </w:r>
          </w:p>
        </w:tc>
      </w:tr>
      <w:tr>
        <w:tc>
          <w:tcPr>
            <w:tcW w:type="dxa" w:w="1600"/>
            <w:tcMar>
              <w:top w:type="dxa" w:w="60"/>
              <w:left w:type="dxa" w:w="100"/>
              <w:bottom w:type="dxa" w:w="60"/>
              <w:right w:type="dxa" w:w="100"/>
            </w:tcMar>
          </w:tcPr>
          <w:p>
            <w:r>
              <w:rPr>
                <w:sz w:val="18"/>
                <w:szCs w:val="18"/>
              </w:rPr>
              <w:t xml:space="preserve">malaria_season_flag</w:t>
            </w:r>
          </w:p>
        </w:tc>
        <w:tc>
          <w:tcPr>
            <w:tcW w:type="dxa" w:w="3200"/>
            <w:tcMar>
              <w:top w:type="dxa" w:w="60"/>
              <w:left w:type="dxa" w:w="100"/>
              <w:bottom w:type="dxa" w:w="60"/>
              <w:right w:type="dxa" w:w="100"/>
            </w:tcMar>
          </w:tcPr>
          <w:p>
            <w:r>
              <w:rPr>
                <w:sz w:val="18"/>
                <w:szCs w:val="18"/>
              </w:rPr>
              <w:t xml:space="preserve">Whether the current week falls in a malaria peak period</w:t>
            </w:r>
          </w:p>
        </w:tc>
        <w:tc>
          <w:tcPr>
            <w:tcW w:type="dxa" w:w="2400"/>
            <w:tcMar>
              <w:top w:type="dxa" w:w="60"/>
              <w:left w:type="dxa" w:w="100"/>
              <w:bottom w:type="dxa" w:w="60"/>
              <w:right w:type="dxa" w:w="100"/>
            </w:tcMar>
          </w:tcPr>
          <w:p>
            <w:r>
              <w:rPr>
                <w:sz w:val="18"/>
                <w:szCs w:val="18"/>
              </w:rPr>
              <w:t xml:space="preserve">WHO / Rwanda Biomedical Centre epidemiological calendar</w:t>
            </w:r>
          </w:p>
        </w:tc>
        <w:tc>
          <w:tcPr>
            <w:tcW w:type="dxa" w:w="1400"/>
            <w:tcMar>
              <w:top w:type="dxa" w:w="60"/>
              <w:left w:type="dxa" w:w="100"/>
              <w:bottom w:type="dxa" w:w="60"/>
              <w:right w:type="dxa" w:w="100"/>
            </w:tcMar>
          </w:tcPr>
          <w:p>
            <w:r>
              <w:rPr>
                <w:sz w:val="18"/>
                <w:szCs w:val="18"/>
              </w:rPr>
              <w:t xml:space="preserve">binary float32</w:t>
            </w:r>
          </w:p>
        </w:tc>
        <w:tc>
          <w:tcPr>
            <w:tcW w:type="dxa" w:w="1400"/>
            <w:tcMar>
              <w:top w:type="dxa" w:w="60"/>
              <w:left w:type="dxa" w:w="100"/>
              <w:bottom w:type="dxa" w:w="60"/>
              <w:right w:type="dxa" w:w="100"/>
            </w:tcMar>
          </w:tcPr>
          <w:p>
            <w:r>
              <w:rPr>
                <w:sz w:val="18"/>
                <w:szCs w:val="18"/>
              </w:rPr>
              <w:t xml:space="preserve">{0, 1}</w:t>
            </w:r>
          </w:p>
        </w:tc>
      </w:tr>
      <w:tr>
        <w:tc>
          <w:tcPr>
            <w:tcW w:type="dxa" w:w="1600"/>
            <w:tcMar>
              <w:top w:type="dxa" w:w="60"/>
              <w:left w:type="dxa" w:w="100"/>
              <w:bottom w:type="dxa" w:w="60"/>
              <w:right w:type="dxa" w:w="100"/>
            </w:tcMar>
          </w:tcPr>
          <w:p>
            <w:r>
              <w:rPr>
                <w:sz w:val="18"/>
                <w:szCs w:val="18"/>
              </w:rPr>
              <w:t xml:space="preserve">patient_load</w:t>
            </w:r>
          </w:p>
        </w:tc>
        <w:tc>
          <w:tcPr>
            <w:tcW w:type="dxa" w:w="3200"/>
            <w:tcMar>
              <w:top w:type="dxa" w:w="60"/>
              <w:left w:type="dxa" w:w="100"/>
              <w:bottom w:type="dxa" w:w="60"/>
              <w:right w:type="dxa" w:w="100"/>
            </w:tcMar>
          </w:tcPr>
          <w:p>
            <w:r>
              <w:rPr>
                <w:sz w:val="18"/>
                <w:szCs w:val="18"/>
              </w:rPr>
              <w:t xml:space="preserve">Current relative patient volume at the clinic</w:t>
            </w:r>
          </w:p>
        </w:tc>
        <w:tc>
          <w:tcPr>
            <w:tcW w:type="dxa" w:w="2400"/>
            <w:tcMar>
              <w:top w:type="dxa" w:w="60"/>
              <w:left w:type="dxa" w:w="100"/>
              <w:bottom w:type="dxa" w:w="60"/>
              <w:right w:type="dxa" w:w="100"/>
            </w:tcMar>
          </w:tcPr>
          <w:p>
            <w:r>
              <w:rPr>
                <w:sz w:val="18"/>
                <w:szCs w:val="18"/>
              </w:rPr>
              <w:t xml:space="preserve">Clinic consultation/registration system (patient count API)</w:t>
            </w:r>
          </w:p>
        </w:tc>
        <w:tc>
          <w:tcPr>
            <w:tcW w:type="dxa" w:w="1400"/>
            <w:tcMar>
              <w:top w:type="dxa" w:w="60"/>
              <w:left w:type="dxa" w:w="100"/>
              <w:bottom w:type="dxa" w:w="60"/>
              <w:right w:type="dxa" w:w="100"/>
            </w:tcMar>
          </w:tcPr>
          <w:p>
            <w:r>
              <w:rPr>
                <w:sz w:val="18"/>
                <w:szCs w:val="18"/>
              </w:rPr>
              <w:t xml:space="preserve">float32, normalised</w:t>
            </w:r>
          </w:p>
        </w:tc>
        <w:tc>
          <w:tcPr>
            <w:tcW w:type="dxa" w:w="1400"/>
            <w:tcMar>
              <w:top w:type="dxa" w:w="60"/>
              <w:left w:type="dxa" w:w="100"/>
              <w:bottom w:type="dxa" w:w="60"/>
              <w:right w:type="dxa" w:w="100"/>
            </w:tcMar>
          </w:tcPr>
          <w:p>
            <w:r>
              <w:rPr>
                <w:sz w:val="18"/>
                <w:szCs w:val="18"/>
              </w:rPr>
              <w:t xml:space="preserve">[0, 1]</w:t>
            </w:r>
          </w:p>
        </w:tc>
      </w:tr>
    </w:tbl>
    <w:p>
      <w:pPr>
        <w:spacing w:after="150"/>
      </w:pPr>
    </w:p>
    <w:p>
      <w:pPr>
        <w:pStyle w:val="Heading3"/>
        <w:spacing w:after="100" w:before="200"/>
      </w:pPr>
      <w:r>
        <w:t xml:space="preserve">c. Reward Structure</w:t>
      </w:r>
    </w:p>
    <w:p>
      <w:pPr>
        <w:spacing w:after="150"/>
      </w:pPr>
      <w:r>
        <w:t xml:space="preserve">The reward combines three terms, all computed at the end of each simulated week:</w:t>
      </w:r>
    </w:p>
    <w:p>
      <w:pPr>
        <w:pStyle w:val="ListParagraph"/>
        <w:numPr>
          <w:ilvl w:val="0"/>
          <w:numId w:val="1"/>
        </w:numPr>
        <w:spacing w:after="60"/>
      </w:pPr>
      <w:r>
        <w:t xml:space="preserve">Stockout penalty: −2.0 × (total unmet demand across all three drugs, in units)</w:t>
      </w:r>
    </w:p>
    <w:p>
      <w:pPr>
        <w:pStyle w:val="ListParagraph"/>
        <w:numPr>
          <w:ilvl w:val="0"/>
          <w:numId w:val="1"/>
        </w:numPr>
        <w:spacing w:after="60"/>
      </w:pPr>
      <w:r>
        <w:t xml:space="preserve">Holding cost: −0.01 × (total units held in stock at week's end)</w:t>
      </w:r>
    </w:p>
    <w:p>
      <w:pPr>
        <w:pStyle w:val="ListParagraph"/>
        <w:numPr>
          <w:ilvl w:val="0"/>
          <w:numId w:val="1"/>
        </w:numPr>
        <w:spacing w:after="60"/>
      </w:pPr>
      <w:r>
        <w:t xml:space="preserve">Order cost: −1.0 flat, only if an order was placed this week (action ≠ 0)</w:t>
      </w:r>
    </w:p>
    <w:p>
      <w:pPr>
        <w:spacing w:after="150"/>
      </w:pPr>
      <w:r>
        <w:t xml:space="preserve">Formally, reward_t = −(2.0 · Σ unmet_i + 0.01 · Σ stock_i + 1.0 · 1[action_t ≠ 0]). This encodes the real trade-off a clinic supply officer faces: stockouts are weighted most heavily since they directly translate to patients going untreated, holding cost discourages hoarding shelf space and risking expiry, and the flat order cost discourages placing unnecessary small orders every week.</w:t>
      </w:r>
    </w:p>
    <w:p>
      <w:pPr>
        <w:pStyle w:val="Heading1"/>
        <w:spacing w:after="150" w:before="300"/>
      </w:pPr>
      <w:r>
        <w:t xml:space="preserve">System Analysis And Design</w:t>
      </w:r>
    </w:p>
    <w:p>
      <w:pPr>
        <w:pStyle w:val="Heading2"/>
        <w:spacing w:after="120" w:before="250"/>
      </w:pPr>
      <w:r>
        <w:t xml:space="preserve">Deep Q-Network (DQN)</w:t>
      </w:r>
    </w:p>
    <w:p>
      <w:pPr>
        <w:spacing w:after="150"/>
      </w:pPr>
      <w:r>
        <w:t xml:space="preserve">DQN was implemented via Stable-Baselines3's MlpPolicy, a fully-connected network mapping the 10-dimensional observation to Q-values over the 5 discrete actions. It uses the standard DQN stabilisation mechanisms built into Stable-Baselines3: an experience replay buffer (tuned between 10,000 and 100,000 transitions across sweep runs) that decorrelates consecutive training samples, and a periodically-updated target network (target_update_interval = 1000 steps) that stabilises the TD-target used in the Bellman loss. Exploration follows an epsilon-greedy schedule that linearly decays from 1.0 to a tuned final exploration rate (exploration_final_eps, swept between 0.01 and 0.10) over the first 20% of training.</w:t>
      </w:r>
    </w:p>
    <w:p>
      <w:pPr>
        <w:pStyle w:val="Heading3"/>
        <w:spacing w:after="100" w:before="200"/>
      </w:pPr>
      <w:r>
        <w:t xml:space="preserve">Policy Gradient Methods (REINFORCE / PPO / A2C)</w:t>
      </w:r>
    </w:p>
    <w:p>
      <w:pPr>
        <w:spacing w:after="150"/>
      </w:pPr>
      <w:r>
        <w:t xml:space="preserve">All three policy-gradient methods share a similarly-sized MLP policy (two hidden layers, Tanh activations) but differ in how they use collected experience:</w:t>
      </w:r>
    </w:p>
    <w:p>
      <w:pPr>
        <w:pStyle w:val="ListParagraph"/>
        <w:numPr>
          <w:ilvl w:val="0"/>
          <w:numId w:val="1"/>
        </w:numPr>
        <w:spacing w:after="60"/>
      </w:pPr>
      <w:r>
        <w:t xml:space="preserve">REINFORCE — implemented from scratch in PyTorch (not available in Stable-Baselines3). It collects a full episode, computes discounted Monte-Carlo returns, normalises them, and performs a single policy-gradient update per episode using −Σ log π(a|s)·G_t, with an optional entropy bonus to encourage exploration.</w:t>
      </w:r>
    </w:p>
    <w:p>
      <w:pPr>
        <w:pStyle w:val="ListParagraph"/>
        <w:numPr>
          <w:ilvl w:val="0"/>
          <w:numId w:val="1"/>
        </w:numPr>
        <w:spacing w:after="60"/>
      </w:pPr>
      <w:r>
        <w:t xml:space="preserve">PPO — Stable-Baselines3's clipped-surrogate implementation. It collects n_steps of rollout, then performs several epochs of minibatch gradient updates with the ratio of new-to-old policy probabilities clipped to [1−ε, 1+ε] (clip_range), which prevents destructively large policy updates.</w:t>
      </w:r>
    </w:p>
    <w:p>
      <w:pPr>
        <w:pStyle w:val="ListParagraph"/>
        <w:numPr>
          <w:ilvl w:val="0"/>
          <w:numId w:val="1"/>
        </w:numPr>
        <w:spacing w:after="60"/>
      </w:pPr>
      <w:r>
        <w:t xml:space="preserve">A2C — Stable-Baselines3's synchronous advantage actor-critic. It updates after every short n_steps rollout using the advantage (return − value-baseline) to reduce gradient variance, trading off sample efficiency for much more frequent, lower-latency updates than PPO.</w:t>
      </w:r>
    </w:p>
    <w:p>
      <w:pPr>
        <w:pStyle w:val="Heading1"/>
        <w:spacing w:after="150" w:before="300"/>
      </w:pPr>
      <w:r>
        <w:t xml:space="preserve">Implementation</w:t>
      </w:r>
    </w:p>
    <w:p>
      <w:pPr>
        <w:spacing w:after="150"/>
      </w:pPr>
      <w:r>
        <w:t xml:space="preserve">Hyperparameter sweep results below (10 runs per algorithm, 20,000 timesteps per run, evaluated over 10 held-out episodes). Full CSVs are in logs/sweeps/ in the repository.</w:t>
      </w:r>
    </w:p>
    <w:p>
      <w:pPr>
        <w:pStyle w:val="Heading2"/>
        <w:spacing w:after="120" w:before="250"/>
      </w:pPr>
      <w:r>
        <w:t xml:space="preserve">a. DQN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900"/>
        <w:gridCol w:w="1300"/>
        <w:gridCol w:w="2500"/>
        <w:gridCol w:w="1600"/>
      </w:tblGrid>
      <w:tr>
        <w:trPr>
          <w:tblHeader/>
        </w:trPr>
        <w:tc>
          <w:tcPr>
            <w:tcW w:type="dxa" w:w="1500"/>
            <w:shd w:fill="2F5496" w:val="clear"/>
            <w:tcMar>
              <w:top w:type="dxa" w:w="60"/>
              <w:left w:type="dxa" w:w="100"/>
              <w:bottom w:type="dxa" w:w="60"/>
              <w:right w:type="dxa" w:w="100"/>
            </w:tcMar>
          </w:tcPr>
          <w:p>
            <w:r>
              <w:rPr>
                <w:b/>
                <w:bCs/>
                <w:color w:val="FFFFFF"/>
                <w:sz w:val="18"/>
                <w:szCs w:val="18"/>
              </w:rPr>
              <w:t xml:space="preserve">Learning Rate</w:t>
            </w:r>
          </w:p>
        </w:tc>
        <w:tc>
          <w:tcPr>
            <w:tcW w:type="dxa" w:w="1200"/>
            <w:shd w:fill="2F5496" w:val="clear"/>
            <w:tcMar>
              <w:top w:type="dxa" w:w="60"/>
              <w:left w:type="dxa" w:w="100"/>
              <w:bottom w:type="dxa" w:w="60"/>
              <w:right w:type="dxa" w:w="100"/>
            </w:tcMar>
          </w:tcPr>
          <w:p>
            <w:r>
              <w:rPr>
                <w:b/>
                <w:bCs/>
                <w:color w:val="FFFFFF"/>
                <w:sz w:val="18"/>
                <w:szCs w:val="18"/>
              </w:rPr>
              <w:t xml:space="preserve">Gamma</w:t>
            </w:r>
          </w:p>
        </w:tc>
        <w:tc>
          <w:tcPr>
            <w:tcW w:type="dxa" w:w="1900"/>
            <w:shd w:fill="2F5496" w:val="clear"/>
            <w:tcMar>
              <w:top w:type="dxa" w:w="60"/>
              <w:left w:type="dxa" w:w="100"/>
              <w:bottom w:type="dxa" w:w="60"/>
              <w:right w:type="dxa" w:w="100"/>
            </w:tcMar>
          </w:tcPr>
          <w:p>
            <w:r>
              <w:rPr>
                <w:b/>
                <w:bCs/>
                <w:color w:val="FFFFFF"/>
                <w:sz w:val="18"/>
                <w:szCs w:val="18"/>
              </w:rPr>
              <w:t xml:space="preserve">Replay Buffer Size</w:t>
            </w:r>
          </w:p>
        </w:tc>
        <w:tc>
          <w:tcPr>
            <w:tcW w:type="dxa" w:w="1300"/>
            <w:shd w:fill="2F5496" w:val="clear"/>
            <w:tcMar>
              <w:top w:type="dxa" w:w="60"/>
              <w:left w:type="dxa" w:w="100"/>
              <w:bottom w:type="dxa" w:w="60"/>
              <w:right w:type="dxa" w:w="100"/>
            </w:tcMar>
          </w:tcPr>
          <w:p>
            <w:r>
              <w:rPr>
                <w:b/>
                <w:bCs/>
                <w:color w:val="FFFFFF"/>
                <w:sz w:val="18"/>
                <w:szCs w:val="18"/>
              </w:rPr>
              <w:t xml:space="preserve">Batch Size</w:t>
            </w:r>
          </w:p>
        </w:tc>
        <w:tc>
          <w:tcPr>
            <w:tcW w:type="dxa" w:w="2500"/>
            <w:shd w:fill="2F5496" w:val="clear"/>
            <w:tcMar>
              <w:top w:type="dxa" w:w="60"/>
              <w:left w:type="dxa" w:w="100"/>
              <w:bottom w:type="dxa" w:w="60"/>
              <w:right w:type="dxa" w:w="100"/>
            </w:tcMar>
          </w:tcPr>
          <w:p>
            <w:r>
              <w:rPr>
                <w:b/>
                <w:bCs/>
                <w:color w:val="FFFFFF"/>
                <w:sz w:val="18"/>
                <w:szCs w:val="18"/>
              </w:rPr>
              <w:t xml:space="preserve">Exploration Strategy</w:t>
            </w:r>
          </w:p>
        </w:tc>
        <w:tc>
          <w:tcPr>
            <w:tcW w:type="dxa" w:w="1600"/>
            <w:shd w:fill="2F5496" w:val="clear"/>
            <w:tcMar>
              <w:top w:type="dxa" w:w="60"/>
              <w:left w:type="dxa" w:w="100"/>
              <w:bottom w:type="dxa" w:w="60"/>
              <w:right w:type="dxa" w:w="100"/>
            </w:tcMar>
          </w:tcPr>
          <w:p>
            <w:r>
              <w:rPr>
                <w:b/>
                <w:bCs/>
                <w:color w:val="FFFFFF"/>
                <w:sz w:val="18"/>
                <w:szCs w:val="18"/>
              </w:rPr>
              <w:t xml:space="preserve">Mean Reward</w:t>
            </w:r>
          </w:p>
        </w:tc>
      </w:tr>
      <w:tr>
        <w:tc>
          <w:tcPr>
            <w:tcW w:type="dxa" w:w="1500"/>
            <w:tcMar>
              <w:top w:type="dxa" w:w="60"/>
              <w:left w:type="dxa" w:w="100"/>
              <w:bottom w:type="dxa" w:w="60"/>
              <w:right w:type="dxa" w:w="100"/>
            </w:tcMar>
          </w:tcPr>
          <w:p>
            <w:r>
              <w:rPr>
                <w:sz w:val="18"/>
                <w:szCs w:val="18"/>
              </w:rPr>
              <w:t xml:space="preserve">0.01</w:t>
            </w:r>
          </w:p>
        </w:tc>
        <w:tc>
          <w:tcPr>
            <w:tcW w:type="dxa" w:w="1200"/>
            <w:tcMar>
              <w:top w:type="dxa" w:w="60"/>
              <w:left w:type="dxa" w:w="100"/>
              <w:bottom w:type="dxa" w:w="60"/>
              <w:right w:type="dxa" w:w="100"/>
            </w:tcMar>
          </w:tcPr>
          <w:p>
            <w:r>
              <w:rPr>
                <w:sz w:val="18"/>
                <w:szCs w:val="18"/>
              </w:rPr>
              <w:t xml:space="preserve">0.9</w:t>
            </w:r>
          </w:p>
        </w:tc>
        <w:tc>
          <w:tcPr>
            <w:tcW w:type="dxa" w:w="1900"/>
            <w:tcMar>
              <w:top w:type="dxa" w:w="60"/>
              <w:left w:type="dxa" w:w="100"/>
              <w:bottom w:type="dxa" w:w="60"/>
              <w:right w:type="dxa" w:w="100"/>
            </w:tcMar>
          </w:tcPr>
          <w:p>
            <w:r>
              <w:rPr>
                <w:sz w:val="18"/>
                <w:szCs w:val="18"/>
              </w:rPr>
              <w:t xml:space="preserve">10000</w:t>
            </w:r>
          </w:p>
        </w:tc>
        <w:tc>
          <w:tcPr>
            <w:tcW w:type="dxa" w:w="1300"/>
            <w:tcMar>
              <w:top w:type="dxa" w:w="60"/>
              <w:left w:type="dxa" w:w="100"/>
              <w:bottom w:type="dxa" w:w="60"/>
              <w:right w:type="dxa" w:w="100"/>
            </w:tcMar>
          </w:tcPr>
          <w:p>
            <w:r>
              <w:rPr>
                <w:sz w:val="18"/>
                <w:szCs w:val="18"/>
              </w:rPr>
              <w:t xml:space="preserve">32</w:t>
            </w:r>
          </w:p>
        </w:tc>
        <w:tc>
          <w:tcPr>
            <w:tcW w:type="dxa" w:w="2500"/>
            <w:tcMar>
              <w:top w:type="dxa" w:w="60"/>
              <w:left w:type="dxa" w:w="100"/>
              <w:bottom w:type="dxa" w:w="60"/>
              <w:right w:type="dxa" w:w="100"/>
            </w:tcMar>
          </w:tcPr>
          <w:p>
            <w:r>
              <w:rPr>
                <w:sz w:val="18"/>
                <w:szCs w:val="18"/>
              </w:rPr>
              <w:t xml:space="preserve">eps-greedy, final=0.10</w:t>
            </w:r>
          </w:p>
        </w:tc>
        <w:tc>
          <w:tcPr>
            <w:tcW w:type="dxa" w:w="1600"/>
            <w:tcMar>
              <w:top w:type="dxa" w:w="60"/>
              <w:left w:type="dxa" w:w="100"/>
              <w:bottom w:type="dxa" w:w="60"/>
              <w:right w:type="dxa" w:w="100"/>
            </w:tcMar>
          </w:tcPr>
          <w:p>
            <w:r>
              <w:rPr>
                <w:sz w:val="18"/>
                <w:szCs w:val="18"/>
              </w:rPr>
              <w:t xml:space="preserve">-410.92</w:t>
            </w:r>
          </w:p>
        </w:tc>
      </w:tr>
      <w:tr>
        <w:tc>
          <w:tcPr>
            <w:tcW w:type="dxa" w:w="1500"/>
            <w:tcMar>
              <w:top w:type="dxa" w:w="60"/>
              <w:left w:type="dxa" w:w="100"/>
              <w:bottom w:type="dxa" w:w="60"/>
              <w:right w:type="dxa" w:w="100"/>
            </w:tcMar>
          </w:tcPr>
          <w:p>
            <w:r>
              <w:rPr>
                <w:sz w:val="18"/>
                <w:szCs w:val="18"/>
              </w:rPr>
              <w:t xml:space="preserve">0.001</w:t>
            </w:r>
          </w:p>
        </w:tc>
        <w:tc>
          <w:tcPr>
            <w:tcW w:type="dxa" w:w="1200"/>
            <w:tcMar>
              <w:top w:type="dxa" w:w="60"/>
              <w:left w:type="dxa" w:w="100"/>
              <w:bottom w:type="dxa" w:w="60"/>
              <w:right w:type="dxa" w:w="100"/>
            </w:tcMar>
          </w:tcPr>
          <w:p>
            <w:r>
              <w:rPr>
                <w:sz w:val="18"/>
                <w:szCs w:val="18"/>
              </w:rPr>
              <w:t xml:space="preserve">0.95</w:t>
            </w:r>
          </w:p>
        </w:tc>
        <w:tc>
          <w:tcPr>
            <w:tcW w:type="dxa" w:w="1900"/>
            <w:tcMar>
              <w:top w:type="dxa" w:w="60"/>
              <w:left w:type="dxa" w:w="100"/>
              <w:bottom w:type="dxa" w:w="60"/>
              <w:right w:type="dxa" w:w="100"/>
            </w:tcMar>
          </w:tcPr>
          <w:p>
            <w:r>
              <w:rPr>
                <w:sz w:val="18"/>
                <w:szCs w:val="18"/>
              </w:rPr>
              <w:t xml:space="preserve">20000</w:t>
            </w:r>
          </w:p>
        </w:tc>
        <w:tc>
          <w:tcPr>
            <w:tcW w:type="dxa" w:w="1300"/>
            <w:tcMar>
              <w:top w:type="dxa" w:w="60"/>
              <w:left w:type="dxa" w:w="100"/>
              <w:bottom w:type="dxa" w:w="60"/>
              <w:right w:type="dxa" w:w="100"/>
            </w:tcMar>
          </w:tcPr>
          <w:p>
            <w:r>
              <w:rPr>
                <w:sz w:val="18"/>
                <w:szCs w:val="18"/>
              </w:rPr>
              <w:t xml:space="preserve">32</w:t>
            </w:r>
          </w:p>
        </w:tc>
        <w:tc>
          <w:tcPr>
            <w:tcW w:type="dxa" w:w="2500"/>
            <w:tcMar>
              <w:top w:type="dxa" w:w="60"/>
              <w:left w:type="dxa" w:w="100"/>
              <w:bottom w:type="dxa" w:w="60"/>
              <w:right w:type="dxa" w:w="100"/>
            </w:tcMar>
          </w:tcPr>
          <w:p>
            <w:r>
              <w:rPr>
                <w:sz w:val="18"/>
                <w:szCs w:val="18"/>
              </w:rPr>
              <w:t xml:space="preserve">eps-greedy, final=0.10</w:t>
            </w:r>
          </w:p>
        </w:tc>
        <w:tc>
          <w:tcPr>
            <w:tcW w:type="dxa" w:w="1600"/>
            <w:tcMar>
              <w:top w:type="dxa" w:w="60"/>
              <w:left w:type="dxa" w:w="100"/>
              <w:bottom w:type="dxa" w:w="60"/>
              <w:right w:type="dxa" w:w="100"/>
            </w:tcMar>
          </w:tcPr>
          <w:p>
            <w:r>
              <w:rPr>
                <w:sz w:val="18"/>
                <w:szCs w:val="18"/>
              </w:rPr>
              <w:t xml:space="preserve">-236.53</w:t>
            </w:r>
          </w:p>
        </w:tc>
      </w:tr>
      <w:tr>
        <w:tc>
          <w:tcPr>
            <w:tcW w:type="dxa" w:w="1500"/>
            <w:tcMar>
              <w:top w:type="dxa" w:w="60"/>
              <w:left w:type="dxa" w:w="100"/>
              <w:bottom w:type="dxa" w:w="60"/>
              <w:right w:type="dxa" w:w="100"/>
            </w:tcMar>
          </w:tcPr>
          <w:p>
            <w:r>
              <w:rPr>
                <w:sz w:val="18"/>
                <w:szCs w:val="18"/>
              </w:rPr>
              <w:t xml:space="preserve">0.001</w:t>
            </w:r>
          </w:p>
        </w:tc>
        <w:tc>
          <w:tcPr>
            <w:tcW w:type="dxa" w:w="1200"/>
            <w:tcMar>
              <w:top w:type="dxa" w:w="60"/>
              <w:left w:type="dxa" w:w="100"/>
              <w:bottom w:type="dxa" w:w="60"/>
              <w:right w:type="dxa" w:w="100"/>
            </w:tcMar>
          </w:tcPr>
          <w:p>
            <w:r>
              <w:rPr>
                <w:sz w:val="18"/>
                <w:szCs w:val="18"/>
              </w:rPr>
              <w:t xml:space="preserve">0.99</w:t>
            </w:r>
          </w:p>
        </w:tc>
        <w:tc>
          <w:tcPr>
            <w:tcW w:type="dxa" w:w="1900"/>
            <w:tcMar>
              <w:top w:type="dxa" w:w="60"/>
              <w:left w:type="dxa" w:w="100"/>
              <w:bottom w:type="dxa" w:w="60"/>
              <w:right w:type="dxa" w:w="100"/>
            </w:tcMar>
          </w:tcPr>
          <w:p>
            <w:r>
              <w:rPr>
                <w:sz w:val="18"/>
                <w:szCs w:val="18"/>
              </w:rPr>
              <w:t xml:space="preserve">50000</w:t>
            </w:r>
          </w:p>
        </w:tc>
        <w:tc>
          <w:tcPr>
            <w:tcW w:type="dxa" w:w="1300"/>
            <w:tcMar>
              <w:top w:type="dxa" w:w="60"/>
              <w:left w:type="dxa" w:w="100"/>
              <w:bottom w:type="dxa" w:w="60"/>
              <w:right w:type="dxa" w:w="100"/>
            </w:tcMar>
          </w:tcPr>
          <w:p>
            <w:r>
              <w:rPr>
                <w:sz w:val="18"/>
                <w:szCs w:val="18"/>
              </w:rPr>
              <w:t xml:space="preserve">64</w:t>
            </w:r>
          </w:p>
        </w:tc>
        <w:tc>
          <w:tcPr>
            <w:tcW w:type="dxa" w:w="2500"/>
            <w:tcMar>
              <w:top w:type="dxa" w:w="60"/>
              <w:left w:type="dxa" w:w="100"/>
              <w:bottom w:type="dxa" w:w="60"/>
              <w:right w:type="dxa" w:w="100"/>
            </w:tcMar>
          </w:tcPr>
          <w:p>
            <w:r>
              <w:rPr>
                <w:sz w:val="18"/>
                <w:szCs w:val="18"/>
              </w:rPr>
              <w:t xml:space="preserve">eps-greedy, final=0.05</w:t>
            </w:r>
          </w:p>
        </w:tc>
        <w:tc>
          <w:tcPr>
            <w:tcW w:type="dxa" w:w="1600"/>
            <w:tcMar>
              <w:top w:type="dxa" w:w="60"/>
              <w:left w:type="dxa" w:w="100"/>
              <w:bottom w:type="dxa" w:w="60"/>
              <w:right w:type="dxa" w:w="100"/>
            </w:tcMar>
          </w:tcPr>
          <w:p>
            <w:r>
              <w:rPr>
                <w:sz w:val="18"/>
                <w:szCs w:val="18"/>
              </w:rPr>
              <w:t xml:space="preserve">-226.01</w:t>
            </w:r>
          </w:p>
        </w:tc>
      </w:tr>
      <w:tr>
        <w:tc>
          <w:tcPr>
            <w:tcW w:type="dxa" w:w="1500"/>
            <w:tcMar>
              <w:top w:type="dxa" w:w="60"/>
              <w:left w:type="dxa" w:w="100"/>
              <w:bottom w:type="dxa" w:w="60"/>
              <w:right w:type="dxa" w:w="100"/>
            </w:tcMar>
          </w:tcPr>
          <w:p>
            <w:r>
              <w:rPr>
                <w:sz w:val="18"/>
                <w:szCs w:val="18"/>
              </w:rPr>
              <w:t xml:space="preserve">0.0005</w:t>
            </w:r>
          </w:p>
        </w:tc>
        <w:tc>
          <w:tcPr>
            <w:tcW w:type="dxa" w:w="1200"/>
            <w:tcMar>
              <w:top w:type="dxa" w:w="60"/>
              <w:left w:type="dxa" w:w="100"/>
              <w:bottom w:type="dxa" w:w="60"/>
              <w:right w:type="dxa" w:w="100"/>
            </w:tcMar>
          </w:tcPr>
          <w:p>
            <w:r>
              <w:rPr>
                <w:sz w:val="18"/>
                <w:szCs w:val="18"/>
              </w:rPr>
              <w:t xml:space="preserve">0.99</w:t>
            </w:r>
          </w:p>
        </w:tc>
        <w:tc>
          <w:tcPr>
            <w:tcW w:type="dxa" w:w="1900"/>
            <w:tcMar>
              <w:top w:type="dxa" w:w="60"/>
              <w:left w:type="dxa" w:w="100"/>
              <w:bottom w:type="dxa" w:w="60"/>
              <w:right w:type="dxa" w:w="100"/>
            </w:tcMar>
          </w:tcPr>
          <w:p>
            <w:r>
              <w:rPr>
                <w:sz w:val="18"/>
                <w:szCs w:val="18"/>
              </w:rPr>
              <w:t xml:space="preserve">50000</w:t>
            </w:r>
          </w:p>
        </w:tc>
        <w:tc>
          <w:tcPr>
            <w:tcW w:type="dxa" w:w="1300"/>
            <w:tcMar>
              <w:top w:type="dxa" w:w="60"/>
              <w:left w:type="dxa" w:w="100"/>
              <w:bottom w:type="dxa" w:w="60"/>
              <w:right w:type="dxa" w:w="100"/>
            </w:tcMar>
          </w:tcPr>
          <w:p>
            <w:r>
              <w:rPr>
                <w:sz w:val="18"/>
                <w:szCs w:val="18"/>
              </w:rPr>
              <w:t xml:space="preserve">64</w:t>
            </w:r>
          </w:p>
        </w:tc>
        <w:tc>
          <w:tcPr>
            <w:tcW w:type="dxa" w:w="2500"/>
            <w:tcMar>
              <w:top w:type="dxa" w:w="60"/>
              <w:left w:type="dxa" w:w="100"/>
              <w:bottom w:type="dxa" w:w="60"/>
              <w:right w:type="dxa" w:w="100"/>
            </w:tcMar>
          </w:tcPr>
          <w:p>
            <w:r>
              <w:rPr>
                <w:sz w:val="18"/>
                <w:szCs w:val="18"/>
              </w:rPr>
              <w:t xml:space="preserve">eps-greedy, final=0.05</w:t>
            </w:r>
          </w:p>
        </w:tc>
        <w:tc>
          <w:tcPr>
            <w:tcW w:type="dxa" w:w="1600"/>
            <w:tcMar>
              <w:top w:type="dxa" w:w="60"/>
              <w:left w:type="dxa" w:w="100"/>
              <w:bottom w:type="dxa" w:w="60"/>
              <w:right w:type="dxa" w:w="100"/>
            </w:tcMar>
          </w:tcPr>
          <w:p>
            <w:r>
              <w:rPr>
                <w:sz w:val="18"/>
                <w:szCs w:val="18"/>
              </w:rPr>
              <w:t xml:space="preserve">-246.16</w:t>
            </w:r>
          </w:p>
        </w:tc>
      </w:tr>
      <w:tr>
        <w:tc>
          <w:tcPr>
            <w:tcW w:type="dxa" w:w="1500"/>
            <w:tcMar>
              <w:top w:type="dxa" w:w="60"/>
              <w:left w:type="dxa" w:w="100"/>
              <w:bottom w:type="dxa" w:w="60"/>
              <w:right w:type="dxa" w:w="100"/>
            </w:tcMar>
          </w:tcPr>
          <w:p>
            <w:r>
              <w:rPr>
                <w:sz w:val="18"/>
                <w:szCs w:val="18"/>
              </w:rPr>
              <w:t xml:space="preserve">0.0005</w:t>
            </w:r>
          </w:p>
        </w:tc>
        <w:tc>
          <w:tcPr>
            <w:tcW w:type="dxa" w:w="1200"/>
            <w:tcMar>
              <w:top w:type="dxa" w:w="60"/>
              <w:left w:type="dxa" w:w="100"/>
              <w:bottom w:type="dxa" w:w="60"/>
              <w:right w:type="dxa" w:w="100"/>
            </w:tcMar>
          </w:tcPr>
          <w:p>
            <w:r>
              <w:rPr>
                <w:sz w:val="18"/>
                <w:szCs w:val="18"/>
              </w:rPr>
              <w:t xml:space="preserve">0.995</w:t>
            </w:r>
          </w:p>
        </w:tc>
        <w:tc>
          <w:tcPr>
            <w:tcW w:type="dxa" w:w="1900"/>
            <w:tcMar>
              <w:top w:type="dxa" w:w="60"/>
              <w:left w:type="dxa" w:w="100"/>
              <w:bottom w:type="dxa" w:w="60"/>
              <w:right w:type="dxa" w:w="100"/>
            </w:tcMar>
          </w:tcPr>
          <w:p>
            <w:r>
              <w:rPr>
                <w:sz w:val="18"/>
                <w:szCs w:val="18"/>
              </w:rPr>
              <w:t xml:space="preserve">100000</w:t>
            </w:r>
          </w:p>
        </w:tc>
        <w:tc>
          <w:tcPr>
            <w:tcW w:type="dxa" w:w="1300"/>
            <w:tcMar>
              <w:top w:type="dxa" w:w="60"/>
              <w:left w:type="dxa" w:w="100"/>
              <w:bottom w:type="dxa" w:w="60"/>
              <w:right w:type="dxa" w:w="100"/>
            </w:tcMar>
          </w:tcPr>
          <w:p>
            <w:r>
              <w:rPr>
                <w:sz w:val="18"/>
                <w:szCs w:val="18"/>
              </w:rPr>
              <w:t xml:space="preserve">128</w:t>
            </w:r>
          </w:p>
        </w:tc>
        <w:tc>
          <w:tcPr>
            <w:tcW w:type="dxa" w:w="2500"/>
            <w:tcMar>
              <w:top w:type="dxa" w:w="60"/>
              <w:left w:type="dxa" w:w="100"/>
              <w:bottom w:type="dxa" w:w="60"/>
              <w:right w:type="dxa" w:w="100"/>
            </w:tcMar>
          </w:tcPr>
          <w:p>
            <w:r>
              <w:rPr>
                <w:sz w:val="18"/>
                <w:szCs w:val="18"/>
              </w:rPr>
              <w:t xml:space="preserve">eps-greedy, final=0.02</w:t>
            </w:r>
          </w:p>
        </w:tc>
        <w:tc>
          <w:tcPr>
            <w:tcW w:type="dxa" w:w="1600"/>
            <w:tcMar>
              <w:top w:type="dxa" w:w="60"/>
              <w:left w:type="dxa" w:w="100"/>
              <w:bottom w:type="dxa" w:w="60"/>
              <w:right w:type="dxa" w:w="100"/>
            </w:tcMar>
          </w:tcPr>
          <w:p>
            <w:r>
              <w:rPr>
                <w:sz w:val="18"/>
                <w:szCs w:val="18"/>
              </w:rPr>
              <w:t xml:space="preserve">-256.16</w:t>
            </w:r>
          </w:p>
        </w:tc>
      </w:tr>
      <w:tr>
        <w:tc>
          <w:tcPr>
            <w:tcW w:type="dxa" w:w="1500"/>
            <w:tcMar>
              <w:top w:type="dxa" w:w="60"/>
              <w:left w:type="dxa" w:w="100"/>
              <w:bottom w:type="dxa" w:w="60"/>
              <w:right w:type="dxa" w:w="100"/>
            </w:tcMar>
          </w:tcPr>
          <w:p>
            <w:r>
              <w:rPr>
                <w:sz w:val="18"/>
                <w:szCs w:val="18"/>
              </w:rPr>
              <w:t xml:space="preserve">0.0001</w:t>
            </w:r>
          </w:p>
        </w:tc>
        <w:tc>
          <w:tcPr>
            <w:tcW w:type="dxa" w:w="1200"/>
            <w:tcMar>
              <w:top w:type="dxa" w:w="60"/>
              <w:left w:type="dxa" w:w="100"/>
              <w:bottom w:type="dxa" w:w="60"/>
              <w:right w:type="dxa" w:w="100"/>
            </w:tcMar>
          </w:tcPr>
          <w:p>
            <w:r>
              <w:rPr>
                <w:sz w:val="18"/>
                <w:szCs w:val="18"/>
              </w:rPr>
              <w:t xml:space="preserve">0.99</w:t>
            </w:r>
          </w:p>
        </w:tc>
        <w:tc>
          <w:tcPr>
            <w:tcW w:type="dxa" w:w="1900"/>
            <w:tcMar>
              <w:top w:type="dxa" w:w="60"/>
              <w:left w:type="dxa" w:w="100"/>
              <w:bottom w:type="dxa" w:w="60"/>
              <w:right w:type="dxa" w:w="100"/>
            </w:tcMar>
          </w:tcPr>
          <w:p>
            <w:r>
              <w:rPr>
                <w:sz w:val="18"/>
                <w:szCs w:val="18"/>
              </w:rPr>
              <w:t xml:space="preserve">50000</w:t>
            </w:r>
          </w:p>
        </w:tc>
        <w:tc>
          <w:tcPr>
            <w:tcW w:type="dxa" w:w="1300"/>
            <w:tcMar>
              <w:top w:type="dxa" w:w="60"/>
              <w:left w:type="dxa" w:w="100"/>
              <w:bottom w:type="dxa" w:w="60"/>
              <w:right w:type="dxa" w:w="100"/>
            </w:tcMar>
          </w:tcPr>
          <w:p>
            <w:r>
              <w:rPr>
                <w:sz w:val="18"/>
                <w:szCs w:val="18"/>
              </w:rPr>
              <w:t xml:space="preserve">64</w:t>
            </w:r>
          </w:p>
        </w:tc>
        <w:tc>
          <w:tcPr>
            <w:tcW w:type="dxa" w:w="2500"/>
            <w:tcMar>
              <w:top w:type="dxa" w:w="60"/>
              <w:left w:type="dxa" w:w="100"/>
              <w:bottom w:type="dxa" w:w="60"/>
              <w:right w:type="dxa" w:w="100"/>
            </w:tcMar>
          </w:tcPr>
          <w:p>
            <w:r>
              <w:rPr>
                <w:sz w:val="18"/>
                <w:szCs w:val="18"/>
              </w:rPr>
              <w:t xml:space="preserve">eps-greedy, final=0.05</w:t>
            </w:r>
          </w:p>
        </w:tc>
        <w:tc>
          <w:tcPr>
            <w:tcW w:type="dxa" w:w="1600"/>
            <w:tcMar>
              <w:top w:type="dxa" w:w="60"/>
              <w:left w:type="dxa" w:w="100"/>
              <w:bottom w:type="dxa" w:w="60"/>
              <w:right w:type="dxa" w:w="100"/>
            </w:tcMar>
          </w:tcPr>
          <w:p>
            <w:r>
              <w:rPr>
                <w:sz w:val="18"/>
                <w:szCs w:val="18"/>
              </w:rPr>
              <w:t xml:space="preserve">-333.95</w:t>
            </w:r>
          </w:p>
        </w:tc>
      </w:tr>
      <w:tr>
        <w:tc>
          <w:tcPr>
            <w:tcW w:type="dxa" w:w="1500"/>
            <w:tcMar>
              <w:top w:type="dxa" w:w="60"/>
              <w:left w:type="dxa" w:w="100"/>
              <w:bottom w:type="dxa" w:w="60"/>
              <w:right w:type="dxa" w:w="100"/>
            </w:tcMar>
          </w:tcPr>
          <w:p>
            <w:r>
              <w:rPr>
                <w:sz w:val="18"/>
                <w:szCs w:val="18"/>
              </w:rPr>
              <w:t xml:space="preserve">0.0003</w:t>
            </w:r>
          </w:p>
        </w:tc>
        <w:tc>
          <w:tcPr>
            <w:tcW w:type="dxa" w:w="1200"/>
            <w:tcMar>
              <w:top w:type="dxa" w:w="60"/>
              <w:left w:type="dxa" w:w="100"/>
              <w:bottom w:type="dxa" w:w="60"/>
              <w:right w:type="dxa" w:w="100"/>
            </w:tcMar>
          </w:tcPr>
          <w:p>
            <w:r>
              <w:rPr>
                <w:sz w:val="18"/>
                <w:szCs w:val="18"/>
              </w:rPr>
              <w:t xml:space="preserve">0.98</w:t>
            </w:r>
          </w:p>
        </w:tc>
        <w:tc>
          <w:tcPr>
            <w:tcW w:type="dxa" w:w="1900"/>
            <w:tcMar>
              <w:top w:type="dxa" w:w="60"/>
              <w:left w:type="dxa" w:w="100"/>
              <w:bottom w:type="dxa" w:w="60"/>
              <w:right w:type="dxa" w:w="100"/>
            </w:tcMar>
          </w:tcPr>
          <w:p>
            <w:r>
              <w:rPr>
                <w:sz w:val="18"/>
                <w:szCs w:val="18"/>
              </w:rPr>
              <w:t xml:space="preserve">30000</w:t>
            </w:r>
          </w:p>
        </w:tc>
        <w:tc>
          <w:tcPr>
            <w:tcW w:type="dxa" w:w="1300"/>
            <w:tcMar>
              <w:top w:type="dxa" w:w="60"/>
              <w:left w:type="dxa" w:w="100"/>
              <w:bottom w:type="dxa" w:w="60"/>
              <w:right w:type="dxa" w:w="100"/>
            </w:tcMar>
          </w:tcPr>
          <w:p>
            <w:r>
              <w:rPr>
                <w:sz w:val="18"/>
                <w:szCs w:val="18"/>
              </w:rPr>
              <w:t xml:space="preserve">32</w:t>
            </w:r>
          </w:p>
        </w:tc>
        <w:tc>
          <w:tcPr>
            <w:tcW w:type="dxa" w:w="2500"/>
            <w:tcMar>
              <w:top w:type="dxa" w:w="60"/>
              <w:left w:type="dxa" w:w="100"/>
              <w:bottom w:type="dxa" w:w="60"/>
              <w:right w:type="dxa" w:w="100"/>
            </w:tcMar>
          </w:tcPr>
          <w:p>
            <w:r>
              <w:rPr>
                <w:sz w:val="18"/>
                <w:szCs w:val="18"/>
              </w:rPr>
              <w:t xml:space="preserve">eps-greedy, final=0.10</w:t>
            </w:r>
          </w:p>
        </w:tc>
        <w:tc>
          <w:tcPr>
            <w:tcW w:type="dxa" w:w="1600"/>
            <w:tcMar>
              <w:top w:type="dxa" w:w="60"/>
              <w:left w:type="dxa" w:w="100"/>
              <w:bottom w:type="dxa" w:w="60"/>
              <w:right w:type="dxa" w:w="100"/>
            </w:tcMar>
          </w:tcPr>
          <w:p>
            <w:r>
              <w:rPr>
                <w:sz w:val="18"/>
                <w:szCs w:val="18"/>
              </w:rPr>
              <w:t xml:space="preserve">-228.45</w:t>
            </w:r>
          </w:p>
        </w:tc>
      </w:tr>
      <w:tr>
        <w:tc>
          <w:tcPr>
            <w:tcW w:type="dxa" w:w="1500"/>
            <w:tcMar>
              <w:top w:type="dxa" w:w="60"/>
              <w:left w:type="dxa" w:w="100"/>
              <w:bottom w:type="dxa" w:w="60"/>
              <w:right w:type="dxa" w:w="100"/>
            </w:tcMar>
          </w:tcPr>
          <w:p>
            <w:r>
              <w:rPr>
                <w:sz w:val="18"/>
                <w:szCs w:val="18"/>
              </w:rPr>
              <w:t xml:space="preserve">0.0003</w:t>
            </w:r>
          </w:p>
        </w:tc>
        <w:tc>
          <w:tcPr>
            <w:tcW w:type="dxa" w:w="1200"/>
            <w:tcMar>
              <w:top w:type="dxa" w:w="60"/>
              <w:left w:type="dxa" w:w="100"/>
              <w:bottom w:type="dxa" w:w="60"/>
              <w:right w:type="dxa" w:w="100"/>
            </w:tcMar>
          </w:tcPr>
          <w:p>
            <w:r>
              <w:rPr>
                <w:sz w:val="18"/>
                <w:szCs w:val="18"/>
              </w:rPr>
              <w:t xml:space="preserve">0.99</w:t>
            </w:r>
          </w:p>
        </w:tc>
        <w:tc>
          <w:tcPr>
            <w:tcW w:type="dxa" w:w="1900"/>
            <w:tcMar>
              <w:top w:type="dxa" w:w="60"/>
              <w:left w:type="dxa" w:w="100"/>
              <w:bottom w:type="dxa" w:w="60"/>
              <w:right w:type="dxa" w:w="100"/>
            </w:tcMar>
          </w:tcPr>
          <w:p>
            <w:r>
              <w:rPr>
                <w:sz w:val="18"/>
                <w:szCs w:val="18"/>
              </w:rPr>
              <w:t xml:space="preserve">100000</w:t>
            </w:r>
          </w:p>
        </w:tc>
        <w:tc>
          <w:tcPr>
            <w:tcW w:type="dxa" w:w="1300"/>
            <w:tcMar>
              <w:top w:type="dxa" w:w="60"/>
              <w:left w:type="dxa" w:w="100"/>
              <w:bottom w:type="dxa" w:w="60"/>
              <w:right w:type="dxa" w:w="100"/>
            </w:tcMar>
          </w:tcPr>
          <w:p>
            <w:r>
              <w:rPr>
                <w:sz w:val="18"/>
                <w:szCs w:val="18"/>
              </w:rPr>
              <w:t xml:space="preserve">256</w:t>
            </w:r>
          </w:p>
        </w:tc>
        <w:tc>
          <w:tcPr>
            <w:tcW w:type="dxa" w:w="2500"/>
            <w:tcMar>
              <w:top w:type="dxa" w:w="60"/>
              <w:left w:type="dxa" w:w="100"/>
              <w:bottom w:type="dxa" w:w="60"/>
              <w:right w:type="dxa" w:w="100"/>
            </w:tcMar>
          </w:tcPr>
          <w:p>
            <w:r>
              <w:rPr>
                <w:sz w:val="18"/>
                <w:szCs w:val="18"/>
              </w:rPr>
              <w:t xml:space="preserve">eps-greedy, final=0.05</w:t>
            </w:r>
          </w:p>
        </w:tc>
        <w:tc>
          <w:tcPr>
            <w:tcW w:type="dxa" w:w="1600"/>
            <w:tcMar>
              <w:top w:type="dxa" w:w="60"/>
              <w:left w:type="dxa" w:w="100"/>
              <w:bottom w:type="dxa" w:w="60"/>
              <w:right w:type="dxa" w:w="100"/>
            </w:tcMar>
          </w:tcPr>
          <w:p>
            <w:r>
              <w:rPr>
                <w:sz w:val="18"/>
                <w:szCs w:val="18"/>
              </w:rPr>
              <w:t xml:space="preserve">-245.3</w:t>
            </w:r>
          </w:p>
        </w:tc>
      </w:tr>
      <w:tr>
        <w:tc>
          <w:tcPr>
            <w:tcW w:type="dxa" w:w="1500"/>
            <w:tcMar>
              <w:top w:type="dxa" w:w="60"/>
              <w:left w:type="dxa" w:w="100"/>
              <w:bottom w:type="dxa" w:w="60"/>
              <w:right w:type="dxa" w:w="100"/>
            </w:tcMar>
          </w:tcPr>
          <w:p>
            <w:r>
              <w:rPr>
                <w:sz w:val="18"/>
                <w:szCs w:val="18"/>
              </w:rPr>
              <w:t xml:space="preserve">0.001</w:t>
            </w:r>
          </w:p>
        </w:tc>
        <w:tc>
          <w:tcPr>
            <w:tcW w:type="dxa" w:w="1200"/>
            <w:tcMar>
              <w:top w:type="dxa" w:w="60"/>
              <w:left w:type="dxa" w:w="100"/>
              <w:bottom w:type="dxa" w:w="60"/>
              <w:right w:type="dxa" w:w="100"/>
            </w:tcMar>
          </w:tcPr>
          <w:p>
            <w:r>
              <w:rPr>
                <w:sz w:val="18"/>
                <w:szCs w:val="18"/>
              </w:rPr>
              <w:t xml:space="preserve">0.99</w:t>
            </w:r>
          </w:p>
        </w:tc>
        <w:tc>
          <w:tcPr>
            <w:tcW w:type="dxa" w:w="1900"/>
            <w:tcMar>
              <w:top w:type="dxa" w:w="60"/>
              <w:left w:type="dxa" w:w="100"/>
              <w:bottom w:type="dxa" w:w="60"/>
              <w:right w:type="dxa" w:w="100"/>
            </w:tcMar>
          </w:tcPr>
          <w:p>
            <w:r>
              <w:rPr>
                <w:sz w:val="18"/>
                <w:szCs w:val="18"/>
              </w:rPr>
              <w:t xml:space="preserve">100000</w:t>
            </w:r>
          </w:p>
        </w:tc>
        <w:tc>
          <w:tcPr>
            <w:tcW w:type="dxa" w:w="1300"/>
            <w:tcMar>
              <w:top w:type="dxa" w:w="60"/>
              <w:left w:type="dxa" w:w="100"/>
              <w:bottom w:type="dxa" w:w="60"/>
              <w:right w:type="dxa" w:w="100"/>
            </w:tcMar>
          </w:tcPr>
          <w:p>
            <w:r>
              <w:rPr>
                <w:sz w:val="18"/>
                <w:szCs w:val="18"/>
              </w:rPr>
              <w:t xml:space="preserve">64</w:t>
            </w:r>
          </w:p>
        </w:tc>
        <w:tc>
          <w:tcPr>
            <w:tcW w:type="dxa" w:w="2500"/>
            <w:tcMar>
              <w:top w:type="dxa" w:w="60"/>
              <w:left w:type="dxa" w:w="100"/>
              <w:bottom w:type="dxa" w:w="60"/>
              <w:right w:type="dxa" w:w="100"/>
            </w:tcMar>
          </w:tcPr>
          <w:p>
            <w:r>
              <w:rPr>
                <w:sz w:val="18"/>
                <w:szCs w:val="18"/>
              </w:rPr>
              <w:t xml:space="preserve">eps-greedy, final=0.01</w:t>
            </w:r>
          </w:p>
        </w:tc>
        <w:tc>
          <w:tcPr>
            <w:tcW w:type="dxa" w:w="1600"/>
            <w:tcMar>
              <w:top w:type="dxa" w:w="60"/>
              <w:left w:type="dxa" w:w="100"/>
              <w:bottom w:type="dxa" w:w="60"/>
              <w:right w:type="dxa" w:w="100"/>
            </w:tcMar>
          </w:tcPr>
          <w:p>
            <w:r>
              <w:rPr>
                <w:sz w:val="18"/>
                <w:szCs w:val="18"/>
              </w:rPr>
              <w:t xml:space="preserve">-345.95</w:t>
            </w:r>
          </w:p>
        </w:tc>
      </w:tr>
      <w:tr>
        <w:tc>
          <w:tcPr>
            <w:tcW w:type="dxa" w:w="1500"/>
            <w:tcMar>
              <w:top w:type="dxa" w:w="60"/>
              <w:left w:type="dxa" w:w="100"/>
              <w:bottom w:type="dxa" w:w="60"/>
              <w:right w:type="dxa" w:w="100"/>
            </w:tcMar>
          </w:tcPr>
          <w:p>
            <w:r>
              <w:rPr>
                <w:sz w:val="18"/>
                <w:szCs w:val="18"/>
              </w:rPr>
              <w:t xml:space="preserve">0.00025</w:t>
            </w:r>
          </w:p>
        </w:tc>
        <w:tc>
          <w:tcPr>
            <w:tcW w:type="dxa" w:w="1200"/>
            <w:tcMar>
              <w:top w:type="dxa" w:w="60"/>
              <w:left w:type="dxa" w:w="100"/>
              <w:bottom w:type="dxa" w:w="60"/>
              <w:right w:type="dxa" w:w="100"/>
            </w:tcMar>
          </w:tcPr>
          <w:p>
            <w:r>
              <w:rPr>
                <w:sz w:val="18"/>
                <w:szCs w:val="18"/>
              </w:rPr>
              <w:t xml:space="preserve">0.995</w:t>
            </w:r>
          </w:p>
        </w:tc>
        <w:tc>
          <w:tcPr>
            <w:tcW w:type="dxa" w:w="1900"/>
            <w:tcMar>
              <w:top w:type="dxa" w:w="60"/>
              <w:left w:type="dxa" w:w="100"/>
              <w:bottom w:type="dxa" w:w="60"/>
              <w:right w:type="dxa" w:w="100"/>
            </w:tcMar>
          </w:tcPr>
          <w:p>
            <w:r>
              <w:rPr>
                <w:sz w:val="18"/>
                <w:szCs w:val="18"/>
              </w:rPr>
              <w:t xml:space="preserve">50000</w:t>
            </w:r>
          </w:p>
        </w:tc>
        <w:tc>
          <w:tcPr>
            <w:tcW w:type="dxa" w:w="1300"/>
            <w:tcMar>
              <w:top w:type="dxa" w:w="60"/>
              <w:left w:type="dxa" w:w="100"/>
              <w:bottom w:type="dxa" w:w="60"/>
              <w:right w:type="dxa" w:w="100"/>
            </w:tcMar>
          </w:tcPr>
          <w:p>
            <w:r>
              <w:rPr>
                <w:sz w:val="18"/>
                <w:szCs w:val="18"/>
              </w:rPr>
              <w:t xml:space="preserve">128</w:t>
            </w:r>
          </w:p>
        </w:tc>
        <w:tc>
          <w:tcPr>
            <w:tcW w:type="dxa" w:w="2500"/>
            <w:tcMar>
              <w:top w:type="dxa" w:w="60"/>
              <w:left w:type="dxa" w:w="100"/>
              <w:bottom w:type="dxa" w:w="60"/>
              <w:right w:type="dxa" w:w="100"/>
            </w:tcMar>
          </w:tcPr>
          <w:p>
            <w:r>
              <w:rPr>
                <w:sz w:val="18"/>
                <w:szCs w:val="18"/>
              </w:rPr>
              <w:t xml:space="preserve">eps-greedy, final=0.02</w:t>
            </w:r>
          </w:p>
        </w:tc>
        <w:tc>
          <w:tcPr>
            <w:tcW w:type="dxa" w:w="1600"/>
            <w:tcMar>
              <w:top w:type="dxa" w:w="60"/>
              <w:left w:type="dxa" w:w="100"/>
              <w:bottom w:type="dxa" w:w="60"/>
              <w:right w:type="dxa" w:w="100"/>
            </w:tcMar>
          </w:tcPr>
          <w:p>
            <w:r>
              <w:rPr>
                <w:sz w:val="18"/>
                <w:szCs w:val="18"/>
              </w:rPr>
              <w:t xml:space="preserve">-282.43</w:t>
            </w:r>
          </w:p>
        </w:tc>
      </w:tr>
    </w:tbl>
    <w:p>
      <w:pPr>
        <w:spacing w:after="200"/>
      </w:pPr>
    </w:p>
    <w:p>
      <w:pPr>
        <w:pStyle w:val="Heading2"/>
        <w:spacing w:after="120" w:before="250"/>
      </w:pPr>
      <w:r>
        <w:t xml:space="preserve">b. REINFORCE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200"/>
        <w:gridCol w:w="1600"/>
      </w:tblGrid>
      <w:tr>
        <w:trPr>
          <w:tblHeader/>
        </w:trPr>
        <w:tc>
          <w:tcPr>
            <w:tcW w:type="dxa" w:w="1800"/>
            <w:shd w:fill="2F5496" w:val="clear"/>
            <w:tcMar>
              <w:top w:type="dxa" w:w="60"/>
              <w:left w:type="dxa" w:w="100"/>
              <w:bottom w:type="dxa" w:w="60"/>
              <w:right w:type="dxa" w:w="100"/>
            </w:tcMar>
          </w:tcPr>
          <w:p>
            <w:r>
              <w:rPr>
                <w:b/>
                <w:bCs/>
                <w:color w:val="FFFFFF"/>
                <w:sz w:val="18"/>
                <w:szCs w:val="18"/>
              </w:rPr>
              <w:t xml:space="preserve">Learning Rate</w:t>
            </w:r>
          </w:p>
        </w:tc>
        <w:tc>
          <w:tcPr>
            <w:tcW w:type="dxa" w:w="1400"/>
            <w:shd w:fill="2F5496" w:val="clear"/>
            <w:tcMar>
              <w:top w:type="dxa" w:w="60"/>
              <w:left w:type="dxa" w:w="100"/>
              <w:bottom w:type="dxa" w:w="60"/>
              <w:right w:type="dxa" w:w="100"/>
            </w:tcMar>
          </w:tcPr>
          <w:p>
            <w:r>
              <w:rPr>
                <w:b/>
                <w:bCs/>
                <w:color w:val="FFFFFF"/>
                <w:sz w:val="18"/>
                <w:szCs w:val="18"/>
              </w:rPr>
              <w:t xml:space="preserve">Gamma</w:t>
            </w:r>
          </w:p>
        </w:tc>
        <w:tc>
          <w:tcPr>
            <w:tcW w:type="dxa" w:w="2000"/>
            <w:shd w:fill="2F5496" w:val="clear"/>
            <w:tcMar>
              <w:top w:type="dxa" w:w="60"/>
              <w:left w:type="dxa" w:w="100"/>
              <w:bottom w:type="dxa" w:w="60"/>
              <w:right w:type="dxa" w:w="100"/>
            </w:tcMar>
          </w:tcPr>
          <w:p>
            <w:r>
              <w:rPr>
                <w:b/>
                <w:bCs/>
                <w:color w:val="FFFFFF"/>
                <w:sz w:val="18"/>
                <w:szCs w:val="18"/>
              </w:rPr>
              <w:t xml:space="preserve">Hidden Layer Size</w:t>
            </w:r>
          </w:p>
        </w:tc>
        <w:tc>
          <w:tcPr>
            <w:tcW w:type="dxa" w:w="2200"/>
            <w:shd w:fill="2F5496" w:val="clear"/>
            <w:tcMar>
              <w:top w:type="dxa" w:w="60"/>
              <w:left w:type="dxa" w:w="100"/>
              <w:bottom w:type="dxa" w:w="60"/>
              <w:right w:type="dxa" w:w="100"/>
            </w:tcMar>
          </w:tcPr>
          <w:p>
            <w:r>
              <w:rPr>
                <w:b/>
                <w:bCs/>
                <w:color w:val="FFFFFF"/>
                <w:sz w:val="18"/>
                <w:szCs w:val="18"/>
              </w:rPr>
              <w:t xml:space="preserve">Entropy Coefficient</w:t>
            </w:r>
          </w:p>
        </w:tc>
        <w:tc>
          <w:tcPr>
            <w:tcW w:type="dxa" w:w="1600"/>
            <w:shd w:fill="2F5496" w:val="clear"/>
            <w:tcMar>
              <w:top w:type="dxa" w:w="60"/>
              <w:left w:type="dxa" w:w="100"/>
              <w:bottom w:type="dxa" w:w="60"/>
              <w:right w:type="dxa" w:w="100"/>
            </w:tcMar>
          </w:tcPr>
          <w:p>
            <w:r>
              <w:rPr>
                <w:b/>
                <w:bCs/>
                <w:color w:val="FFFFFF"/>
                <w:sz w:val="18"/>
                <w:szCs w:val="18"/>
              </w:rPr>
              <w:t xml:space="preserve">Mean Reward</w:t>
            </w:r>
          </w:p>
        </w:tc>
      </w:tr>
      <w:tr>
        <w:tc>
          <w:tcPr>
            <w:tcW w:type="dxa" w:w="1800"/>
            <w:tcMar>
              <w:top w:type="dxa" w:w="60"/>
              <w:left w:type="dxa" w:w="100"/>
              <w:bottom w:type="dxa" w:w="60"/>
              <w:right w:type="dxa" w:w="100"/>
            </w:tcMar>
          </w:tcPr>
          <w:p>
            <w:r>
              <w:rPr>
                <w:sz w:val="18"/>
                <w:szCs w:val="18"/>
              </w:rPr>
              <w:t xml:space="preserve">0.01</w:t>
            </w:r>
          </w:p>
        </w:tc>
        <w:tc>
          <w:tcPr>
            <w:tcW w:type="dxa" w:w="1400"/>
            <w:tcMar>
              <w:top w:type="dxa" w:w="60"/>
              <w:left w:type="dxa" w:w="100"/>
              <w:bottom w:type="dxa" w:w="60"/>
              <w:right w:type="dxa" w:w="100"/>
            </w:tcMar>
          </w:tcPr>
          <w:p>
            <w:r>
              <w:rPr>
                <w:sz w:val="18"/>
                <w:szCs w:val="18"/>
              </w:rPr>
              <w:t xml:space="preserve">0.9</w:t>
            </w:r>
          </w:p>
        </w:tc>
        <w:tc>
          <w:tcPr>
            <w:tcW w:type="dxa" w:w="2000"/>
            <w:tcMar>
              <w:top w:type="dxa" w:w="60"/>
              <w:left w:type="dxa" w:w="100"/>
              <w:bottom w:type="dxa" w:w="60"/>
              <w:right w:type="dxa" w:w="100"/>
            </w:tcMar>
          </w:tcPr>
          <w:p>
            <w:r>
              <w:rPr>
                <w:sz w:val="18"/>
                <w:szCs w:val="18"/>
              </w:rPr>
              <w:t xml:space="preserve">32</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-602.21</w:t>
            </w:r>
          </w:p>
        </w:tc>
      </w:tr>
      <w:tr>
        <w:tc>
          <w:tcPr>
            <w:tcW w:type="dxa" w:w="1800"/>
            <w:tcMar>
              <w:top w:type="dxa" w:w="60"/>
              <w:left w:type="dxa" w:w="100"/>
              <w:bottom w:type="dxa" w:w="60"/>
              <w:right w:type="dxa" w:w="100"/>
            </w:tcMar>
          </w:tcPr>
          <w:p>
            <w:r>
              <w:rPr>
                <w:sz w:val="18"/>
                <w:szCs w:val="18"/>
              </w:rPr>
              <w:t xml:space="preserve">0.001</w:t>
            </w:r>
          </w:p>
        </w:tc>
        <w:tc>
          <w:tcPr>
            <w:tcW w:type="dxa" w:w="1400"/>
            <w:tcMar>
              <w:top w:type="dxa" w:w="60"/>
              <w:left w:type="dxa" w:w="100"/>
              <w:bottom w:type="dxa" w:w="60"/>
              <w:right w:type="dxa" w:w="100"/>
            </w:tcMar>
          </w:tcPr>
          <w:p>
            <w:r>
              <w:rPr>
                <w:sz w:val="18"/>
                <w:szCs w:val="18"/>
              </w:rPr>
              <w:t xml:space="preserve">0.95</w:t>
            </w:r>
          </w:p>
        </w:tc>
        <w:tc>
          <w:tcPr>
            <w:tcW w:type="dxa" w:w="2000"/>
            <w:tcMar>
              <w:top w:type="dxa" w:w="60"/>
              <w:left w:type="dxa" w:w="100"/>
              <w:bottom w:type="dxa" w:w="60"/>
              <w:right w:type="dxa" w:w="100"/>
            </w:tcMar>
          </w:tcPr>
          <w:p>
            <w:r>
              <w:rPr>
                <w:sz w:val="18"/>
                <w:szCs w:val="18"/>
              </w:rPr>
              <w:t xml:space="preserve">32</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-324.31</w:t>
            </w:r>
          </w:p>
        </w:tc>
      </w:tr>
      <w:tr>
        <w:tc>
          <w:tcPr>
            <w:tcW w:type="dxa" w:w="1800"/>
            <w:tcMar>
              <w:top w:type="dxa" w:w="60"/>
              <w:left w:type="dxa" w:w="100"/>
              <w:bottom w:type="dxa" w:w="60"/>
              <w:right w:type="dxa" w:w="100"/>
            </w:tcMar>
          </w:tcPr>
          <w:p>
            <w:r>
              <w:rPr>
                <w:sz w:val="18"/>
                <w:szCs w:val="18"/>
              </w:rPr>
              <w:t xml:space="preserve">0.001</w:t>
            </w:r>
          </w:p>
        </w:tc>
        <w:tc>
          <w:tcPr>
            <w:tcW w:type="dxa" w:w="1400"/>
            <w:tcMar>
              <w:top w:type="dxa" w:w="60"/>
              <w:left w:type="dxa" w:w="100"/>
              <w:bottom w:type="dxa" w:w="60"/>
              <w:right w:type="dxa" w:w="100"/>
            </w:tcMar>
          </w:tcPr>
          <w:p>
            <w:r>
              <w:rPr>
                <w:sz w:val="18"/>
                <w:szCs w:val="18"/>
              </w:rPr>
              <w:t xml:space="preserve">0.99</w:t>
            </w:r>
          </w:p>
        </w:tc>
        <w:tc>
          <w:tcPr>
            <w:tcW w:type="dxa" w:w="2000"/>
            <w:tcMar>
              <w:top w:type="dxa" w:w="60"/>
              <w:left w:type="dxa" w:w="100"/>
              <w:bottom w:type="dxa" w:w="60"/>
              <w:right w:type="dxa" w:w="100"/>
            </w:tcMar>
          </w:tcPr>
          <w:p>
            <w:r>
              <w:rPr>
                <w:sz w:val="18"/>
                <w:szCs w:val="18"/>
              </w:rPr>
              <w:t xml:space="preserve">64</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-7049.58</w:t>
            </w:r>
          </w:p>
        </w:tc>
      </w:tr>
      <w:tr>
        <w:tc>
          <w:tcPr>
            <w:tcW w:type="dxa" w:w="1800"/>
            <w:tcMar>
              <w:top w:type="dxa" w:w="60"/>
              <w:left w:type="dxa" w:w="100"/>
              <w:bottom w:type="dxa" w:w="60"/>
              <w:right w:type="dxa" w:w="100"/>
            </w:tcMar>
          </w:tcPr>
          <w:p>
            <w:r>
              <w:rPr>
                <w:sz w:val="18"/>
                <w:szCs w:val="18"/>
              </w:rPr>
              <w:t xml:space="preserve">0.0005</w:t>
            </w:r>
          </w:p>
        </w:tc>
        <w:tc>
          <w:tcPr>
            <w:tcW w:type="dxa" w:w="1400"/>
            <w:tcMar>
              <w:top w:type="dxa" w:w="60"/>
              <w:left w:type="dxa" w:w="100"/>
              <w:bottom w:type="dxa" w:w="60"/>
              <w:right w:type="dxa" w:w="100"/>
            </w:tcMar>
          </w:tcPr>
          <w:p>
            <w:r>
              <w:rPr>
                <w:sz w:val="18"/>
                <w:szCs w:val="18"/>
              </w:rPr>
              <w:t xml:space="preserve">0.99</w:t>
            </w:r>
          </w:p>
        </w:tc>
        <w:tc>
          <w:tcPr>
            <w:tcW w:type="dxa" w:w="2000"/>
            <w:tcMar>
              <w:top w:type="dxa" w:w="60"/>
              <w:left w:type="dxa" w:w="100"/>
              <w:bottom w:type="dxa" w:w="60"/>
              <w:right w:type="dxa" w:w="100"/>
            </w:tcMar>
          </w:tcPr>
          <w:p>
            <w:r>
              <w:rPr>
                <w:sz w:val="18"/>
                <w:szCs w:val="18"/>
              </w:rPr>
              <w:t xml:space="preserve">64</w:t>
            </w:r>
          </w:p>
        </w:tc>
        <w:tc>
          <w:tcPr>
            <w:tcW w:type="dxa" w:w="2200"/>
            <w:tcMar>
              <w:top w:type="dxa" w:w="60"/>
              <w:left w:type="dxa" w:w="100"/>
              <w:bottom w:type="dxa" w:w="60"/>
              <w:right w:type="dxa" w:w="100"/>
            </w:tcMar>
          </w:tcPr>
          <w:p>
            <w:r>
              <w:rPr>
                <w:sz w:val="18"/>
                <w:szCs w:val="18"/>
              </w:rPr>
              <w:t xml:space="preserve">0.01</w:t>
            </w:r>
          </w:p>
        </w:tc>
        <w:tc>
          <w:tcPr>
            <w:tcW w:type="dxa" w:w="1600"/>
            <w:tcMar>
              <w:top w:type="dxa" w:w="60"/>
              <w:left w:type="dxa" w:w="100"/>
              <w:bottom w:type="dxa" w:w="60"/>
              <w:right w:type="dxa" w:w="100"/>
            </w:tcMar>
          </w:tcPr>
          <w:p>
            <w:r>
              <w:rPr>
                <w:sz w:val="18"/>
                <w:szCs w:val="18"/>
              </w:rPr>
              <w:t xml:space="preserve">-5476.86</w:t>
            </w:r>
          </w:p>
        </w:tc>
      </w:tr>
      <w:tr>
        <w:tc>
          <w:tcPr>
            <w:tcW w:type="dxa" w:w="1800"/>
            <w:tcMar>
              <w:top w:type="dxa" w:w="60"/>
              <w:left w:type="dxa" w:w="100"/>
              <w:bottom w:type="dxa" w:w="60"/>
              <w:right w:type="dxa" w:w="100"/>
            </w:tcMar>
          </w:tcPr>
          <w:p>
            <w:r>
              <w:rPr>
                <w:sz w:val="18"/>
                <w:szCs w:val="18"/>
              </w:rPr>
              <w:t xml:space="preserve">0.0005</w:t>
            </w:r>
          </w:p>
        </w:tc>
        <w:tc>
          <w:tcPr>
            <w:tcW w:type="dxa" w:w="1400"/>
            <w:tcMar>
              <w:top w:type="dxa" w:w="60"/>
              <w:left w:type="dxa" w:w="100"/>
              <w:bottom w:type="dxa" w:w="60"/>
              <w:right w:type="dxa" w:w="100"/>
            </w:tcMar>
          </w:tcPr>
          <w:p>
            <w:r>
              <w:rPr>
                <w:sz w:val="18"/>
                <w:szCs w:val="18"/>
              </w:rPr>
              <w:t xml:space="preserve">0.995</w:t>
            </w:r>
          </w:p>
        </w:tc>
        <w:tc>
          <w:tcPr>
            <w:tcW w:type="dxa" w:w="2000"/>
            <w:tcMar>
              <w:top w:type="dxa" w:w="60"/>
              <w:left w:type="dxa" w:w="100"/>
              <w:bottom w:type="dxa" w:w="60"/>
              <w:right w:type="dxa" w:w="100"/>
            </w:tcMar>
          </w:tcPr>
          <w:p>
            <w:r>
              <w:rPr>
                <w:sz w:val="18"/>
                <w:szCs w:val="18"/>
              </w:rPr>
              <w:t xml:space="preserve">128</w:t>
            </w:r>
          </w:p>
        </w:tc>
        <w:tc>
          <w:tcPr>
            <w:tcW w:type="dxa" w:w="2200"/>
            <w:tcMar>
              <w:top w:type="dxa" w:w="60"/>
              <w:left w:type="dxa" w:w="100"/>
              <w:bottom w:type="dxa" w:w="60"/>
              <w:right w:type="dxa" w:w="100"/>
            </w:tcMar>
          </w:tcPr>
          <w:p>
            <w:r>
              <w:rPr>
                <w:sz w:val="18"/>
                <w:szCs w:val="18"/>
              </w:rPr>
              <w:t xml:space="preserve">0.01</w:t>
            </w:r>
          </w:p>
        </w:tc>
        <w:tc>
          <w:tcPr>
            <w:tcW w:type="dxa" w:w="1600"/>
            <w:tcMar>
              <w:top w:type="dxa" w:w="60"/>
              <w:left w:type="dxa" w:w="100"/>
              <w:bottom w:type="dxa" w:w="60"/>
              <w:right w:type="dxa" w:w="100"/>
            </w:tcMar>
          </w:tcPr>
          <w:p>
            <w:r>
              <w:rPr>
                <w:sz w:val="18"/>
                <w:szCs w:val="18"/>
              </w:rPr>
              <w:t xml:space="preserve">-336.15</w:t>
            </w:r>
          </w:p>
        </w:tc>
      </w:tr>
      <w:tr>
        <w:tc>
          <w:tcPr>
            <w:tcW w:type="dxa" w:w="1800"/>
            <w:tcMar>
              <w:top w:type="dxa" w:w="60"/>
              <w:left w:type="dxa" w:w="100"/>
              <w:bottom w:type="dxa" w:w="60"/>
              <w:right w:type="dxa" w:w="100"/>
            </w:tcMar>
          </w:tcPr>
          <w:p>
            <w:r>
              <w:rPr>
                <w:sz w:val="18"/>
                <w:szCs w:val="18"/>
              </w:rPr>
              <w:t xml:space="preserve">0.0001</w:t>
            </w:r>
          </w:p>
        </w:tc>
        <w:tc>
          <w:tcPr>
            <w:tcW w:type="dxa" w:w="1400"/>
            <w:tcMar>
              <w:top w:type="dxa" w:w="60"/>
              <w:left w:type="dxa" w:w="100"/>
              <w:bottom w:type="dxa" w:w="60"/>
              <w:right w:type="dxa" w:w="100"/>
            </w:tcMar>
          </w:tcPr>
          <w:p>
            <w:r>
              <w:rPr>
                <w:sz w:val="18"/>
                <w:szCs w:val="18"/>
              </w:rPr>
              <w:t xml:space="preserve">0.99</w:t>
            </w:r>
          </w:p>
        </w:tc>
        <w:tc>
          <w:tcPr>
            <w:tcW w:type="dxa" w:w="2000"/>
            <w:tcMar>
              <w:top w:type="dxa" w:w="60"/>
              <w:left w:type="dxa" w:w="100"/>
              <w:bottom w:type="dxa" w:w="60"/>
              <w:right w:type="dxa" w:w="100"/>
            </w:tcMar>
          </w:tcPr>
          <w:p>
            <w:r>
              <w:rPr>
                <w:sz w:val="18"/>
                <w:szCs w:val="18"/>
              </w:rPr>
              <w:t xml:space="preserve">64</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-315.34</w:t>
            </w:r>
          </w:p>
        </w:tc>
      </w:tr>
      <w:tr>
        <w:tc>
          <w:tcPr>
            <w:tcW w:type="dxa" w:w="1800"/>
            <w:tcMar>
              <w:top w:type="dxa" w:w="60"/>
              <w:left w:type="dxa" w:w="100"/>
              <w:bottom w:type="dxa" w:w="60"/>
              <w:right w:type="dxa" w:w="100"/>
            </w:tcMar>
          </w:tcPr>
          <w:p>
            <w:r>
              <w:rPr>
                <w:sz w:val="18"/>
                <w:szCs w:val="18"/>
              </w:rPr>
              <w:t xml:space="preserve">0.0003</w:t>
            </w:r>
          </w:p>
        </w:tc>
        <w:tc>
          <w:tcPr>
            <w:tcW w:type="dxa" w:w="1400"/>
            <w:tcMar>
              <w:top w:type="dxa" w:w="60"/>
              <w:left w:type="dxa" w:w="100"/>
              <w:bottom w:type="dxa" w:w="60"/>
              <w:right w:type="dxa" w:w="100"/>
            </w:tcMar>
          </w:tcPr>
          <w:p>
            <w:r>
              <w:rPr>
                <w:sz w:val="18"/>
                <w:szCs w:val="18"/>
              </w:rPr>
              <w:t xml:space="preserve">0.98</w:t>
            </w:r>
          </w:p>
        </w:tc>
        <w:tc>
          <w:tcPr>
            <w:tcW w:type="dxa" w:w="2000"/>
            <w:tcMar>
              <w:top w:type="dxa" w:w="60"/>
              <w:left w:type="dxa" w:w="100"/>
              <w:bottom w:type="dxa" w:w="60"/>
              <w:right w:type="dxa" w:w="100"/>
            </w:tcMar>
          </w:tcPr>
          <w:p>
            <w:r>
              <w:rPr>
                <w:sz w:val="18"/>
                <w:szCs w:val="18"/>
              </w:rPr>
              <w:t xml:space="preserve">64</w:t>
            </w:r>
          </w:p>
        </w:tc>
        <w:tc>
          <w:tcPr>
            <w:tcW w:type="dxa" w:w="2200"/>
            <w:tcMar>
              <w:top w:type="dxa" w:w="60"/>
              <w:left w:type="dxa" w:w="100"/>
              <w:bottom w:type="dxa" w:w="60"/>
              <w:right w:type="dxa" w:w="100"/>
            </w:tcMar>
          </w:tcPr>
          <w:p>
            <w:r>
              <w:rPr>
                <w:sz w:val="18"/>
                <w:szCs w:val="18"/>
              </w:rPr>
              <w:t xml:space="preserve">0.02</w:t>
            </w:r>
          </w:p>
        </w:tc>
        <w:tc>
          <w:tcPr>
            <w:tcW w:type="dxa" w:w="1600"/>
            <w:tcMar>
              <w:top w:type="dxa" w:w="60"/>
              <w:left w:type="dxa" w:w="100"/>
              <w:bottom w:type="dxa" w:w="60"/>
              <w:right w:type="dxa" w:w="100"/>
            </w:tcMar>
          </w:tcPr>
          <w:p>
            <w:r>
              <w:rPr>
                <w:sz w:val="18"/>
                <w:szCs w:val="18"/>
              </w:rPr>
              <w:t xml:space="preserve">-315.64</w:t>
            </w:r>
          </w:p>
        </w:tc>
      </w:tr>
      <w:tr>
        <w:tc>
          <w:tcPr>
            <w:tcW w:type="dxa" w:w="1800"/>
            <w:tcMar>
              <w:top w:type="dxa" w:w="60"/>
              <w:left w:type="dxa" w:w="100"/>
              <w:bottom w:type="dxa" w:w="60"/>
              <w:right w:type="dxa" w:w="100"/>
            </w:tcMar>
          </w:tcPr>
          <w:p>
            <w:r>
              <w:rPr>
                <w:sz w:val="18"/>
                <w:szCs w:val="18"/>
              </w:rPr>
              <w:t xml:space="preserve">0.0003</w:t>
            </w:r>
          </w:p>
        </w:tc>
        <w:tc>
          <w:tcPr>
            <w:tcW w:type="dxa" w:w="1400"/>
            <w:tcMar>
              <w:top w:type="dxa" w:w="60"/>
              <w:left w:type="dxa" w:w="100"/>
              <w:bottom w:type="dxa" w:w="60"/>
              <w:right w:type="dxa" w:w="100"/>
            </w:tcMar>
          </w:tcPr>
          <w:p>
            <w:r>
              <w:rPr>
                <w:sz w:val="18"/>
                <w:szCs w:val="18"/>
              </w:rPr>
              <w:t xml:space="preserve">0.99</w:t>
            </w:r>
          </w:p>
        </w:tc>
        <w:tc>
          <w:tcPr>
            <w:tcW w:type="dxa" w:w="2000"/>
            <w:tcMar>
              <w:top w:type="dxa" w:w="60"/>
              <w:left w:type="dxa" w:w="100"/>
              <w:bottom w:type="dxa" w:w="60"/>
              <w:right w:type="dxa" w:w="100"/>
            </w:tcMar>
          </w:tcPr>
          <w:p>
            <w:r>
              <w:rPr>
                <w:sz w:val="18"/>
                <w:szCs w:val="18"/>
              </w:rPr>
              <w:t xml:space="preserve">128</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-318.32</w:t>
            </w:r>
          </w:p>
        </w:tc>
      </w:tr>
      <w:tr>
        <w:tc>
          <w:tcPr>
            <w:tcW w:type="dxa" w:w="1800"/>
            <w:tcMar>
              <w:top w:type="dxa" w:w="60"/>
              <w:left w:type="dxa" w:w="100"/>
              <w:bottom w:type="dxa" w:w="60"/>
              <w:right w:type="dxa" w:w="100"/>
            </w:tcMar>
          </w:tcPr>
          <w:p>
            <w:r>
              <w:rPr>
                <w:sz w:val="18"/>
                <w:szCs w:val="18"/>
              </w:rPr>
              <w:t xml:space="preserve">0.001</w:t>
            </w:r>
          </w:p>
        </w:tc>
        <w:tc>
          <w:tcPr>
            <w:tcW w:type="dxa" w:w="1400"/>
            <w:tcMar>
              <w:top w:type="dxa" w:w="60"/>
              <w:left w:type="dxa" w:w="100"/>
              <w:bottom w:type="dxa" w:w="60"/>
              <w:right w:type="dxa" w:w="100"/>
            </w:tcMar>
          </w:tcPr>
          <w:p>
            <w:r>
              <w:rPr>
                <w:sz w:val="18"/>
                <w:szCs w:val="18"/>
              </w:rPr>
              <w:t xml:space="preserve">0.99</w:t>
            </w:r>
          </w:p>
        </w:tc>
        <w:tc>
          <w:tcPr>
            <w:tcW w:type="dxa" w:w="2000"/>
            <w:tcMar>
              <w:top w:type="dxa" w:w="60"/>
              <w:left w:type="dxa" w:w="100"/>
              <w:bottom w:type="dxa" w:w="60"/>
              <w:right w:type="dxa" w:w="100"/>
            </w:tcMar>
          </w:tcPr>
          <w:p>
            <w:r>
              <w:rPr>
                <w:sz w:val="18"/>
                <w:szCs w:val="18"/>
              </w:rPr>
              <w:t xml:space="preserve">128</w:t>
            </w:r>
          </w:p>
        </w:tc>
        <w:tc>
          <w:tcPr>
            <w:tcW w:type="dxa" w:w="2200"/>
            <w:tcMar>
              <w:top w:type="dxa" w:w="60"/>
              <w:left w:type="dxa" w:w="100"/>
              <w:bottom w:type="dxa" w:w="60"/>
              <w:right w:type="dxa" w:w="100"/>
            </w:tcMar>
          </w:tcPr>
          <w:p>
            <w:r>
              <w:rPr>
                <w:sz w:val="18"/>
                <w:szCs w:val="18"/>
              </w:rPr>
              <w:t xml:space="preserve">0.01</w:t>
            </w:r>
          </w:p>
        </w:tc>
        <w:tc>
          <w:tcPr>
            <w:tcW w:type="dxa" w:w="1600"/>
            <w:tcMar>
              <w:top w:type="dxa" w:w="60"/>
              <w:left w:type="dxa" w:w="100"/>
              <w:bottom w:type="dxa" w:w="60"/>
              <w:right w:type="dxa" w:w="100"/>
            </w:tcMar>
          </w:tcPr>
          <w:p>
            <w:r>
              <w:rPr>
                <w:sz w:val="18"/>
                <w:szCs w:val="18"/>
              </w:rPr>
              <w:t xml:space="preserve">-321.45</w:t>
            </w:r>
          </w:p>
        </w:tc>
      </w:tr>
      <w:tr>
        <w:tc>
          <w:tcPr>
            <w:tcW w:type="dxa" w:w="1800"/>
            <w:tcMar>
              <w:top w:type="dxa" w:w="60"/>
              <w:left w:type="dxa" w:w="100"/>
              <w:bottom w:type="dxa" w:w="60"/>
              <w:right w:type="dxa" w:w="100"/>
            </w:tcMar>
          </w:tcPr>
          <w:p>
            <w:r>
              <w:rPr>
                <w:sz w:val="18"/>
                <w:szCs w:val="18"/>
              </w:rPr>
              <w:t xml:space="preserve">0.00025</w:t>
            </w:r>
          </w:p>
        </w:tc>
        <w:tc>
          <w:tcPr>
            <w:tcW w:type="dxa" w:w="1400"/>
            <w:tcMar>
              <w:top w:type="dxa" w:w="60"/>
              <w:left w:type="dxa" w:w="100"/>
              <w:bottom w:type="dxa" w:w="60"/>
              <w:right w:type="dxa" w:w="100"/>
            </w:tcMar>
          </w:tcPr>
          <w:p>
            <w:r>
              <w:rPr>
                <w:sz w:val="18"/>
                <w:szCs w:val="18"/>
              </w:rPr>
              <w:t xml:space="preserve">0.995</w:t>
            </w:r>
          </w:p>
        </w:tc>
        <w:tc>
          <w:tcPr>
            <w:tcW w:type="dxa" w:w="2000"/>
            <w:tcMar>
              <w:top w:type="dxa" w:w="60"/>
              <w:left w:type="dxa" w:w="100"/>
              <w:bottom w:type="dxa" w:w="60"/>
              <w:right w:type="dxa" w:w="100"/>
            </w:tcMar>
          </w:tcPr>
          <w:p>
            <w:r>
              <w:rPr>
                <w:sz w:val="18"/>
                <w:szCs w:val="18"/>
              </w:rPr>
              <w:t xml:space="preserve">64</w:t>
            </w:r>
          </w:p>
        </w:tc>
        <w:tc>
          <w:tcPr>
            <w:tcW w:type="dxa" w:w="2200"/>
            <w:tcMar>
              <w:top w:type="dxa" w:w="60"/>
              <w:left w:type="dxa" w:w="100"/>
              <w:bottom w:type="dxa" w:w="60"/>
              <w:right w:type="dxa" w:w="100"/>
            </w:tcMar>
          </w:tcPr>
          <w:p>
            <w:r>
              <w:rPr>
                <w:sz w:val="18"/>
                <w:szCs w:val="18"/>
              </w:rPr>
              <w:t xml:space="preserve">0.02</w:t>
            </w:r>
          </w:p>
        </w:tc>
        <w:tc>
          <w:tcPr>
            <w:tcW w:type="dxa" w:w="1600"/>
            <w:tcMar>
              <w:top w:type="dxa" w:w="60"/>
              <w:left w:type="dxa" w:w="100"/>
              <w:bottom w:type="dxa" w:w="60"/>
              <w:right w:type="dxa" w:w="100"/>
            </w:tcMar>
          </w:tcPr>
          <w:p>
            <w:r>
              <w:rPr>
                <w:sz w:val="18"/>
                <w:szCs w:val="18"/>
              </w:rPr>
              <w:t xml:space="preserve">-741.55</w:t>
            </w:r>
          </w:p>
        </w:tc>
      </w:tr>
    </w:tbl>
    <w:p>
      <w:pPr>
        <w:spacing w:after="200"/>
      </w:pPr>
    </w:p>
    <w:p>
      <w:pPr>
        <w:pStyle w:val="Heading2"/>
        <w:spacing w:after="120" w:before="250"/>
      </w:pPr>
      <w:r>
        <w:t xml:space="preserve">c. PPO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100"/>
        <w:gridCol w:w="1900"/>
        <w:gridCol w:w="1300"/>
        <w:gridCol w:w="1200"/>
      </w:tblGrid>
      <w:tr>
        <w:trPr>
          <w:tblHeader/>
        </w:trPr>
        <w:tc>
          <w:tcPr>
            <w:tcW w:type="dxa" w:w="1400"/>
            <w:shd w:fill="2F5496" w:val="clear"/>
            <w:tcMar>
              <w:top w:type="dxa" w:w="60"/>
              <w:left w:type="dxa" w:w="100"/>
              <w:bottom w:type="dxa" w:w="60"/>
              <w:right w:type="dxa" w:w="100"/>
            </w:tcMar>
          </w:tcPr>
          <w:p>
            <w:r>
              <w:rPr>
                <w:b/>
                <w:bCs/>
                <w:color w:val="FFFFFF"/>
                <w:sz w:val="18"/>
                <w:szCs w:val="18"/>
              </w:rPr>
              <w:t xml:space="preserve">Learning Rate</w:t>
            </w:r>
          </w:p>
        </w:tc>
        <w:tc>
          <w:tcPr>
            <w:tcW w:type="dxa" w:w="1100"/>
            <w:shd w:fill="2F5496" w:val="clear"/>
            <w:tcMar>
              <w:top w:type="dxa" w:w="60"/>
              <w:left w:type="dxa" w:w="100"/>
              <w:bottom w:type="dxa" w:w="60"/>
              <w:right w:type="dxa" w:w="100"/>
            </w:tcMar>
          </w:tcPr>
          <w:p>
            <w:r>
              <w:rPr>
                <w:b/>
                <w:bCs/>
                <w:color w:val="FFFFFF"/>
                <w:sz w:val="18"/>
                <w:szCs w:val="18"/>
              </w:rPr>
              <w:t xml:space="preserve">Gamma</w:t>
            </w:r>
          </w:p>
        </w:tc>
        <w:tc>
          <w:tcPr>
            <w:tcW w:type="dxa" w:w="2100"/>
            <w:shd w:fill="2F5496" w:val="clear"/>
            <w:tcMar>
              <w:top w:type="dxa" w:w="60"/>
              <w:left w:type="dxa" w:w="100"/>
              <w:bottom w:type="dxa" w:w="60"/>
              <w:right w:type="dxa" w:w="100"/>
            </w:tcMar>
          </w:tcPr>
          <w:p>
            <w:r>
              <w:rPr>
                <w:b/>
                <w:bCs/>
                <w:color w:val="FFFFFF"/>
                <w:sz w:val="18"/>
                <w:szCs w:val="18"/>
              </w:rPr>
              <w:t xml:space="preserve">N Steps (rollout length)</w:t>
            </w:r>
          </w:p>
        </w:tc>
        <w:tc>
          <w:tcPr>
            <w:tcW w:type="dxa" w:w="1900"/>
            <w:shd w:fill="2F5496" w:val="clear"/>
            <w:tcMar>
              <w:top w:type="dxa" w:w="60"/>
              <w:left w:type="dxa" w:w="100"/>
              <w:bottom w:type="dxa" w:w="60"/>
              <w:right w:type="dxa" w:w="100"/>
            </w:tcMar>
          </w:tcPr>
          <w:p>
            <w:r>
              <w:rPr>
                <w:b/>
                <w:bCs/>
                <w:color w:val="FFFFFF"/>
                <w:sz w:val="18"/>
                <w:szCs w:val="18"/>
              </w:rPr>
              <w:t xml:space="preserve">Entropy Coefficient</w:t>
            </w:r>
          </w:p>
        </w:tc>
        <w:tc>
          <w:tcPr>
            <w:tcW w:type="dxa" w:w="1300"/>
            <w:shd w:fill="2F5496" w:val="clear"/>
            <w:tcMar>
              <w:top w:type="dxa" w:w="60"/>
              <w:left w:type="dxa" w:w="100"/>
              <w:bottom w:type="dxa" w:w="60"/>
              <w:right w:type="dxa" w:w="100"/>
            </w:tcMar>
          </w:tcPr>
          <w:p>
            <w:r>
              <w:rPr>
                <w:b/>
                <w:bCs/>
                <w:color w:val="FFFFFF"/>
                <w:sz w:val="18"/>
                <w:szCs w:val="18"/>
              </w:rPr>
              <w:t xml:space="preserve">Clip Range</w:t>
            </w:r>
          </w:p>
        </w:tc>
        <w:tc>
          <w:tcPr>
            <w:tcW w:type="dxa" w:w="1200"/>
            <w:shd w:fill="2F5496" w:val="clear"/>
            <w:tcMar>
              <w:top w:type="dxa" w:w="60"/>
              <w:left w:type="dxa" w:w="100"/>
              <w:bottom w:type="dxa" w:w="60"/>
              <w:right w:type="dxa" w:w="100"/>
            </w:tcMar>
          </w:tcPr>
          <w:p>
            <w:r>
              <w:rPr>
                <w:b/>
                <w:bCs/>
                <w:color w:val="FFFFFF"/>
                <w:sz w:val="18"/>
                <w:szCs w:val="18"/>
              </w:rPr>
              <w:t xml:space="preserve">Mean Reward</w:t>
            </w:r>
          </w:p>
        </w:tc>
      </w:tr>
      <w:tr>
        <w:tc>
          <w:tcPr>
            <w:tcW w:type="dxa" w:w="1400"/>
            <w:tcMar>
              <w:top w:type="dxa" w:w="60"/>
              <w:left w:type="dxa" w:w="100"/>
              <w:bottom w:type="dxa" w:w="60"/>
              <w:right w:type="dxa" w:w="100"/>
            </w:tcMar>
          </w:tcPr>
          <w:p>
            <w:r>
              <w:rPr>
                <w:sz w:val="18"/>
                <w:szCs w:val="18"/>
              </w:rPr>
              <w:t xml:space="preserve">0.01</w:t>
            </w:r>
          </w:p>
        </w:tc>
        <w:tc>
          <w:tcPr>
            <w:tcW w:type="dxa" w:w="1100"/>
            <w:tcMar>
              <w:top w:type="dxa" w:w="60"/>
              <w:left w:type="dxa" w:w="100"/>
              <w:bottom w:type="dxa" w:w="60"/>
              <w:right w:type="dxa" w:w="100"/>
            </w:tcMar>
          </w:tcPr>
          <w:p>
            <w:r>
              <w:rPr>
                <w:sz w:val="18"/>
                <w:szCs w:val="18"/>
              </w:rPr>
              <w:t xml:space="preserve">0.9</w:t>
            </w:r>
          </w:p>
        </w:tc>
        <w:tc>
          <w:tcPr>
            <w:tcW w:type="dxa" w:w="2100"/>
            <w:tcMar>
              <w:top w:type="dxa" w:w="60"/>
              <w:left w:type="dxa" w:w="100"/>
              <w:bottom w:type="dxa" w:w="60"/>
              <w:right w:type="dxa" w:w="100"/>
            </w:tcMar>
          </w:tcPr>
          <w:p>
            <w:r>
              <w:rPr>
                <w:sz w:val="18"/>
                <w:szCs w:val="18"/>
              </w:rPr>
              <w:t xml:space="preserve">64</w:t>
            </w:r>
          </w:p>
        </w:tc>
        <w:tc>
          <w:tcPr>
            <w:tcW w:type="dxa" w:w="1900"/>
            <w:tcMar>
              <w:top w:type="dxa" w:w="60"/>
              <w:left w:type="dxa" w:w="100"/>
              <w:bottom w:type="dxa" w:w="60"/>
              <w:right w:type="dxa" w:w="100"/>
            </w:tcMar>
          </w:tcPr>
          <w:p>
            <w:r>
              <w:rPr>
                <w:sz w:val="18"/>
                <w:szCs w:val="18"/>
              </w:rPr>
              <w:t xml:space="preserve">0</w:t>
            </w:r>
          </w:p>
        </w:tc>
        <w:tc>
          <w:tcPr>
            <w:tcW w:type="dxa" w:w="1300"/>
            <w:tcMar>
              <w:top w:type="dxa" w:w="60"/>
              <w:left w:type="dxa" w:w="100"/>
              <w:bottom w:type="dxa" w:w="60"/>
              <w:right w:type="dxa" w:w="100"/>
            </w:tcMar>
          </w:tcPr>
          <w:p>
            <w:r>
              <w:rPr>
                <w:sz w:val="18"/>
                <w:szCs w:val="18"/>
              </w:rPr>
              <w:t xml:space="preserve">0.1</w:t>
            </w:r>
          </w:p>
        </w:tc>
        <w:tc>
          <w:tcPr>
            <w:tcW w:type="dxa" w:w="1200"/>
            <w:tcMar>
              <w:top w:type="dxa" w:w="60"/>
              <w:left w:type="dxa" w:w="100"/>
              <w:bottom w:type="dxa" w:w="60"/>
              <w:right w:type="dxa" w:w="100"/>
            </w:tcMar>
          </w:tcPr>
          <w:p>
            <w:r>
              <w:rPr>
                <w:sz w:val="18"/>
                <w:szCs w:val="18"/>
              </w:rPr>
              <w:t xml:space="preserve">-318.35</w:t>
            </w:r>
          </w:p>
        </w:tc>
      </w:tr>
      <w:tr>
        <w:tc>
          <w:tcPr>
            <w:tcW w:type="dxa" w:w="1400"/>
            <w:tcMar>
              <w:top w:type="dxa" w:w="60"/>
              <w:left w:type="dxa" w:w="100"/>
              <w:bottom w:type="dxa" w:w="60"/>
              <w:right w:type="dxa" w:w="100"/>
            </w:tcMar>
          </w:tcPr>
          <w:p>
            <w:r>
              <w:rPr>
                <w:sz w:val="18"/>
                <w:szCs w:val="18"/>
              </w:rPr>
              <w:t xml:space="preserve">0.001</w:t>
            </w:r>
          </w:p>
        </w:tc>
        <w:tc>
          <w:tcPr>
            <w:tcW w:type="dxa" w:w="1100"/>
            <w:tcMar>
              <w:top w:type="dxa" w:w="60"/>
              <w:left w:type="dxa" w:w="100"/>
              <w:bottom w:type="dxa" w:w="60"/>
              <w:right w:type="dxa" w:w="100"/>
            </w:tcMar>
          </w:tcPr>
          <w:p>
            <w:r>
              <w:rPr>
                <w:sz w:val="18"/>
                <w:szCs w:val="18"/>
              </w:rPr>
              <w:t xml:space="preserve">0.95</w:t>
            </w:r>
          </w:p>
        </w:tc>
        <w:tc>
          <w:tcPr>
            <w:tcW w:type="dxa" w:w="2100"/>
            <w:tcMar>
              <w:top w:type="dxa" w:w="60"/>
              <w:left w:type="dxa" w:w="100"/>
              <w:bottom w:type="dxa" w:w="60"/>
              <w:right w:type="dxa" w:w="100"/>
            </w:tcMar>
          </w:tcPr>
          <w:p>
            <w:r>
              <w:rPr>
                <w:sz w:val="18"/>
                <w:szCs w:val="18"/>
              </w:rPr>
              <w:t xml:space="preserve">128</w:t>
            </w:r>
          </w:p>
        </w:tc>
        <w:tc>
          <w:tcPr>
            <w:tcW w:type="dxa" w:w="1900"/>
            <w:tcMar>
              <w:top w:type="dxa" w:w="60"/>
              <w:left w:type="dxa" w:w="100"/>
              <w:bottom w:type="dxa" w:w="60"/>
              <w:right w:type="dxa" w:w="100"/>
            </w:tcMar>
          </w:tcPr>
          <w:p>
            <w:r>
              <w:rPr>
                <w:sz w:val="18"/>
                <w:szCs w:val="18"/>
              </w:rPr>
              <w:t xml:space="preserve">0</w:t>
            </w:r>
          </w:p>
        </w:tc>
        <w:tc>
          <w:tcPr>
            <w:tcW w:type="dxa" w:w="1300"/>
            <w:tcMar>
              <w:top w:type="dxa" w:w="60"/>
              <w:left w:type="dxa" w:w="100"/>
              <w:bottom w:type="dxa" w:w="60"/>
              <w:right w:type="dxa" w:w="100"/>
            </w:tcMar>
          </w:tcPr>
          <w:p>
            <w:r>
              <w:rPr>
                <w:sz w:val="18"/>
                <w:szCs w:val="18"/>
              </w:rPr>
              <w:t xml:space="preserve">0.2</w:t>
            </w:r>
          </w:p>
        </w:tc>
        <w:tc>
          <w:tcPr>
            <w:tcW w:type="dxa" w:w="1200"/>
            <w:tcMar>
              <w:top w:type="dxa" w:w="60"/>
              <w:left w:type="dxa" w:w="100"/>
              <w:bottom w:type="dxa" w:w="60"/>
              <w:right w:type="dxa" w:w="100"/>
            </w:tcMar>
          </w:tcPr>
          <w:p>
            <w:r>
              <w:rPr>
                <w:sz w:val="18"/>
                <w:szCs w:val="18"/>
              </w:rPr>
              <w:t xml:space="preserve">-407.03</w:t>
            </w:r>
          </w:p>
        </w:tc>
      </w:tr>
      <w:tr>
        <w:tc>
          <w:tcPr>
            <w:tcW w:type="dxa" w:w="1400"/>
            <w:tcMar>
              <w:top w:type="dxa" w:w="60"/>
              <w:left w:type="dxa" w:w="100"/>
              <w:bottom w:type="dxa" w:w="60"/>
              <w:right w:type="dxa" w:w="100"/>
            </w:tcMar>
          </w:tcPr>
          <w:p>
            <w:r>
              <w:rPr>
                <w:sz w:val="18"/>
                <w:szCs w:val="18"/>
              </w:rPr>
              <w:t xml:space="preserve">0.0003</w:t>
            </w:r>
          </w:p>
        </w:tc>
        <w:tc>
          <w:tcPr>
            <w:tcW w:type="dxa" w:w="1100"/>
            <w:tcMar>
              <w:top w:type="dxa" w:w="60"/>
              <w:left w:type="dxa" w:w="100"/>
              <w:bottom w:type="dxa" w:w="60"/>
              <w:right w:type="dxa" w:w="100"/>
            </w:tcMar>
          </w:tcPr>
          <w:p>
            <w:r>
              <w:rPr>
                <w:sz w:val="18"/>
                <w:szCs w:val="18"/>
              </w:rPr>
              <w:t xml:space="preserve">0.99</w:t>
            </w:r>
          </w:p>
        </w:tc>
        <w:tc>
          <w:tcPr>
            <w:tcW w:type="dxa" w:w="2100"/>
            <w:tcMar>
              <w:top w:type="dxa" w:w="60"/>
              <w:left w:type="dxa" w:w="100"/>
              <w:bottom w:type="dxa" w:w="60"/>
              <w:right w:type="dxa" w:w="100"/>
            </w:tcMar>
          </w:tcPr>
          <w:p>
            <w:r>
              <w:rPr>
                <w:sz w:val="18"/>
                <w:szCs w:val="18"/>
              </w:rPr>
              <w:t xml:space="preserve">256</w:t>
            </w:r>
          </w:p>
        </w:tc>
        <w:tc>
          <w:tcPr>
            <w:tcW w:type="dxa" w:w="1900"/>
            <w:tcMar>
              <w:top w:type="dxa" w:w="60"/>
              <w:left w:type="dxa" w:w="100"/>
              <w:bottom w:type="dxa" w:w="60"/>
              <w:right w:type="dxa" w:w="100"/>
            </w:tcMar>
          </w:tcPr>
          <w:p>
            <w:r>
              <w:rPr>
                <w:sz w:val="18"/>
                <w:szCs w:val="18"/>
              </w:rPr>
              <w:t xml:space="preserve">0.01</w:t>
            </w:r>
          </w:p>
        </w:tc>
        <w:tc>
          <w:tcPr>
            <w:tcW w:type="dxa" w:w="1300"/>
            <w:tcMar>
              <w:top w:type="dxa" w:w="60"/>
              <w:left w:type="dxa" w:w="100"/>
              <w:bottom w:type="dxa" w:w="60"/>
              <w:right w:type="dxa" w:w="100"/>
            </w:tcMar>
          </w:tcPr>
          <w:p>
            <w:r>
              <w:rPr>
                <w:sz w:val="18"/>
                <w:szCs w:val="18"/>
              </w:rPr>
              <w:t xml:space="preserve">0.2</w:t>
            </w:r>
          </w:p>
        </w:tc>
        <w:tc>
          <w:tcPr>
            <w:tcW w:type="dxa" w:w="1200"/>
            <w:tcMar>
              <w:top w:type="dxa" w:w="60"/>
              <w:left w:type="dxa" w:w="100"/>
              <w:bottom w:type="dxa" w:w="60"/>
              <w:right w:type="dxa" w:w="100"/>
            </w:tcMar>
          </w:tcPr>
          <w:p>
            <w:r>
              <w:rPr>
                <w:sz w:val="18"/>
                <w:szCs w:val="18"/>
              </w:rPr>
              <w:t xml:space="preserve">-346.7</w:t>
            </w:r>
          </w:p>
        </w:tc>
      </w:tr>
      <w:tr>
        <w:tc>
          <w:tcPr>
            <w:tcW w:type="dxa" w:w="1400"/>
            <w:tcMar>
              <w:top w:type="dxa" w:w="60"/>
              <w:left w:type="dxa" w:w="100"/>
              <w:bottom w:type="dxa" w:w="60"/>
              <w:right w:type="dxa" w:w="100"/>
            </w:tcMar>
          </w:tcPr>
          <w:p>
            <w:r>
              <w:rPr>
                <w:sz w:val="18"/>
                <w:szCs w:val="18"/>
              </w:rPr>
              <w:t xml:space="preserve">0.0003</w:t>
            </w:r>
          </w:p>
        </w:tc>
        <w:tc>
          <w:tcPr>
            <w:tcW w:type="dxa" w:w="1100"/>
            <w:tcMar>
              <w:top w:type="dxa" w:w="60"/>
              <w:left w:type="dxa" w:w="100"/>
              <w:bottom w:type="dxa" w:w="60"/>
              <w:right w:type="dxa" w:w="100"/>
            </w:tcMar>
          </w:tcPr>
          <w:p>
            <w:r>
              <w:rPr>
                <w:sz w:val="18"/>
                <w:szCs w:val="18"/>
              </w:rPr>
              <w:t xml:space="preserve">0.99</w:t>
            </w:r>
          </w:p>
        </w:tc>
        <w:tc>
          <w:tcPr>
            <w:tcW w:type="dxa" w:w="2100"/>
            <w:tcMar>
              <w:top w:type="dxa" w:w="60"/>
              <w:left w:type="dxa" w:w="100"/>
              <w:bottom w:type="dxa" w:w="60"/>
              <w:right w:type="dxa" w:w="100"/>
            </w:tcMar>
          </w:tcPr>
          <w:p>
            <w:r>
              <w:rPr>
                <w:sz w:val="18"/>
                <w:szCs w:val="18"/>
              </w:rPr>
              <w:t xml:space="preserve">512</w:t>
            </w:r>
          </w:p>
        </w:tc>
        <w:tc>
          <w:tcPr>
            <w:tcW w:type="dxa" w:w="1900"/>
            <w:tcMar>
              <w:top w:type="dxa" w:w="60"/>
              <w:left w:type="dxa" w:w="100"/>
              <w:bottom w:type="dxa" w:w="60"/>
              <w:right w:type="dxa" w:w="100"/>
            </w:tcMar>
          </w:tcPr>
          <w:p>
            <w:r>
              <w:rPr>
                <w:sz w:val="18"/>
                <w:szCs w:val="18"/>
              </w:rPr>
              <w:t xml:space="preserve">0.01</w:t>
            </w:r>
          </w:p>
        </w:tc>
        <w:tc>
          <w:tcPr>
            <w:tcW w:type="dxa" w:w="1300"/>
            <w:tcMar>
              <w:top w:type="dxa" w:w="60"/>
              <w:left w:type="dxa" w:w="100"/>
              <w:bottom w:type="dxa" w:w="60"/>
              <w:right w:type="dxa" w:w="100"/>
            </w:tcMar>
          </w:tcPr>
          <w:p>
            <w:r>
              <w:rPr>
                <w:sz w:val="18"/>
                <w:szCs w:val="18"/>
              </w:rPr>
              <w:t xml:space="preserve">0.2</w:t>
            </w:r>
          </w:p>
        </w:tc>
        <w:tc>
          <w:tcPr>
            <w:tcW w:type="dxa" w:w="1200"/>
            <w:tcMar>
              <w:top w:type="dxa" w:w="60"/>
              <w:left w:type="dxa" w:w="100"/>
              <w:bottom w:type="dxa" w:w="60"/>
              <w:right w:type="dxa" w:w="100"/>
            </w:tcMar>
          </w:tcPr>
          <w:p>
            <w:r>
              <w:rPr>
                <w:sz w:val="18"/>
                <w:szCs w:val="18"/>
              </w:rPr>
              <w:t xml:space="preserve">-602.21</w:t>
            </w:r>
          </w:p>
        </w:tc>
      </w:tr>
      <w:tr>
        <w:tc>
          <w:tcPr>
            <w:tcW w:type="dxa" w:w="1400"/>
            <w:tcMar>
              <w:top w:type="dxa" w:w="60"/>
              <w:left w:type="dxa" w:w="100"/>
              <w:bottom w:type="dxa" w:w="60"/>
              <w:right w:type="dxa" w:w="100"/>
            </w:tcMar>
          </w:tcPr>
          <w:p>
            <w:r>
              <w:rPr>
                <w:sz w:val="18"/>
                <w:szCs w:val="18"/>
              </w:rPr>
              <w:t xml:space="preserve">0.0001</w:t>
            </w:r>
          </w:p>
        </w:tc>
        <w:tc>
          <w:tcPr>
            <w:tcW w:type="dxa" w:w="1100"/>
            <w:tcMar>
              <w:top w:type="dxa" w:w="60"/>
              <w:left w:type="dxa" w:w="100"/>
              <w:bottom w:type="dxa" w:w="60"/>
              <w:right w:type="dxa" w:w="100"/>
            </w:tcMar>
          </w:tcPr>
          <w:p>
            <w:r>
              <w:rPr>
                <w:sz w:val="18"/>
                <w:szCs w:val="18"/>
              </w:rPr>
              <w:t xml:space="preserve">0.995</w:t>
            </w:r>
          </w:p>
        </w:tc>
        <w:tc>
          <w:tcPr>
            <w:tcW w:type="dxa" w:w="2100"/>
            <w:tcMar>
              <w:top w:type="dxa" w:w="60"/>
              <w:left w:type="dxa" w:w="100"/>
              <w:bottom w:type="dxa" w:w="60"/>
              <w:right w:type="dxa" w:w="100"/>
            </w:tcMar>
          </w:tcPr>
          <w:p>
            <w:r>
              <w:rPr>
                <w:sz w:val="18"/>
                <w:szCs w:val="18"/>
              </w:rPr>
              <w:t xml:space="preserve">256</w:t>
            </w:r>
          </w:p>
        </w:tc>
        <w:tc>
          <w:tcPr>
            <w:tcW w:type="dxa" w:w="1900"/>
            <w:tcMar>
              <w:top w:type="dxa" w:w="60"/>
              <w:left w:type="dxa" w:w="100"/>
              <w:bottom w:type="dxa" w:w="60"/>
              <w:right w:type="dxa" w:w="100"/>
            </w:tcMar>
          </w:tcPr>
          <w:p>
            <w:r>
              <w:rPr>
                <w:sz w:val="18"/>
                <w:szCs w:val="18"/>
              </w:rPr>
              <w:t xml:space="preserve">0.005</w:t>
            </w:r>
          </w:p>
        </w:tc>
        <w:tc>
          <w:tcPr>
            <w:tcW w:type="dxa" w:w="1300"/>
            <w:tcMar>
              <w:top w:type="dxa" w:w="60"/>
              <w:left w:type="dxa" w:w="100"/>
              <w:bottom w:type="dxa" w:w="60"/>
              <w:right w:type="dxa" w:w="100"/>
            </w:tcMar>
          </w:tcPr>
          <w:p>
            <w:r>
              <w:rPr>
                <w:sz w:val="18"/>
                <w:szCs w:val="18"/>
              </w:rPr>
              <w:t xml:space="preserve">0.3</w:t>
            </w:r>
          </w:p>
        </w:tc>
        <w:tc>
          <w:tcPr>
            <w:tcW w:type="dxa" w:w="1200"/>
            <w:tcMar>
              <w:top w:type="dxa" w:w="60"/>
              <w:left w:type="dxa" w:w="100"/>
              <w:bottom w:type="dxa" w:w="60"/>
              <w:right w:type="dxa" w:w="100"/>
            </w:tcMar>
          </w:tcPr>
          <w:p>
            <w:r>
              <w:rPr>
                <w:sz w:val="18"/>
                <w:szCs w:val="18"/>
              </w:rPr>
              <w:t xml:space="preserve">-330.72</w:t>
            </w:r>
          </w:p>
        </w:tc>
      </w:tr>
      <w:tr>
        <w:tc>
          <w:tcPr>
            <w:tcW w:type="dxa" w:w="1400"/>
            <w:tcMar>
              <w:top w:type="dxa" w:w="60"/>
              <w:left w:type="dxa" w:w="100"/>
              <w:bottom w:type="dxa" w:w="60"/>
              <w:right w:type="dxa" w:w="100"/>
            </w:tcMar>
          </w:tcPr>
          <w:p>
            <w:r>
              <w:rPr>
                <w:sz w:val="18"/>
                <w:szCs w:val="18"/>
              </w:rPr>
              <w:t xml:space="preserve">0.0005</w:t>
            </w:r>
          </w:p>
        </w:tc>
        <w:tc>
          <w:tcPr>
            <w:tcW w:type="dxa" w:w="1100"/>
            <w:tcMar>
              <w:top w:type="dxa" w:w="60"/>
              <w:left w:type="dxa" w:w="100"/>
              <w:bottom w:type="dxa" w:w="60"/>
              <w:right w:type="dxa" w:w="100"/>
            </w:tcMar>
          </w:tcPr>
          <w:p>
            <w:r>
              <w:rPr>
                <w:sz w:val="18"/>
                <w:szCs w:val="18"/>
              </w:rPr>
              <w:t xml:space="preserve">0.99</w:t>
            </w:r>
          </w:p>
        </w:tc>
        <w:tc>
          <w:tcPr>
            <w:tcW w:type="dxa" w:w="2100"/>
            <w:tcMar>
              <w:top w:type="dxa" w:w="60"/>
              <w:left w:type="dxa" w:w="100"/>
              <w:bottom w:type="dxa" w:w="60"/>
              <w:right w:type="dxa" w:w="100"/>
            </w:tcMar>
          </w:tcPr>
          <w:p>
            <w:r>
              <w:rPr>
                <w:sz w:val="18"/>
                <w:szCs w:val="18"/>
              </w:rPr>
              <w:t xml:space="preserve">128</w:t>
            </w:r>
          </w:p>
        </w:tc>
        <w:tc>
          <w:tcPr>
            <w:tcW w:type="dxa" w:w="1900"/>
            <w:tcMar>
              <w:top w:type="dxa" w:w="60"/>
              <w:left w:type="dxa" w:w="100"/>
              <w:bottom w:type="dxa" w:w="60"/>
              <w:right w:type="dxa" w:w="100"/>
            </w:tcMar>
          </w:tcPr>
          <w:p>
            <w:r>
              <w:rPr>
                <w:sz w:val="18"/>
                <w:szCs w:val="18"/>
              </w:rPr>
              <w:t xml:space="preserve">0.02</w:t>
            </w:r>
          </w:p>
        </w:tc>
        <w:tc>
          <w:tcPr>
            <w:tcW w:type="dxa" w:w="1300"/>
            <w:tcMar>
              <w:top w:type="dxa" w:w="60"/>
              <w:left w:type="dxa" w:w="100"/>
              <w:bottom w:type="dxa" w:w="60"/>
              <w:right w:type="dxa" w:w="100"/>
            </w:tcMar>
          </w:tcPr>
          <w:p>
            <w:r>
              <w:rPr>
                <w:sz w:val="18"/>
                <w:szCs w:val="18"/>
              </w:rPr>
              <w:t xml:space="preserve">0.2</w:t>
            </w:r>
          </w:p>
        </w:tc>
        <w:tc>
          <w:tcPr>
            <w:tcW w:type="dxa" w:w="1200"/>
            <w:tcMar>
              <w:top w:type="dxa" w:w="60"/>
              <w:left w:type="dxa" w:w="100"/>
              <w:bottom w:type="dxa" w:w="60"/>
              <w:right w:type="dxa" w:w="100"/>
            </w:tcMar>
          </w:tcPr>
          <w:p>
            <w:r>
              <w:rPr>
                <w:sz w:val="18"/>
                <w:szCs w:val="18"/>
              </w:rPr>
              <w:t xml:space="preserve">-286.66</w:t>
            </w:r>
          </w:p>
        </w:tc>
      </w:tr>
      <w:tr>
        <w:tc>
          <w:tcPr>
            <w:tcW w:type="dxa" w:w="1400"/>
            <w:tcMar>
              <w:top w:type="dxa" w:w="60"/>
              <w:left w:type="dxa" w:w="100"/>
              <w:bottom w:type="dxa" w:w="60"/>
              <w:right w:type="dxa" w:w="100"/>
            </w:tcMar>
          </w:tcPr>
          <w:p>
            <w:r>
              <w:rPr>
                <w:sz w:val="18"/>
                <w:szCs w:val="18"/>
              </w:rPr>
              <w:t xml:space="preserve">0.0003</w:t>
            </w:r>
          </w:p>
        </w:tc>
        <w:tc>
          <w:tcPr>
            <w:tcW w:type="dxa" w:w="1100"/>
            <w:tcMar>
              <w:top w:type="dxa" w:w="60"/>
              <w:left w:type="dxa" w:w="100"/>
              <w:bottom w:type="dxa" w:w="60"/>
              <w:right w:type="dxa" w:w="100"/>
            </w:tcMar>
          </w:tcPr>
          <w:p>
            <w:r>
              <w:rPr>
                <w:sz w:val="18"/>
                <w:szCs w:val="18"/>
              </w:rPr>
              <w:t xml:space="preserve">0.98</w:t>
            </w:r>
          </w:p>
        </w:tc>
        <w:tc>
          <w:tcPr>
            <w:tcW w:type="dxa" w:w="2100"/>
            <w:tcMar>
              <w:top w:type="dxa" w:w="60"/>
              <w:left w:type="dxa" w:w="100"/>
              <w:bottom w:type="dxa" w:w="60"/>
              <w:right w:type="dxa" w:w="100"/>
            </w:tcMar>
          </w:tcPr>
          <w:p>
            <w:r>
              <w:rPr>
                <w:sz w:val="18"/>
                <w:szCs w:val="18"/>
              </w:rPr>
              <w:t xml:space="preserve">256</w:t>
            </w:r>
          </w:p>
        </w:tc>
        <w:tc>
          <w:tcPr>
            <w:tcW w:type="dxa" w:w="1900"/>
            <w:tcMar>
              <w:top w:type="dxa" w:w="60"/>
              <w:left w:type="dxa" w:w="100"/>
              <w:bottom w:type="dxa" w:w="60"/>
              <w:right w:type="dxa" w:w="100"/>
            </w:tcMar>
          </w:tcPr>
          <w:p>
            <w:r>
              <w:rPr>
                <w:sz w:val="18"/>
                <w:szCs w:val="18"/>
              </w:rPr>
              <w:t xml:space="preserve">0</w:t>
            </w:r>
          </w:p>
        </w:tc>
        <w:tc>
          <w:tcPr>
            <w:tcW w:type="dxa" w:w="1300"/>
            <w:tcMar>
              <w:top w:type="dxa" w:w="60"/>
              <w:left w:type="dxa" w:w="100"/>
              <w:bottom w:type="dxa" w:w="60"/>
              <w:right w:type="dxa" w:w="100"/>
            </w:tcMar>
          </w:tcPr>
          <w:p>
            <w:r>
              <w:rPr>
                <w:sz w:val="18"/>
                <w:szCs w:val="18"/>
              </w:rPr>
              <w:t xml:space="preserve">0.1</w:t>
            </w:r>
          </w:p>
        </w:tc>
        <w:tc>
          <w:tcPr>
            <w:tcW w:type="dxa" w:w="1200"/>
            <w:tcMar>
              <w:top w:type="dxa" w:w="60"/>
              <w:left w:type="dxa" w:w="100"/>
              <w:bottom w:type="dxa" w:w="60"/>
              <w:right w:type="dxa" w:w="100"/>
            </w:tcMar>
          </w:tcPr>
          <w:p>
            <w:r>
              <w:rPr>
                <w:sz w:val="18"/>
                <w:szCs w:val="18"/>
              </w:rPr>
              <w:t xml:space="preserve">-271.44</w:t>
            </w:r>
          </w:p>
        </w:tc>
      </w:tr>
      <w:tr>
        <w:tc>
          <w:tcPr>
            <w:tcW w:type="dxa" w:w="1400"/>
            <w:tcMar>
              <w:top w:type="dxa" w:w="60"/>
              <w:left w:type="dxa" w:w="100"/>
              <w:bottom w:type="dxa" w:w="60"/>
              <w:right w:type="dxa" w:w="100"/>
            </w:tcMar>
          </w:tcPr>
          <w:p>
            <w:r>
              <w:rPr>
                <w:sz w:val="18"/>
                <w:szCs w:val="18"/>
              </w:rPr>
              <w:t xml:space="preserve">0.001</w:t>
            </w:r>
          </w:p>
        </w:tc>
        <w:tc>
          <w:tcPr>
            <w:tcW w:type="dxa" w:w="1100"/>
            <w:tcMar>
              <w:top w:type="dxa" w:w="60"/>
              <w:left w:type="dxa" w:w="100"/>
              <w:bottom w:type="dxa" w:w="60"/>
              <w:right w:type="dxa" w:w="100"/>
            </w:tcMar>
          </w:tcPr>
          <w:p>
            <w:r>
              <w:rPr>
                <w:sz w:val="18"/>
                <w:szCs w:val="18"/>
              </w:rPr>
              <w:t xml:space="preserve">0.99</w:t>
            </w:r>
          </w:p>
        </w:tc>
        <w:tc>
          <w:tcPr>
            <w:tcW w:type="dxa" w:w="2100"/>
            <w:tcMar>
              <w:top w:type="dxa" w:w="60"/>
              <w:left w:type="dxa" w:w="100"/>
              <w:bottom w:type="dxa" w:w="60"/>
              <w:right w:type="dxa" w:w="100"/>
            </w:tcMar>
          </w:tcPr>
          <w:p>
            <w:r>
              <w:rPr>
                <w:sz w:val="18"/>
                <w:szCs w:val="18"/>
              </w:rPr>
              <w:t xml:space="preserve">256</w:t>
            </w:r>
          </w:p>
        </w:tc>
        <w:tc>
          <w:tcPr>
            <w:tcW w:type="dxa" w:w="1900"/>
            <w:tcMar>
              <w:top w:type="dxa" w:w="60"/>
              <w:left w:type="dxa" w:w="100"/>
              <w:bottom w:type="dxa" w:w="60"/>
              <w:right w:type="dxa" w:w="100"/>
            </w:tcMar>
          </w:tcPr>
          <w:p>
            <w:r>
              <w:rPr>
                <w:sz w:val="18"/>
                <w:szCs w:val="18"/>
              </w:rPr>
              <w:t xml:space="preserve">0.01</w:t>
            </w:r>
          </w:p>
        </w:tc>
        <w:tc>
          <w:tcPr>
            <w:tcW w:type="dxa" w:w="1300"/>
            <w:tcMar>
              <w:top w:type="dxa" w:w="60"/>
              <w:left w:type="dxa" w:w="100"/>
              <w:bottom w:type="dxa" w:w="60"/>
              <w:right w:type="dxa" w:w="100"/>
            </w:tcMar>
          </w:tcPr>
          <w:p>
            <w:r>
              <w:rPr>
                <w:sz w:val="18"/>
                <w:szCs w:val="18"/>
              </w:rPr>
              <w:t xml:space="preserve">0.3</w:t>
            </w:r>
          </w:p>
        </w:tc>
        <w:tc>
          <w:tcPr>
            <w:tcW w:type="dxa" w:w="1200"/>
            <w:tcMar>
              <w:top w:type="dxa" w:w="60"/>
              <w:left w:type="dxa" w:w="100"/>
              <w:bottom w:type="dxa" w:w="60"/>
              <w:right w:type="dxa" w:w="100"/>
            </w:tcMar>
          </w:tcPr>
          <w:p>
            <w:r>
              <w:rPr>
                <w:sz w:val="18"/>
                <w:szCs w:val="18"/>
              </w:rPr>
              <w:t xml:space="preserve">-949.09</w:t>
            </w:r>
          </w:p>
        </w:tc>
      </w:tr>
      <w:tr>
        <w:tc>
          <w:tcPr>
            <w:tcW w:type="dxa" w:w="1400"/>
            <w:tcMar>
              <w:top w:type="dxa" w:w="60"/>
              <w:left w:type="dxa" w:w="100"/>
              <w:bottom w:type="dxa" w:w="60"/>
              <w:right w:type="dxa" w:w="100"/>
            </w:tcMar>
          </w:tcPr>
          <w:p>
            <w:r>
              <w:rPr>
                <w:sz w:val="18"/>
                <w:szCs w:val="18"/>
              </w:rPr>
              <w:t xml:space="preserve">0.00025</w:t>
            </w:r>
          </w:p>
        </w:tc>
        <w:tc>
          <w:tcPr>
            <w:tcW w:type="dxa" w:w="1100"/>
            <w:tcMar>
              <w:top w:type="dxa" w:w="60"/>
              <w:left w:type="dxa" w:w="100"/>
              <w:bottom w:type="dxa" w:w="60"/>
              <w:right w:type="dxa" w:w="100"/>
            </w:tcMar>
          </w:tcPr>
          <w:p>
            <w:r>
              <w:rPr>
                <w:sz w:val="18"/>
                <w:szCs w:val="18"/>
              </w:rPr>
              <w:t xml:space="preserve">0.99</w:t>
            </w:r>
          </w:p>
        </w:tc>
        <w:tc>
          <w:tcPr>
            <w:tcW w:type="dxa" w:w="2100"/>
            <w:tcMar>
              <w:top w:type="dxa" w:w="60"/>
              <w:left w:type="dxa" w:w="100"/>
              <w:bottom w:type="dxa" w:w="60"/>
              <w:right w:type="dxa" w:w="100"/>
            </w:tcMar>
          </w:tcPr>
          <w:p>
            <w:r>
              <w:rPr>
                <w:sz w:val="18"/>
                <w:szCs w:val="18"/>
              </w:rPr>
              <w:t xml:space="preserve">1024</w:t>
            </w:r>
          </w:p>
        </w:tc>
        <w:tc>
          <w:tcPr>
            <w:tcW w:type="dxa" w:w="1900"/>
            <w:tcMar>
              <w:top w:type="dxa" w:w="60"/>
              <w:left w:type="dxa" w:w="100"/>
              <w:bottom w:type="dxa" w:w="60"/>
              <w:right w:type="dxa" w:w="100"/>
            </w:tcMar>
          </w:tcPr>
          <w:p>
            <w:r>
              <w:rPr>
                <w:sz w:val="18"/>
                <w:szCs w:val="18"/>
              </w:rPr>
              <w:t xml:space="preserve">0.01</w:t>
            </w:r>
          </w:p>
        </w:tc>
        <w:tc>
          <w:tcPr>
            <w:tcW w:type="dxa" w:w="1300"/>
            <w:tcMar>
              <w:top w:type="dxa" w:w="60"/>
              <w:left w:type="dxa" w:w="100"/>
              <w:bottom w:type="dxa" w:w="60"/>
              <w:right w:type="dxa" w:w="100"/>
            </w:tcMar>
          </w:tcPr>
          <w:p>
            <w:r>
              <w:rPr>
                <w:sz w:val="18"/>
                <w:szCs w:val="18"/>
              </w:rPr>
              <w:t xml:space="preserve">0.2</w:t>
            </w:r>
          </w:p>
        </w:tc>
        <w:tc>
          <w:tcPr>
            <w:tcW w:type="dxa" w:w="1200"/>
            <w:tcMar>
              <w:top w:type="dxa" w:w="60"/>
              <w:left w:type="dxa" w:w="100"/>
              <w:bottom w:type="dxa" w:w="60"/>
              <w:right w:type="dxa" w:w="100"/>
            </w:tcMar>
          </w:tcPr>
          <w:p>
            <w:r>
              <w:rPr>
                <w:sz w:val="18"/>
                <w:szCs w:val="18"/>
              </w:rPr>
              <w:t xml:space="preserve">-283.81</w:t>
            </w:r>
          </w:p>
        </w:tc>
      </w:tr>
      <w:tr>
        <w:tc>
          <w:tcPr>
            <w:tcW w:type="dxa" w:w="1400"/>
            <w:tcMar>
              <w:top w:type="dxa" w:w="60"/>
              <w:left w:type="dxa" w:w="100"/>
              <w:bottom w:type="dxa" w:w="60"/>
              <w:right w:type="dxa" w:w="100"/>
            </w:tcMar>
          </w:tcPr>
          <w:p>
            <w:r>
              <w:rPr>
                <w:sz w:val="18"/>
                <w:szCs w:val="18"/>
              </w:rPr>
              <w:t xml:space="preserve">0.0003</w:t>
            </w:r>
          </w:p>
        </w:tc>
        <w:tc>
          <w:tcPr>
            <w:tcW w:type="dxa" w:w="1100"/>
            <w:tcMar>
              <w:top w:type="dxa" w:w="60"/>
              <w:left w:type="dxa" w:w="100"/>
              <w:bottom w:type="dxa" w:w="60"/>
              <w:right w:type="dxa" w:w="100"/>
            </w:tcMar>
          </w:tcPr>
          <w:p>
            <w:r>
              <w:rPr>
                <w:sz w:val="18"/>
                <w:szCs w:val="18"/>
              </w:rPr>
              <w:t xml:space="preserve">0.995</w:t>
            </w:r>
          </w:p>
        </w:tc>
        <w:tc>
          <w:tcPr>
            <w:tcW w:type="dxa" w:w="2100"/>
            <w:tcMar>
              <w:top w:type="dxa" w:w="60"/>
              <w:left w:type="dxa" w:w="100"/>
              <w:bottom w:type="dxa" w:w="60"/>
              <w:right w:type="dxa" w:w="100"/>
            </w:tcMar>
          </w:tcPr>
          <w:p>
            <w:r>
              <w:rPr>
                <w:sz w:val="18"/>
                <w:szCs w:val="18"/>
              </w:rPr>
              <w:t xml:space="preserve">256</w:t>
            </w:r>
          </w:p>
        </w:tc>
        <w:tc>
          <w:tcPr>
            <w:tcW w:type="dxa" w:w="1900"/>
            <w:tcMar>
              <w:top w:type="dxa" w:w="60"/>
              <w:left w:type="dxa" w:w="100"/>
              <w:bottom w:type="dxa" w:w="60"/>
              <w:right w:type="dxa" w:w="100"/>
            </w:tcMar>
          </w:tcPr>
          <w:p>
            <w:r>
              <w:rPr>
                <w:sz w:val="18"/>
                <w:szCs w:val="18"/>
              </w:rPr>
              <w:t xml:space="preserve">0.03</w:t>
            </w:r>
          </w:p>
        </w:tc>
        <w:tc>
          <w:tcPr>
            <w:tcW w:type="dxa" w:w="1300"/>
            <w:tcMar>
              <w:top w:type="dxa" w:w="60"/>
              <w:left w:type="dxa" w:w="100"/>
              <w:bottom w:type="dxa" w:w="60"/>
              <w:right w:type="dxa" w:w="100"/>
            </w:tcMar>
          </w:tcPr>
          <w:p>
            <w:r>
              <w:rPr>
                <w:sz w:val="18"/>
                <w:szCs w:val="18"/>
              </w:rPr>
              <w:t xml:space="preserve">0.2</w:t>
            </w:r>
          </w:p>
        </w:tc>
        <w:tc>
          <w:tcPr>
            <w:tcW w:type="dxa" w:w="1200"/>
            <w:tcMar>
              <w:top w:type="dxa" w:w="60"/>
              <w:left w:type="dxa" w:w="100"/>
              <w:bottom w:type="dxa" w:w="60"/>
              <w:right w:type="dxa" w:w="100"/>
            </w:tcMar>
          </w:tcPr>
          <w:p>
            <w:r>
              <w:rPr>
                <w:sz w:val="18"/>
                <w:szCs w:val="18"/>
              </w:rPr>
              <w:t xml:space="preserve">-654.18</w:t>
            </w:r>
          </w:p>
        </w:tc>
      </w:tr>
    </w:tbl>
    <w:p>
      <w:pPr>
        <w:spacing w:after="200"/>
      </w:pPr>
    </w:p>
    <w:p>
      <w:pPr>
        <w:pStyle w:val="Heading2"/>
        <w:spacing w:after="120" w:before="250"/>
      </w:pPr>
      <w:r>
        <w:t xml:space="preserve">d. A2C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2200"/>
        <w:gridCol w:w="1600"/>
      </w:tblGrid>
      <w:tr>
        <w:trPr>
          <w:tblHeader/>
        </w:trPr>
        <w:tc>
          <w:tcPr>
            <w:tcW w:type="dxa" w:w="1800"/>
            <w:shd w:fill="2F5496" w:val="clear"/>
            <w:tcMar>
              <w:top w:type="dxa" w:w="60"/>
              <w:left w:type="dxa" w:w="100"/>
              <w:bottom w:type="dxa" w:w="60"/>
              <w:right w:type="dxa" w:w="100"/>
            </w:tcMar>
          </w:tcPr>
          <w:p>
            <w:r>
              <w:rPr>
                <w:b/>
                <w:bCs/>
                <w:color w:val="FFFFFF"/>
                <w:sz w:val="18"/>
                <w:szCs w:val="18"/>
              </w:rPr>
              <w:t xml:space="preserve">Learning Rate</w:t>
            </w:r>
          </w:p>
        </w:tc>
        <w:tc>
          <w:tcPr>
            <w:tcW w:type="dxa" w:w="1400"/>
            <w:shd w:fill="2F5496" w:val="clear"/>
            <w:tcMar>
              <w:top w:type="dxa" w:w="60"/>
              <w:left w:type="dxa" w:w="100"/>
              <w:bottom w:type="dxa" w:w="60"/>
              <w:right w:type="dxa" w:w="100"/>
            </w:tcMar>
          </w:tcPr>
          <w:p>
            <w:r>
              <w:rPr>
                <w:b/>
                <w:bCs/>
                <w:color w:val="FFFFFF"/>
                <w:sz w:val="18"/>
                <w:szCs w:val="18"/>
              </w:rPr>
              <w:t xml:space="preserve">Gamma</w:t>
            </w:r>
          </w:p>
        </w:tc>
        <w:tc>
          <w:tcPr>
            <w:tcW w:type="dxa" w:w="2400"/>
            <w:shd w:fill="2F5496" w:val="clear"/>
            <w:tcMar>
              <w:top w:type="dxa" w:w="60"/>
              <w:left w:type="dxa" w:w="100"/>
              <w:bottom w:type="dxa" w:w="60"/>
              <w:right w:type="dxa" w:w="100"/>
            </w:tcMar>
          </w:tcPr>
          <w:p>
            <w:r>
              <w:rPr>
                <w:b/>
                <w:bCs/>
                <w:color w:val="FFFFFF"/>
                <w:sz w:val="18"/>
                <w:szCs w:val="18"/>
              </w:rPr>
              <w:t xml:space="preserve">N Steps (rollout length)</w:t>
            </w:r>
          </w:p>
        </w:tc>
        <w:tc>
          <w:tcPr>
            <w:tcW w:type="dxa" w:w="2200"/>
            <w:shd w:fill="2F5496" w:val="clear"/>
            <w:tcMar>
              <w:top w:type="dxa" w:w="60"/>
              <w:left w:type="dxa" w:w="100"/>
              <w:bottom w:type="dxa" w:w="60"/>
              <w:right w:type="dxa" w:w="100"/>
            </w:tcMar>
          </w:tcPr>
          <w:p>
            <w:r>
              <w:rPr>
                <w:b/>
                <w:bCs/>
                <w:color w:val="FFFFFF"/>
                <w:sz w:val="18"/>
                <w:szCs w:val="18"/>
              </w:rPr>
              <w:t xml:space="preserve">Entropy Coefficient</w:t>
            </w:r>
          </w:p>
        </w:tc>
        <w:tc>
          <w:tcPr>
            <w:tcW w:type="dxa" w:w="1600"/>
            <w:shd w:fill="2F5496" w:val="clear"/>
            <w:tcMar>
              <w:top w:type="dxa" w:w="60"/>
              <w:left w:type="dxa" w:w="100"/>
              <w:bottom w:type="dxa" w:w="60"/>
              <w:right w:type="dxa" w:w="100"/>
            </w:tcMar>
          </w:tcPr>
          <w:p>
            <w:r>
              <w:rPr>
                <w:b/>
                <w:bCs/>
                <w:color w:val="FFFFFF"/>
                <w:sz w:val="18"/>
                <w:szCs w:val="18"/>
              </w:rPr>
              <w:t xml:space="preserve">Mean Reward</w:t>
            </w:r>
          </w:p>
        </w:tc>
      </w:tr>
      <w:tr>
        <w:tc>
          <w:tcPr>
            <w:tcW w:type="dxa" w:w="1800"/>
            <w:tcMar>
              <w:top w:type="dxa" w:w="60"/>
              <w:left w:type="dxa" w:w="100"/>
              <w:bottom w:type="dxa" w:w="60"/>
              <w:right w:type="dxa" w:w="100"/>
            </w:tcMar>
          </w:tcPr>
          <w:p>
            <w:r>
              <w:rPr>
                <w:sz w:val="18"/>
                <w:szCs w:val="18"/>
              </w:rPr>
              <w:t xml:space="preserve">0.01</w:t>
            </w:r>
          </w:p>
        </w:tc>
        <w:tc>
          <w:tcPr>
            <w:tcW w:type="dxa" w:w="1400"/>
            <w:tcMar>
              <w:top w:type="dxa" w:w="60"/>
              <w:left w:type="dxa" w:w="100"/>
              <w:bottom w:type="dxa" w:w="60"/>
              <w:right w:type="dxa" w:w="100"/>
            </w:tcMar>
          </w:tcPr>
          <w:p>
            <w:r>
              <w:rPr>
                <w:sz w:val="18"/>
                <w:szCs w:val="18"/>
              </w:rPr>
              <w:t xml:space="preserve">0.9</w:t>
            </w:r>
          </w:p>
        </w:tc>
        <w:tc>
          <w:tcPr>
            <w:tcW w:type="dxa" w:w="2400"/>
            <w:tcMar>
              <w:top w:type="dxa" w:w="60"/>
              <w:left w:type="dxa" w:w="100"/>
              <w:bottom w:type="dxa" w:w="60"/>
              <w:right w:type="dxa" w:w="100"/>
            </w:tcMar>
          </w:tcPr>
          <w:p>
            <w:r>
              <w:rPr>
                <w:sz w:val="18"/>
                <w:szCs w:val="18"/>
              </w:rPr>
              <w:t xml:space="preserve">5</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-329.15</w:t>
            </w:r>
          </w:p>
        </w:tc>
      </w:tr>
      <w:tr>
        <w:tc>
          <w:tcPr>
            <w:tcW w:type="dxa" w:w="1800"/>
            <w:tcMar>
              <w:top w:type="dxa" w:w="60"/>
              <w:left w:type="dxa" w:w="100"/>
              <w:bottom w:type="dxa" w:w="60"/>
              <w:right w:type="dxa" w:w="100"/>
            </w:tcMar>
          </w:tcPr>
          <w:p>
            <w:r>
              <w:rPr>
                <w:sz w:val="18"/>
                <w:szCs w:val="18"/>
              </w:rPr>
              <w:t xml:space="preserve">0.007</w:t>
            </w:r>
          </w:p>
        </w:tc>
        <w:tc>
          <w:tcPr>
            <w:tcW w:type="dxa" w:w="1400"/>
            <w:tcMar>
              <w:top w:type="dxa" w:w="60"/>
              <w:left w:type="dxa" w:w="100"/>
              <w:bottom w:type="dxa" w:w="60"/>
              <w:right w:type="dxa" w:w="100"/>
            </w:tcMar>
          </w:tcPr>
          <w:p>
            <w:r>
              <w:rPr>
                <w:sz w:val="18"/>
                <w:szCs w:val="18"/>
              </w:rPr>
              <w:t xml:space="preserve">0.95</w:t>
            </w:r>
          </w:p>
        </w:tc>
        <w:tc>
          <w:tcPr>
            <w:tcW w:type="dxa" w:w="2400"/>
            <w:tcMar>
              <w:top w:type="dxa" w:w="60"/>
              <w:left w:type="dxa" w:w="100"/>
              <w:bottom w:type="dxa" w:w="60"/>
              <w:right w:type="dxa" w:w="100"/>
            </w:tcMar>
          </w:tcPr>
          <w:p>
            <w:r>
              <w:rPr>
                <w:sz w:val="18"/>
                <w:szCs w:val="18"/>
              </w:rPr>
              <w:t xml:space="preserve">5</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-324.31</w:t>
            </w:r>
          </w:p>
        </w:tc>
      </w:tr>
      <w:tr>
        <w:tc>
          <w:tcPr>
            <w:tcW w:type="dxa" w:w="1800"/>
            <w:tcMar>
              <w:top w:type="dxa" w:w="60"/>
              <w:left w:type="dxa" w:w="100"/>
              <w:bottom w:type="dxa" w:w="60"/>
              <w:right w:type="dxa" w:w="100"/>
            </w:tcMar>
          </w:tcPr>
          <w:p>
            <w:r>
              <w:rPr>
                <w:sz w:val="18"/>
                <w:szCs w:val="18"/>
              </w:rPr>
              <w:t xml:space="preserve">0.0007</w:t>
            </w:r>
          </w:p>
        </w:tc>
        <w:tc>
          <w:tcPr>
            <w:tcW w:type="dxa" w:w="1400"/>
            <w:tcMar>
              <w:top w:type="dxa" w:w="60"/>
              <w:left w:type="dxa" w:w="100"/>
              <w:bottom w:type="dxa" w:w="60"/>
              <w:right w:type="dxa" w:w="100"/>
            </w:tcMar>
          </w:tcPr>
          <w:p>
            <w:r>
              <w:rPr>
                <w:sz w:val="18"/>
                <w:szCs w:val="18"/>
              </w:rPr>
              <w:t xml:space="preserve">0.99</w:t>
            </w:r>
          </w:p>
        </w:tc>
        <w:tc>
          <w:tcPr>
            <w:tcW w:type="dxa" w:w="2400"/>
            <w:tcMar>
              <w:top w:type="dxa" w:w="60"/>
              <w:left w:type="dxa" w:w="100"/>
              <w:bottom w:type="dxa" w:w="60"/>
              <w:right w:type="dxa" w:w="100"/>
            </w:tcMar>
          </w:tcPr>
          <w:p>
            <w:r>
              <w:rPr>
                <w:sz w:val="18"/>
                <w:szCs w:val="18"/>
              </w:rPr>
              <w:t xml:space="preserve">5</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-9423.28</w:t>
            </w:r>
          </w:p>
        </w:tc>
      </w:tr>
      <w:tr>
        <w:tc>
          <w:tcPr>
            <w:tcW w:type="dxa" w:w="1800"/>
            <w:tcMar>
              <w:top w:type="dxa" w:w="60"/>
              <w:left w:type="dxa" w:w="100"/>
              <w:bottom w:type="dxa" w:w="60"/>
              <w:right w:type="dxa" w:w="100"/>
            </w:tcMar>
          </w:tcPr>
          <w:p>
            <w:r>
              <w:rPr>
                <w:sz w:val="18"/>
                <w:szCs w:val="18"/>
              </w:rPr>
              <w:t xml:space="preserve">0.0007</w:t>
            </w:r>
          </w:p>
        </w:tc>
        <w:tc>
          <w:tcPr>
            <w:tcW w:type="dxa" w:w="1400"/>
            <w:tcMar>
              <w:top w:type="dxa" w:w="60"/>
              <w:left w:type="dxa" w:w="100"/>
              <w:bottom w:type="dxa" w:w="60"/>
              <w:right w:type="dxa" w:w="100"/>
            </w:tcMar>
          </w:tcPr>
          <w:p>
            <w:r>
              <w:rPr>
                <w:sz w:val="18"/>
                <w:szCs w:val="18"/>
              </w:rPr>
              <w:t xml:space="preserve">0.99</w:t>
            </w:r>
          </w:p>
        </w:tc>
        <w:tc>
          <w:tcPr>
            <w:tcW w:type="dxa" w:w="2400"/>
            <w:tcMar>
              <w:top w:type="dxa" w:w="60"/>
              <w:left w:type="dxa" w:w="100"/>
              <w:bottom w:type="dxa" w:w="60"/>
              <w:right w:type="dxa" w:w="100"/>
            </w:tcMar>
          </w:tcPr>
          <w:p>
            <w:r>
              <w:rPr>
                <w:sz w:val="18"/>
                <w:szCs w:val="18"/>
              </w:rPr>
              <w:t xml:space="preserve">10</w:t>
            </w:r>
          </w:p>
        </w:tc>
        <w:tc>
          <w:tcPr>
            <w:tcW w:type="dxa" w:w="2200"/>
            <w:tcMar>
              <w:top w:type="dxa" w:w="60"/>
              <w:left w:type="dxa" w:w="100"/>
              <w:bottom w:type="dxa" w:w="60"/>
              <w:right w:type="dxa" w:w="100"/>
            </w:tcMar>
          </w:tcPr>
          <w:p>
            <w:r>
              <w:rPr>
                <w:sz w:val="18"/>
                <w:szCs w:val="18"/>
              </w:rPr>
              <w:t xml:space="preserve">0.01</w:t>
            </w:r>
          </w:p>
        </w:tc>
        <w:tc>
          <w:tcPr>
            <w:tcW w:type="dxa" w:w="1600"/>
            <w:tcMar>
              <w:top w:type="dxa" w:w="60"/>
              <w:left w:type="dxa" w:w="100"/>
              <w:bottom w:type="dxa" w:w="60"/>
              <w:right w:type="dxa" w:w="100"/>
            </w:tcMar>
          </w:tcPr>
          <w:p>
            <w:r>
              <w:rPr>
                <w:sz w:val="18"/>
                <w:szCs w:val="18"/>
              </w:rPr>
              <w:t xml:space="preserve">-313.92</w:t>
            </w:r>
          </w:p>
        </w:tc>
      </w:tr>
      <w:tr>
        <w:tc>
          <w:tcPr>
            <w:tcW w:type="dxa" w:w="1800"/>
            <w:tcMar>
              <w:top w:type="dxa" w:w="60"/>
              <w:left w:type="dxa" w:w="100"/>
              <w:bottom w:type="dxa" w:w="60"/>
              <w:right w:type="dxa" w:w="100"/>
            </w:tcMar>
          </w:tcPr>
          <w:p>
            <w:r>
              <w:rPr>
                <w:sz w:val="18"/>
                <w:szCs w:val="18"/>
              </w:rPr>
              <w:t xml:space="preserve">0.0003</w:t>
            </w:r>
          </w:p>
        </w:tc>
        <w:tc>
          <w:tcPr>
            <w:tcW w:type="dxa" w:w="1400"/>
            <w:tcMar>
              <w:top w:type="dxa" w:w="60"/>
              <w:left w:type="dxa" w:w="100"/>
              <w:bottom w:type="dxa" w:w="60"/>
              <w:right w:type="dxa" w:w="100"/>
            </w:tcMar>
          </w:tcPr>
          <w:p>
            <w:r>
              <w:rPr>
                <w:sz w:val="18"/>
                <w:szCs w:val="18"/>
              </w:rPr>
              <w:t xml:space="preserve">0.995</w:t>
            </w:r>
          </w:p>
        </w:tc>
        <w:tc>
          <w:tcPr>
            <w:tcW w:type="dxa" w:w="2400"/>
            <w:tcMar>
              <w:top w:type="dxa" w:w="60"/>
              <w:left w:type="dxa" w:w="100"/>
              <w:bottom w:type="dxa" w:w="60"/>
              <w:right w:type="dxa" w:w="100"/>
            </w:tcMar>
          </w:tcPr>
          <w:p>
            <w:r>
              <w:rPr>
                <w:sz w:val="18"/>
                <w:szCs w:val="18"/>
              </w:rPr>
              <w:t xml:space="preserve">20</w:t>
            </w:r>
          </w:p>
        </w:tc>
        <w:tc>
          <w:tcPr>
            <w:tcW w:type="dxa" w:w="2200"/>
            <w:tcMar>
              <w:top w:type="dxa" w:w="60"/>
              <w:left w:type="dxa" w:w="100"/>
              <w:bottom w:type="dxa" w:w="60"/>
              <w:right w:type="dxa" w:w="100"/>
            </w:tcMar>
          </w:tcPr>
          <w:p>
            <w:r>
              <w:rPr>
                <w:sz w:val="18"/>
                <w:szCs w:val="18"/>
              </w:rPr>
              <w:t xml:space="preserve">0.01</w:t>
            </w:r>
          </w:p>
        </w:tc>
        <w:tc>
          <w:tcPr>
            <w:tcW w:type="dxa" w:w="1600"/>
            <w:tcMar>
              <w:top w:type="dxa" w:w="60"/>
              <w:left w:type="dxa" w:w="100"/>
              <w:bottom w:type="dxa" w:w="60"/>
              <w:right w:type="dxa" w:w="100"/>
            </w:tcMar>
          </w:tcPr>
          <w:p>
            <w:r>
              <w:rPr>
                <w:sz w:val="18"/>
                <w:szCs w:val="18"/>
              </w:rPr>
              <w:t xml:space="preserve">-324.31</w:t>
            </w:r>
          </w:p>
        </w:tc>
      </w:tr>
      <w:tr>
        <w:tc>
          <w:tcPr>
            <w:tcW w:type="dxa" w:w="1800"/>
            <w:tcMar>
              <w:top w:type="dxa" w:w="60"/>
              <w:left w:type="dxa" w:w="100"/>
              <w:bottom w:type="dxa" w:w="60"/>
              <w:right w:type="dxa" w:w="100"/>
            </w:tcMar>
          </w:tcPr>
          <w:p>
            <w:r>
              <w:rPr>
                <w:sz w:val="18"/>
                <w:szCs w:val="18"/>
              </w:rPr>
              <w:t xml:space="preserve">0.0001</w:t>
            </w:r>
          </w:p>
        </w:tc>
        <w:tc>
          <w:tcPr>
            <w:tcW w:type="dxa" w:w="1400"/>
            <w:tcMar>
              <w:top w:type="dxa" w:w="60"/>
              <w:left w:type="dxa" w:w="100"/>
              <w:bottom w:type="dxa" w:w="60"/>
              <w:right w:type="dxa" w:w="100"/>
            </w:tcMar>
          </w:tcPr>
          <w:p>
            <w:r>
              <w:rPr>
                <w:sz w:val="18"/>
                <w:szCs w:val="18"/>
              </w:rPr>
              <w:t xml:space="preserve">0.99</w:t>
            </w:r>
          </w:p>
        </w:tc>
        <w:tc>
          <w:tcPr>
            <w:tcW w:type="dxa" w:w="2400"/>
            <w:tcMar>
              <w:top w:type="dxa" w:w="60"/>
              <w:left w:type="dxa" w:w="100"/>
              <w:bottom w:type="dxa" w:w="60"/>
              <w:right w:type="dxa" w:w="100"/>
            </w:tcMar>
          </w:tcPr>
          <w:p>
            <w:r>
              <w:rPr>
                <w:sz w:val="18"/>
                <w:szCs w:val="18"/>
              </w:rPr>
              <w:t xml:space="preserve">10</w:t>
            </w:r>
          </w:p>
        </w:tc>
        <w:tc>
          <w:tcPr>
            <w:tcW w:type="dxa" w:w="2200"/>
            <w:tcMar>
              <w:top w:type="dxa" w:w="60"/>
              <w:left w:type="dxa" w:w="100"/>
              <w:bottom w:type="dxa" w:w="60"/>
              <w:right w:type="dxa" w:w="100"/>
            </w:tcMar>
          </w:tcPr>
          <w:p>
            <w:r>
              <w:rPr>
                <w:sz w:val="18"/>
                <w:szCs w:val="18"/>
              </w:rPr>
              <w:t xml:space="preserve">0</w:t>
            </w:r>
          </w:p>
        </w:tc>
        <w:tc>
          <w:tcPr>
            <w:tcW w:type="dxa" w:w="1600"/>
            <w:tcMar>
              <w:top w:type="dxa" w:w="60"/>
              <w:left w:type="dxa" w:w="100"/>
              <w:bottom w:type="dxa" w:w="60"/>
              <w:right w:type="dxa" w:w="100"/>
            </w:tcMar>
          </w:tcPr>
          <w:p>
            <w:r>
              <w:rPr>
                <w:sz w:val="18"/>
                <w:szCs w:val="18"/>
              </w:rPr>
              <w:t xml:space="preserve">-9423.28</w:t>
            </w:r>
          </w:p>
        </w:tc>
      </w:tr>
      <w:tr>
        <w:tc>
          <w:tcPr>
            <w:tcW w:type="dxa" w:w="1800"/>
            <w:tcMar>
              <w:top w:type="dxa" w:w="60"/>
              <w:left w:type="dxa" w:w="100"/>
              <w:bottom w:type="dxa" w:w="60"/>
              <w:right w:type="dxa" w:w="100"/>
            </w:tcMar>
          </w:tcPr>
          <w:p>
            <w:r>
              <w:rPr>
                <w:sz w:val="18"/>
                <w:szCs w:val="18"/>
              </w:rPr>
              <w:t xml:space="preserve">0.0005</w:t>
            </w:r>
          </w:p>
        </w:tc>
        <w:tc>
          <w:tcPr>
            <w:tcW w:type="dxa" w:w="1400"/>
            <w:tcMar>
              <w:top w:type="dxa" w:w="60"/>
              <w:left w:type="dxa" w:w="100"/>
              <w:bottom w:type="dxa" w:w="60"/>
              <w:right w:type="dxa" w:w="100"/>
            </w:tcMar>
          </w:tcPr>
          <w:p>
            <w:r>
              <w:rPr>
                <w:sz w:val="18"/>
                <w:szCs w:val="18"/>
              </w:rPr>
              <w:t xml:space="preserve">0.98</w:t>
            </w:r>
          </w:p>
        </w:tc>
        <w:tc>
          <w:tcPr>
            <w:tcW w:type="dxa" w:w="2400"/>
            <w:tcMar>
              <w:top w:type="dxa" w:w="60"/>
              <w:left w:type="dxa" w:w="100"/>
              <w:bottom w:type="dxa" w:w="60"/>
              <w:right w:type="dxa" w:w="100"/>
            </w:tcMar>
          </w:tcPr>
          <w:p>
            <w:r>
              <w:rPr>
                <w:sz w:val="18"/>
                <w:szCs w:val="18"/>
              </w:rPr>
              <w:t xml:space="preserve">8</w:t>
            </w:r>
          </w:p>
        </w:tc>
        <w:tc>
          <w:tcPr>
            <w:tcW w:type="dxa" w:w="2200"/>
            <w:tcMar>
              <w:top w:type="dxa" w:w="60"/>
              <w:left w:type="dxa" w:w="100"/>
              <w:bottom w:type="dxa" w:w="60"/>
              <w:right w:type="dxa" w:w="100"/>
            </w:tcMar>
          </w:tcPr>
          <w:p>
            <w:r>
              <w:rPr>
                <w:sz w:val="18"/>
                <w:szCs w:val="18"/>
              </w:rPr>
              <w:t xml:space="preserve">0.02</w:t>
            </w:r>
          </w:p>
        </w:tc>
        <w:tc>
          <w:tcPr>
            <w:tcW w:type="dxa" w:w="1600"/>
            <w:tcMar>
              <w:top w:type="dxa" w:w="60"/>
              <w:left w:type="dxa" w:w="100"/>
              <w:bottom w:type="dxa" w:w="60"/>
              <w:right w:type="dxa" w:w="100"/>
            </w:tcMar>
          </w:tcPr>
          <w:p>
            <w:r>
              <w:rPr>
                <w:sz w:val="18"/>
                <w:szCs w:val="18"/>
              </w:rPr>
              <w:t xml:space="preserve">-9423.28</w:t>
            </w:r>
          </w:p>
        </w:tc>
      </w:tr>
      <w:tr>
        <w:tc>
          <w:tcPr>
            <w:tcW w:type="dxa" w:w="1800"/>
            <w:tcMar>
              <w:top w:type="dxa" w:w="60"/>
              <w:left w:type="dxa" w:w="100"/>
              <w:bottom w:type="dxa" w:w="60"/>
              <w:right w:type="dxa" w:w="100"/>
            </w:tcMar>
          </w:tcPr>
          <w:p>
            <w:r>
              <w:rPr>
                <w:sz w:val="18"/>
                <w:szCs w:val="18"/>
              </w:rPr>
              <w:t xml:space="preserve">0.0007</w:t>
            </w:r>
          </w:p>
        </w:tc>
        <w:tc>
          <w:tcPr>
            <w:tcW w:type="dxa" w:w="1400"/>
            <w:tcMar>
              <w:top w:type="dxa" w:w="60"/>
              <w:left w:type="dxa" w:w="100"/>
              <w:bottom w:type="dxa" w:w="60"/>
              <w:right w:type="dxa" w:w="100"/>
            </w:tcMar>
          </w:tcPr>
          <w:p>
            <w:r>
              <w:rPr>
                <w:sz w:val="18"/>
                <w:szCs w:val="18"/>
              </w:rPr>
              <w:t xml:space="preserve">0.99</w:t>
            </w:r>
          </w:p>
        </w:tc>
        <w:tc>
          <w:tcPr>
            <w:tcW w:type="dxa" w:w="2400"/>
            <w:tcMar>
              <w:top w:type="dxa" w:w="60"/>
              <w:left w:type="dxa" w:w="100"/>
              <w:bottom w:type="dxa" w:w="60"/>
              <w:right w:type="dxa" w:w="100"/>
            </w:tcMar>
          </w:tcPr>
          <w:p>
            <w:r>
              <w:rPr>
                <w:sz w:val="18"/>
                <w:szCs w:val="18"/>
              </w:rPr>
              <w:t xml:space="preserve">16</w:t>
            </w:r>
          </w:p>
        </w:tc>
        <w:tc>
          <w:tcPr>
            <w:tcW w:type="dxa" w:w="2200"/>
            <w:tcMar>
              <w:top w:type="dxa" w:w="60"/>
              <w:left w:type="dxa" w:w="100"/>
              <w:bottom w:type="dxa" w:w="60"/>
              <w:right w:type="dxa" w:w="100"/>
            </w:tcMar>
          </w:tcPr>
          <w:p>
            <w:r>
              <w:rPr>
                <w:sz w:val="18"/>
                <w:szCs w:val="18"/>
              </w:rPr>
              <w:t xml:space="preserve">0.01</w:t>
            </w:r>
          </w:p>
        </w:tc>
        <w:tc>
          <w:tcPr>
            <w:tcW w:type="dxa" w:w="1600"/>
            <w:tcMar>
              <w:top w:type="dxa" w:w="60"/>
              <w:left w:type="dxa" w:w="100"/>
              <w:bottom w:type="dxa" w:w="60"/>
              <w:right w:type="dxa" w:w="100"/>
            </w:tcMar>
          </w:tcPr>
          <w:p>
            <w:r>
              <w:rPr>
                <w:sz w:val="18"/>
                <w:szCs w:val="18"/>
              </w:rPr>
              <w:t xml:space="preserve">-3708.23</w:t>
            </w:r>
          </w:p>
        </w:tc>
      </w:tr>
      <w:tr>
        <w:tc>
          <w:tcPr>
            <w:tcW w:type="dxa" w:w="1800"/>
            <w:tcMar>
              <w:top w:type="dxa" w:w="60"/>
              <w:left w:type="dxa" w:w="100"/>
              <w:bottom w:type="dxa" w:w="60"/>
              <w:right w:type="dxa" w:w="100"/>
            </w:tcMar>
          </w:tcPr>
          <w:p>
            <w:r>
              <w:rPr>
                <w:sz w:val="18"/>
                <w:szCs w:val="18"/>
              </w:rPr>
              <w:t xml:space="preserve">0.00025</w:t>
            </w:r>
          </w:p>
        </w:tc>
        <w:tc>
          <w:tcPr>
            <w:tcW w:type="dxa" w:w="1400"/>
            <w:tcMar>
              <w:top w:type="dxa" w:w="60"/>
              <w:left w:type="dxa" w:w="100"/>
              <w:bottom w:type="dxa" w:w="60"/>
              <w:right w:type="dxa" w:w="100"/>
            </w:tcMar>
          </w:tcPr>
          <w:p>
            <w:r>
              <w:rPr>
                <w:sz w:val="18"/>
                <w:szCs w:val="18"/>
              </w:rPr>
              <w:t xml:space="preserve">0.99</w:t>
            </w:r>
          </w:p>
        </w:tc>
        <w:tc>
          <w:tcPr>
            <w:tcW w:type="dxa" w:w="2400"/>
            <w:tcMar>
              <w:top w:type="dxa" w:w="60"/>
              <w:left w:type="dxa" w:w="100"/>
              <w:bottom w:type="dxa" w:w="60"/>
              <w:right w:type="dxa" w:w="100"/>
            </w:tcMar>
          </w:tcPr>
          <w:p>
            <w:r>
              <w:rPr>
                <w:sz w:val="18"/>
                <w:szCs w:val="18"/>
              </w:rPr>
              <w:t xml:space="preserve">32</w:t>
            </w:r>
          </w:p>
        </w:tc>
        <w:tc>
          <w:tcPr>
            <w:tcW w:type="dxa" w:w="2200"/>
            <w:tcMar>
              <w:top w:type="dxa" w:w="60"/>
              <w:left w:type="dxa" w:w="100"/>
              <w:bottom w:type="dxa" w:w="60"/>
              <w:right w:type="dxa" w:w="100"/>
            </w:tcMar>
          </w:tcPr>
          <w:p>
            <w:r>
              <w:rPr>
                <w:sz w:val="18"/>
                <w:szCs w:val="18"/>
              </w:rPr>
              <w:t xml:space="preserve">0.01</w:t>
            </w:r>
          </w:p>
        </w:tc>
        <w:tc>
          <w:tcPr>
            <w:tcW w:type="dxa" w:w="1600"/>
            <w:tcMar>
              <w:top w:type="dxa" w:w="60"/>
              <w:left w:type="dxa" w:w="100"/>
              <w:bottom w:type="dxa" w:w="60"/>
              <w:right w:type="dxa" w:w="100"/>
            </w:tcMar>
          </w:tcPr>
          <w:p>
            <w:r>
              <w:rPr>
                <w:sz w:val="18"/>
                <w:szCs w:val="18"/>
              </w:rPr>
              <w:t xml:space="preserve">-324.31</w:t>
            </w:r>
          </w:p>
        </w:tc>
      </w:tr>
      <w:tr>
        <w:tc>
          <w:tcPr>
            <w:tcW w:type="dxa" w:w="1800"/>
            <w:tcMar>
              <w:top w:type="dxa" w:w="60"/>
              <w:left w:type="dxa" w:w="100"/>
              <w:bottom w:type="dxa" w:w="60"/>
              <w:right w:type="dxa" w:w="100"/>
            </w:tcMar>
          </w:tcPr>
          <w:p>
            <w:r>
              <w:rPr>
                <w:sz w:val="18"/>
                <w:szCs w:val="18"/>
              </w:rPr>
              <w:t xml:space="preserve">0.0007</w:t>
            </w:r>
          </w:p>
        </w:tc>
        <w:tc>
          <w:tcPr>
            <w:tcW w:type="dxa" w:w="1400"/>
            <w:tcMar>
              <w:top w:type="dxa" w:w="60"/>
              <w:left w:type="dxa" w:w="100"/>
              <w:bottom w:type="dxa" w:w="60"/>
              <w:right w:type="dxa" w:w="100"/>
            </w:tcMar>
          </w:tcPr>
          <w:p>
            <w:r>
              <w:rPr>
                <w:sz w:val="18"/>
                <w:szCs w:val="18"/>
              </w:rPr>
              <w:t xml:space="preserve">0.995</w:t>
            </w:r>
          </w:p>
        </w:tc>
        <w:tc>
          <w:tcPr>
            <w:tcW w:type="dxa" w:w="2400"/>
            <w:tcMar>
              <w:top w:type="dxa" w:w="60"/>
              <w:left w:type="dxa" w:w="100"/>
              <w:bottom w:type="dxa" w:w="60"/>
              <w:right w:type="dxa" w:w="100"/>
            </w:tcMar>
          </w:tcPr>
          <w:p>
            <w:r>
              <w:rPr>
                <w:sz w:val="18"/>
                <w:szCs w:val="18"/>
              </w:rPr>
              <w:t xml:space="preserve">5</w:t>
            </w:r>
          </w:p>
        </w:tc>
        <w:tc>
          <w:tcPr>
            <w:tcW w:type="dxa" w:w="2200"/>
            <w:tcMar>
              <w:top w:type="dxa" w:w="60"/>
              <w:left w:type="dxa" w:w="100"/>
              <w:bottom w:type="dxa" w:w="60"/>
              <w:right w:type="dxa" w:w="100"/>
            </w:tcMar>
          </w:tcPr>
          <w:p>
            <w:r>
              <w:rPr>
                <w:sz w:val="18"/>
                <w:szCs w:val="18"/>
              </w:rPr>
              <w:t xml:space="preserve">0.03</w:t>
            </w:r>
          </w:p>
        </w:tc>
        <w:tc>
          <w:tcPr>
            <w:tcW w:type="dxa" w:w="1600"/>
            <w:tcMar>
              <w:top w:type="dxa" w:w="60"/>
              <w:left w:type="dxa" w:w="100"/>
              <w:bottom w:type="dxa" w:w="60"/>
              <w:right w:type="dxa" w:w="100"/>
            </w:tcMar>
          </w:tcPr>
          <w:p>
            <w:r>
              <w:rPr>
                <w:sz w:val="18"/>
                <w:szCs w:val="18"/>
              </w:rPr>
              <w:t xml:space="preserve">-9423.28</w:t>
            </w:r>
          </w:p>
        </w:tc>
      </w:tr>
    </w:tbl>
    <w:p>
      <w:pPr>
        <w:spacing w:after="200"/>
      </w:pPr>
    </w:p>
    <w:p>
      <w:pPr>
        <w:spacing w:after="150"/>
      </w:pPr>
      <w:r>
        <w:t xml:space="preserve">Effect of tuning: Learning rate was the single most influential hyperparameter across all four algorithms — high learning rates (0.007–0.01) consistently produced either poor or wildly unstable policies (e.g. DQN's worst run at lr=0.01 reached only −410.92 with 142.7 units of unmet demand, versus −226.01 for its best, well-tuned run at lr=0.001). Gamma (discount factor) mattered most for DQN and REINFORCE: low gamma (0.90) made the agent myopic, ignoring the multi-week lead time needed to avoid future stockouts. For REINFORCE specifically, combining a moderately high learning rate with high gamma (lr=0.001, gamma=0.99) caused catastrophic variance blow-up (reward collapsed to −7049.58), since Monte-Carlo returns over a 52-step episode become very high-variance at high discount — this is a known REINFORCE stability weakness that PPO and A2C's bootstrapped value baselines are specifically designed to avoid. For A2C, several distinct hyperparameter combinations (differing learning rate, gamma, and rollout length) collapsed to the exact same degenerate reward (−9423.28), indicating the policy converged deterministically to an 'always order nothing' local optimum — a direct illustration of actor-critic methods' sensitivity to the rollout length (n_steps) and learning-rate interaction on a sparse, delayed-reward task like this one.</w:t>
      </w:r>
    </w:p>
    <w:p>
      <w:pPr>
        <w:pStyle w:val="Heading1"/>
        <w:spacing w:after="150" w:before="300"/>
      </w:pPr>
      <w:r>
        <w:t xml:space="preserve">Results Discussion</w:t>
      </w:r>
    </w:p>
    <w:p>
      <w:pPr>
        <w:pStyle w:val="Heading2"/>
        <w:spacing w:after="120" w:before="250"/>
      </w:pPr>
      <w:r>
        <w:t xml:space="preserve">a. Cumulative Rewards</w:t>
      </w:r>
    </w:p>
    <w:p>
      <w:pPr>
        <w:spacing w:after="80" w:before="15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86175"/>
                    </a:xfrm>
                    <a:prstGeom prst="rect">
                      <a:avLst/>
                    </a:prstGeom>
                  </pic:spPr>
                </pic:pic>
              </a:graphicData>
            </a:graphic>
          </wp:inline>
        </w:drawing>
      </w:r>
    </w:p>
    <w:p>
      <w:pPr>
        <w:spacing w:after="250"/>
        <w:jc w:val="center"/>
      </w:pPr>
      <w:r>
        <w:rPr>
          <w:i/>
          <w:iCs/>
          <w:sz w:val="20"/>
          <w:szCs w:val="20"/>
        </w:rPr>
        <w:t xml:space="preserve">Figure 1. Cumulative reward per training episode for each algorithm's default-hyperparameter model, raw (light) and 10-episode rolling mean (dark).</w:t>
      </w:r>
    </w:p>
    <w:p>
      <w:pPr>
        <w:spacing w:after="150"/>
      </w:pPr>
      <w:r>
        <w:t xml:space="preserve">All four methods start near the same initial reward level (their untrained policies behave similarly, close to random). DQN shows the most pronounced early dip, driven by its epsilon-greedy exploration phase temporarily taking poor actions before the Q-values stabilise. PPO and A2C show comparatively smoother, lower-variance curves, consistent with their use of a learned value baseline to reduce gradient variance. REINFORCE's curve is noisier episode-to-episode, reflecting the higher variance inherent in unbiased Monte-Carlo return estimates without a baseline correction.</w:t>
      </w:r>
    </w:p>
    <w:p>
      <w:pPr>
        <w:pStyle w:val="Heading2"/>
        <w:spacing w:after="120" w:before="250"/>
      </w:pPr>
      <w:r>
        <w:t xml:space="preserve">Training Stability</w:t>
      </w:r>
    </w:p>
    <w:p>
      <w:pPr>
        <w:spacing w:after="8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50"/>
        <w:jc w:val="center"/>
      </w:pPr>
      <w:r>
        <w:rPr>
          <w:i/>
          <w:iCs/>
          <w:sz w:val="20"/>
          <w:szCs w:val="20"/>
        </w:rPr>
        <w:t xml:space="preserve">Figure 2. DQN training objective (TD loss) over timesteps.</w:t>
      </w:r>
    </w:p>
    <w:p>
      <w:pPr>
        <w:spacing w:after="8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50"/>
        <w:jc w:val="center"/>
      </w:pPr>
      <w:r>
        <w:rPr>
          <w:i/>
          <w:iCs/>
          <w:sz w:val="20"/>
          <w:szCs w:val="20"/>
        </w:rPr>
        <w:t xml:space="preserve">Figure 3. Policy entropy over training for the policy-gradient methods (REINFORCE, PPO, A2C).</w:t>
      </w:r>
    </w:p>
    <w:p>
      <w:pPr>
        <w:spacing w:after="150"/>
      </w:pPr>
      <w:r>
        <w:t xml:space="preserve">DQN's loss curve reflects the TD-error the network is fitting rather than task performance directly, so it does not monotonically decrease — spikes correspond to target-network updates and to newly-visited, high-uncertainty states such as the malaria-season transition. The entropy curves for the policy-gradient methods show the expected pattern of exploration gradually giving way to exploitation: entropy starts relatively high (near-uniform action distribution) and decreases as each policy commits to a preferred restocking strategy, though PPO's decline is the smoothest of the three, consistent with its clipped updates preventing overly aggressive early commitment to a possibly-suboptimal policy.</w:t>
      </w:r>
    </w:p>
    <w:p>
      <w:pPr>
        <w:pStyle w:val="Heading2"/>
        <w:spacing w:after="120" w:before="250"/>
      </w:pPr>
      <w:r>
        <w:t xml:space="preserve">b. Episodes To Converge</w:t>
      </w:r>
    </w:p>
    <w:p>
      <w:pPr>
        <w:spacing w:after="80" w:before="15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33725"/>
                    </a:xfrm>
                    <a:prstGeom prst="rect">
                      <a:avLst/>
                    </a:prstGeom>
                  </pic:spPr>
                </pic:pic>
              </a:graphicData>
            </a:graphic>
          </wp:inline>
        </w:drawing>
      </w:r>
    </w:p>
    <w:p>
      <w:pPr>
        <w:spacing w:after="250"/>
        <w:jc w:val="center"/>
      </w:pPr>
      <w:r>
        <w:rPr>
          <w:i/>
          <w:iCs/>
          <w:sz w:val="20"/>
          <w:szCs w:val="20"/>
        </w:rPr>
        <w:t xml:space="preserve">Figure 4. Approximate number of episodes each method needed to reach ~90% of its own best rolling-mean reward.</w:t>
      </w:r>
    </w:p>
    <w:p>
      <w:pPr>
        <w:spacing w:after="150"/>
      </w:pPr>
      <w:r>
        <w:t xml:space="preserve">Using a 10-episode rolling mean and a 90%-of-best-performance threshold, DQN and the policy-gradient methods reached stable performance at broadly comparable episode counts under default hyperparameters. In practice, PPO and A2C tended to stabilise fastest per-episode (though not necessarily per-wall-clock-time, since PPO performs multiple gradient epochs per rollout), while REINFORCE's single-sample-per-episode updates made its convergence trajectory the least monotonic of the four, matching the higher variance visible in Figure 1.</w:t>
      </w:r>
    </w:p>
    <w:p>
      <w:pPr>
        <w:pStyle w:val="Heading2"/>
        <w:spacing w:after="120" w:before="250"/>
      </w:pPr>
      <w:r>
        <w:t xml:space="preserve">c. Generalization</w:t>
      </w:r>
    </w:p>
    <w:p>
      <w:pPr>
        <w:spacing w:after="8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50"/>
        <w:jc w:val="center"/>
      </w:pPr>
      <w:r>
        <w:rPr>
          <w:i/>
          <w:iCs/>
          <w:sz w:val="20"/>
          <w:szCs w:val="20"/>
        </w:rPr>
        <w:t xml:space="preserve">Figure 5. Mean episode reward when each trained policy is evaluated from five unseen initial conditions (varied starting stock levels and starting week-of-year), with standard deviation error bars.</w:t>
      </w:r>
    </w:p>
    <w:p>
      <w:pPr>
        <w:spacing w:after="150"/>
      </w:pPr>
      <w:r>
        <w:t xml:space="preserve">Testing all four trained policies from five starting conditions never seen during training (different initial stock fractions and different starting points in the seasonal cycle) reveals which policies learned a genuinely reusable restocking strategy versus one that overfits to the fixed training start state. Policies that maintain consistently strong reward with tight error bars across these unseen scenarios (rather than large variance or catastrophic drops on any one scenario) demonstrate better generalisation — in our runs, this favoured the methods whose sweep results were also most stable (lowest standard deviation across seeds), namely PPO and the best-tuned DQN configuration, while REINFORCE and several A2C configurations showed larger swings when initial conditions deviated from the training start state.</w:t>
      </w:r>
    </w:p>
    <w:p>
      <w:pPr>
        <w:pStyle w:val="Heading1"/>
        <w:spacing w:after="150" w:before="300"/>
      </w:pPr>
      <w:r>
        <w:t xml:space="preserve">Conclusion and Discussion</w:t>
      </w:r>
    </w:p>
    <w:p>
      <w:pPr>
        <w:spacing w:after="150"/>
      </w:pPr>
      <w:r>
        <w:t xml:space="preserve">Across both the default-hyperparameter comparison (main.py, 100,000 timesteps) and the 10-run hyperparameter sweep (20,000 timesteps per run), PPO consistently produced the strongest, most reliable policies for this environment: with a well-tuned configuration (lr=0.0003, gamma=0.98, n_steps=256, entropy_coef=0, clip_range=0.1) it reached a mean reward of −271.44 with near-zero unmet demand and the lowest reward standard deviation of any policy-gradient method tested. DQN, when properly tuned (lr=0.001, gamma=0.99, buffer_size=50,000, batch_size=64), was competitive and in some sweep runs slightly outperformed PPO (−226.01), but was noticeably more sensitive to hyperparameter choice — its worst configuration was nearly twice as bad as its best. REINFORCE, while simple to implement, was the least stable method: several configurations diverged catastrophically due to high-variance Monte-Carlo return estimates over a 52-step horizon, a well-known limitation of vanilla policy gradient without a learned baseline. A2C fell between PPO and REINFORCE in reliability, but several configurations collapsed to a degenerate 'never restock' policy, suggesting its short, synchronous rollouts (n_steps as low as 5) provided an advantage estimate too noisy to reliably escape that local optimum on this task. With more time and compute, the clearest next steps would be: (1) extending the hyperparameter sweep to more timesteps per run so results are less confounded by early-training noise, (2) adding a learned baseline / larger batch size to REINFORCE to reduce its variance, and (3) testing generalisation across a wider and more clinically-realistic range of starting conditions (e.g. simulated supply-chain disruptions) rather than only varied stock levels and season.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c76d029457ef529a246c7e66357ba5b9da76c6.png"/><Relationship Id="rId8" Type="http://schemas.openxmlformats.org/officeDocument/2006/relationships/image" Target="media/53aa436c77bc4cf1ce095aea9bb056d46404fe02.png"/><Relationship Id="rId9" Type="http://schemas.openxmlformats.org/officeDocument/2006/relationships/image" Target="media/a3d2f234a7d44d87dcdfe8ce9e6eeeabce857b81.png"/><Relationship Id="rId10" Type="http://schemas.openxmlformats.org/officeDocument/2006/relationships/image" Target="media/ca637d2ece4db7ad1364470fcfb57d6a4004bd31.png"/><Relationship Id="rId11" Type="http://schemas.openxmlformats.org/officeDocument/2006/relationships/image" Target="media/c03df0e8fffb2667e8262e043381e32634f0cb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2026-07-27T13:20:48.121Z</dcterms:created>
  <dcterms:modified xsi:type="dcterms:W3CDTF">2026-07-27T13:20:48.236Z</dcterms:modified>
</cp:coreProperties>
</file>

<file path=docProps/custom.xml><?xml version="1.0" encoding="utf-8"?>
<Properties xmlns="http://schemas.openxmlformats.org/officeDocument/2006/custom-properties" xmlns:vt="http://schemas.openxmlformats.org/officeDocument/2006/docPropsVTypes"/>
</file>