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64E3B"/>
          <w:sz w:val="34"/>
          <w:szCs w:val="34"/>
        </w:rPr>
        <w:t xml:space="preserve">PulseChain: Technical Report</w:t>
      </w:r>
    </w:p>
    <w:p>
      <w:pPr>
        <w:spacing w:after="40" w:before="0"/>
        <w:jc w:val="left"/>
      </w:pPr>
      <w:r>
        <w:rPr>
          <w:rFonts w:ascii="Times New Roman" w:cs="Times New Roman" w:eastAsia="Times New Roman" w:hAnsi="Times New Roman"/>
          <w:sz w:val="20"/>
          <w:szCs w:val="20"/>
        </w:rPr>
        <w:t xml:space="preserve">Predicting and Tracking HIV/ARV Supply Chain Delays Across East Africa</w:t>
      </w:r>
    </w:p>
    <w:p>
      <w:pPr>
        <w:spacing w:after="40" w:before="0"/>
        <w:jc w:val="left"/>
      </w:pPr>
      <w:r>
        <w:rPr>
          <w:rFonts w:ascii="Times New Roman" w:cs="Times New Roman" w:eastAsia="Times New Roman" w:hAnsi="Times New Roman"/>
          <w:sz w:val="20"/>
          <w:szCs w:val="20"/>
        </w:rPr>
        <w:t xml:space="preserve">INEZA Bella Melissa, BSc Software Engineering, African Leadership University. Supervisor: KHWATENGE Immaculate Elvira. 29 October 2026.</w:t>
      </w:r>
    </w:p>
    <w:p>
      <w:pPr>
        <w:spacing w:after="80" w:before="0"/>
        <w:jc w:val="left"/>
      </w:pPr>
      <w:r>
        <w:rPr>
          <w:rFonts w:ascii="Times New Roman" w:cs="Times New Roman" w:eastAsia="Times New Roman" w:hAnsi="Times New Roman"/>
          <w:sz w:val="20"/>
          <w:szCs w:val="20"/>
        </w:rPr>
        <w:t xml:space="preserve">Repository: [add GitHub link]     Walkthrough video: [add video link]</w:t>
      </w:r>
    </w:p>
    <w:p>
      <w:pPr>
        <w:pStyle w:val="Heading1"/>
        <w:spacing w:after="60" w:before="160"/>
      </w:pPr>
      <w:r>
        <w:rPr>
          <w:rFonts w:ascii="Arial" w:cs="Arial" w:eastAsia="Arial" w:hAnsi="Arial"/>
          <w:b/>
          <w:bCs/>
          <w:color w:val="064E3B"/>
          <w:sz w:val="24"/>
          <w:szCs w:val="24"/>
        </w:rPr>
        <w:t xml:space="preserve">1. Scope alignment and feature validation</w:t>
      </w:r>
    </w:p>
    <w:p>
      <w:pPr>
        <w:spacing w:after="80" w:before="0"/>
        <w:jc w:val="both"/>
      </w:pPr>
      <w:r>
        <w:rPr>
          <w:rFonts w:ascii="Times New Roman" w:cs="Times New Roman" w:eastAsia="Times New Roman" w:hAnsi="Times New Roman"/>
          <w:sz w:val="20"/>
          <w:szCs w:val="20"/>
        </w:rPr>
        <w:t xml:space="preserve">PulseChain estimates how likely an HIV/ARV shipment is to arrive late, explains each estimate in plain language, and lets signed-in health workers report shortages and restocks. A dashboard combines country-level predicted risk with district-level reports. The table compares the approved proposal with the final product.</w:t>
      </w:r>
    </w:p>
    <w:tbl>
      <w:tblPr>
        <w:tblW w:type="dxa" w:w="9753"/>
        <w:tblBorders>
          <w:top w:val="single" w:color="auto" w:sz="4"/>
          <w:left w:val="single" w:color="auto" w:sz="4"/>
          <w:bottom w:val="single" w:color="auto" w:sz="4"/>
          <w:right w:val="single" w:color="auto" w:sz="4"/>
          <w:insideH w:val="single" w:color="auto" w:sz="4"/>
          <w:insideV w:val="single" w:color="auto" w:sz="4"/>
        </w:tblBorders>
      </w:tblPr>
      <w:tblGrid>
        <w:gridCol w:w="2041"/>
        <w:gridCol w:w="2098"/>
        <w:gridCol w:w="2325"/>
        <w:gridCol w:w="3289"/>
      </w:tblGrid>
      <w:tr>
        <w:trPr>
          <w:cantSplit/>
          <w:tblHeader/>
        </w:trPr>
        <w:tc>
          <w:tcPr>
            <w:tcW w:type="dxa" w:w="2041"/>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Planned feature</w:t>
            </w:r>
          </w:p>
        </w:tc>
        <w:tc>
          <w:tcPr>
            <w:tcW w:type="dxa" w:w="2098"/>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Intended purpose</w:t>
            </w:r>
          </w:p>
        </w:tc>
        <w:tc>
          <w:tcPr>
            <w:tcW w:type="dxa" w:w="2325"/>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Status</w:t>
            </w:r>
          </w:p>
        </w:tc>
        <w:tc>
          <w:tcPr>
            <w:tcW w:type="dxa" w:w="3289"/>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Evidence (repository path)</w:t>
            </w:r>
          </w:p>
        </w:tc>
      </w:tr>
      <w:tr>
        <w:trPr>
          <w:cantSplit/>
          <w:tblHeader w:val="false"/>
        </w:trPr>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Clean SCMS data and leakage-safe features</w:t>
            </w:r>
          </w:p>
        </w:tc>
        <w:tc>
          <w:tcPr>
            <w:tcW w:type="dxa" w:w="209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Avoid training on future information</w:t>
            </w:r>
          </w:p>
        </w:tc>
        <w:tc>
          <w:tcPr>
            <w:tcW w:type="dxa" w:w="232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Completed</w:t>
            </w:r>
          </w:p>
        </w:tc>
        <w:tc>
          <w:tcPr>
            <w:tcW w:type="dxa" w:w="328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notebooks/PulseChain_Model_Improved.ipynb; app/models/history_snapshot.json</w:t>
            </w:r>
          </w:p>
        </w:tc>
      </w:tr>
      <w:tr>
        <w:trPr>
          <w:cantSplit/>
          <w:tblHeader w:val="false"/>
        </w:trPr>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LR baseline vs LightGBM comparison</w:t>
            </w:r>
          </w:p>
        </w:tc>
        <w:tc>
          <w:tcPr>
            <w:tcW w:type="dxa" w:w="209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Show whether the complex model adds value</w:t>
            </w:r>
          </w:p>
        </w:tc>
        <w:tc>
          <w:tcPr>
            <w:tcW w:type="dxa" w:w="232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Completed (extended with a vendor-recency rule and time-series validation)</w:t>
            </w:r>
          </w:p>
        </w:tc>
        <w:tc>
          <w:tcPr>
            <w:tcW w:type="dxa" w:w="328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Notebook; Model page; app/models/initial_metrics.csv</w:t>
            </w:r>
          </w:p>
        </w:tc>
      </w:tr>
      <w:tr>
        <w:trPr>
          <w:cantSplit/>
          <w:tblHeader w:val="false"/>
        </w:trPr>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SHAP reason codes</w:t>
            </w:r>
          </w:p>
        </w:tc>
        <w:tc>
          <w:tcPr>
            <w:tcW w:type="dxa" w:w="209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Make each score actionable</w:t>
            </w:r>
          </w:p>
        </w:tc>
        <w:tc>
          <w:tcPr>
            <w:tcW w:type="dxa" w:w="232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Completed (coefficients for LR)</w:t>
            </w:r>
          </w:p>
        </w:tc>
        <w:tc>
          <w:tcPr>
            <w:tcW w:type="dxa" w:w="328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app/services/risk_model.py (explain); Predict page</w:t>
            </w:r>
          </w:p>
        </w:tc>
      </w:tr>
      <w:tr>
        <w:trPr>
          <w:cantSplit/>
          <w:tblHeader w:val="false"/>
        </w:trPr>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Shortage report and restock log</w:t>
            </w:r>
          </w:p>
        </w:tc>
        <w:tc>
          <w:tcPr>
            <w:tcW w:type="dxa" w:w="209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Capture what happens in the field</w:t>
            </w:r>
          </w:p>
        </w:tc>
        <w:tc>
          <w:tcPr>
            <w:tcW w:type="dxa" w:w="232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Completed</w:t>
            </w:r>
          </w:p>
        </w:tc>
        <w:tc>
          <w:tcPr>
            <w:tcW w:type="dxa" w:w="328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app/routers/reports.py; Report page</w:t>
            </w:r>
          </w:p>
        </w:tc>
      </w:tr>
      <w:tr>
        <w:trPr>
          <w:cantSplit/>
          <w:tblHeader w:val="false"/>
        </w:trPr>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District-level dashboard</w:t>
            </w:r>
          </w:p>
        </w:tc>
        <w:tc>
          <w:tcPr>
            <w:tcW w:type="dxa" w:w="209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Combine predicted and reported risk</w:t>
            </w:r>
          </w:p>
        </w:tc>
        <w:tc>
          <w:tcPr>
            <w:tcW w:type="dxa" w:w="232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Completed, with a limitation: risk is country-level</w:t>
            </w:r>
          </w:p>
        </w:tc>
        <w:tc>
          <w:tcPr>
            <w:tcW w:type="dxa" w:w="328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app/services/analytics.py; Dashboard page</w:t>
            </w:r>
          </w:p>
        </w:tc>
      </w:tr>
      <w:tr>
        <w:trPr>
          <w:cantSplit/>
          <w:tblHeader w:val="false"/>
        </w:trPr>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Role-based sign-in and data scoping</w:t>
            </w:r>
          </w:p>
        </w:tc>
        <w:tc>
          <w:tcPr>
            <w:tcW w:type="dxa" w:w="209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Users see only their district or country</w:t>
            </w:r>
          </w:p>
        </w:tc>
        <w:tc>
          <w:tcPr>
            <w:tcW w:type="dxa" w:w="232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Completed (added after supervisor feedback and ethics review)</w:t>
            </w:r>
          </w:p>
        </w:tc>
        <w:tc>
          <w:tcPr>
            <w:tcW w:type="dxa" w:w="328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app/auth.py; app/dependencies.py; tests/test_auth.py</w:t>
            </w:r>
          </w:p>
        </w:tc>
      </w:tr>
      <w:tr>
        <w:trPr>
          <w:cantSplit/>
          <w:tblHeader w:val="false"/>
        </w:trPr>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Batch CSV scoring; delay-cause logging</w:t>
            </w:r>
          </w:p>
        </w:tc>
        <w:tc>
          <w:tcPr>
            <w:tcW w:type="dxa" w:w="209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Plan whole shipments; learn why delays happen</w:t>
            </w:r>
          </w:p>
        </w:tc>
        <w:tc>
          <w:tcPr>
            <w:tcW w:type="dxa" w:w="232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Completed (added)</w:t>
            </w:r>
          </w:p>
        </w:tc>
        <w:tc>
          <w:tcPr>
            <w:tcW w:type="dxa" w:w="328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app/routers/predictions.py, shipments.py; Batch, Shipments pages</w:t>
            </w:r>
          </w:p>
        </w:tc>
      </w:tr>
      <w:tr>
        <w:trPr>
          <w:cantSplit/>
          <w:tblHeader w:val="false"/>
        </w:trPr>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Usability evaluation (SUS)</w:t>
            </w:r>
          </w:p>
        </w:tc>
        <w:tc>
          <w:tcPr>
            <w:tcW w:type="dxa" w:w="209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Judge ease of use</w:t>
            </w:r>
          </w:p>
        </w:tc>
        <w:tc>
          <w:tcPr>
            <w:tcW w:type="dxa" w:w="232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Partial: survey built; No participants have completed the SUS yet (n = 0), so no score is reported; this is a limitation and the next testing step</w:t>
            </w:r>
          </w:p>
        </w:tc>
        <w:tc>
          <w:tcPr>
            <w:tcW w:type="dxa" w:w="328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app/routers/feedback.py; Feedback page; data collection instrument</w:t>
            </w:r>
          </w:p>
        </w:tc>
      </w:tr>
      <w:tr>
        <w:trPr>
          <w:cantSplit/>
          <w:tblHeader w:val="false"/>
        </w:trPr>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Deployment</w:t>
            </w:r>
          </w:p>
        </w:tc>
        <w:tc>
          <w:tcPr>
            <w:tcW w:type="dxa" w:w="209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Run on standard hardware</w:t>
            </w:r>
          </w:p>
        </w:tc>
        <w:tc>
          <w:tcPr>
            <w:tcW w:type="dxa" w:w="232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Partial: runs locally; Dockerfile written, cloud hosting not done</w:t>
            </w:r>
          </w:p>
        </w:tc>
        <w:tc>
          <w:tcPr>
            <w:tcW w:type="dxa" w:w="328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Dockerfile; README</w:t>
            </w:r>
          </w:p>
        </w:tc>
      </w:tr>
      <w:tr>
        <w:trPr>
          <w:cantSplit/>
          <w:tblHeader w:val="false"/>
        </w:trPr>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SMS gateway; live national LMIS integration</w:t>
            </w:r>
          </w:p>
        </w:tc>
        <w:tc>
          <w:tcPr>
            <w:tcW w:type="dxa" w:w="209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Reach low-connectivity sites</w:t>
            </w:r>
          </w:p>
        </w:tc>
        <w:tc>
          <w:tcPr>
            <w:tcW w:type="dxa" w:w="232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Not implemented (excluded in the proposal scope)</w:t>
            </w:r>
          </w:p>
        </w:tc>
        <w:tc>
          <w:tcPr>
            <w:tcW w:type="dxa" w:w="328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Proposal section 1.5</w:t>
            </w:r>
          </w:p>
        </w:tc>
      </w:tr>
    </w:tbl>
    <w:p>
      <w:pPr>
        <w:spacing w:after="60"/>
      </w:pPr>
    </w:p>
    <w:p>
      <w:pPr>
        <w:spacing w:after="80" w:before="0"/>
        <w:jc w:val="both"/>
      </w:pPr>
      <w:r>
        <w:rPr>
          <w:rFonts w:ascii="Times New Roman" w:cs="Times New Roman" w:eastAsia="Times New Roman" w:hAnsi="Times New Roman"/>
          <w:b/>
          <w:bCs/>
          <w:sz w:val="20"/>
          <w:szCs w:val="20"/>
        </w:rPr>
        <w:t xml:space="preserve">Scope changes and justification.</w:t>
      </w:r>
      <w:r>
        <w:rPr>
          <w:rFonts w:ascii="Times New Roman" w:cs="Times New Roman" w:eastAsia="Times New Roman" w:hAnsi="Times New Roman"/>
          <w:sz w:val="20"/>
          <w:szCs w:val="20"/>
        </w:rPr>
        <w:t xml:space="preserve"> (1) The SCMS data record the destination country only, so prediction is country-level and a district inherits its country's risk; districts matter only through live reports. (2) Sign-in and roles were added so that people from one district or country cannot see data that does not belong to them, which the ethics application also relies on. (3) A simple vendor-recency rule was added as a baseline, following Müller et al. (2025), who found complex models did not beat simple baselines. (4) Streamlit was replaced by FastAPI and React so that the model, access rules and interface are separate, testable modules.</w:t>
      </w:r>
    </w:p>
    <w:p>
      <w:pPr>
        <w:pStyle w:val="Heading1"/>
        <w:spacing w:after="60" w:before="160"/>
      </w:pPr>
      <w:r>
        <w:rPr>
          <w:rFonts w:ascii="Arial" w:cs="Arial" w:eastAsia="Arial" w:hAnsi="Arial"/>
          <w:b/>
          <w:bCs/>
          <w:color w:val="064E3B"/>
          <w:sz w:val="24"/>
          <w:szCs w:val="24"/>
        </w:rPr>
        <w:t xml:space="preserve">2. Technical implementation</w:t>
      </w:r>
    </w:p>
    <w:p>
      <w:pPr>
        <w:spacing w:after="40"/>
        <w:jc w:val="center"/>
      </w:pPr>
      <w:r>
        <w:drawing>
          <wp:inline distT="0" distB="0" distL="0" distR="0">
            <wp:extent cx="3314700" cy="2190750"/>
            <wp:effectExtent t="0" r="0" b="0" l="0"/>
            <wp:docPr id="1" name="fig1" descr="System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14700" cy="2190750"/>
                    </a:xfrm>
                    <a:prstGeom prst="rect">
                      <a:avLst/>
                    </a:prstGeom>
                  </pic:spPr>
                </pic:pic>
              </a:graphicData>
            </a:graphic>
          </wp:inline>
        </w:drawing>
      </w:r>
    </w:p>
    <w:p>
      <w:pPr>
        <w:spacing w:after="80" w:before="0"/>
        <w:jc w:val="center"/>
      </w:pPr>
      <w:r>
        <w:rPr>
          <w:rFonts w:ascii="Times New Roman" w:cs="Times New Roman" w:eastAsia="Times New Roman" w:hAnsi="Times New Roman"/>
          <w:i/>
          <w:iCs/>
          <w:sz w:val="17"/>
          <w:szCs w:val="17"/>
        </w:rPr>
        <w:t xml:space="preserve">Figure 1. Architecture: React interface, FastAPI application layer, trained model, and data stores.</w:t>
      </w:r>
    </w:p>
    <w:p>
      <w:pPr>
        <w:spacing w:after="80" w:before="0"/>
        <w:jc w:val="both"/>
      </w:pPr>
      <w:r>
        <w:rPr>
          <w:rFonts w:ascii="Times New Roman" w:cs="Times New Roman" w:eastAsia="Times New Roman" w:hAnsi="Times New Roman"/>
          <w:b/>
          <w:bCs/>
          <w:sz w:val="20"/>
          <w:szCs w:val="20"/>
        </w:rPr>
        <w:t xml:space="preserve">Frontend and backend interaction.</w:t>
      </w:r>
      <w:r>
        <w:rPr>
          <w:rFonts w:ascii="Times New Roman" w:cs="Times New Roman" w:eastAsia="Times New Roman" w:hAnsi="Times New Roman"/>
          <w:sz w:val="20"/>
          <w:szCs w:val="20"/>
        </w:rPr>
        <w:t xml:space="preserve"> The React 18 (Vite, Tailwind CSS, recharts) interface calls a REST API served by FastAPI. After sign-in, the browser sends a signed token with every request. The server, not the page, decides what each role may see: every reports, dashboard, analytics, shipments and prediction query is filtered by the user's district or country.</w:t>
      </w:r>
    </w:p>
    <w:p>
      <w:pPr>
        <w:spacing w:after="80" w:before="0"/>
        <w:jc w:val="both"/>
      </w:pPr>
      <w:r>
        <w:rPr>
          <w:rFonts w:ascii="Times New Roman" w:cs="Times New Roman" w:eastAsia="Times New Roman" w:hAnsi="Times New Roman"/>
          <w:b/>
          <w:bCs/>
          <w:sz w:val="20"/>
          <w:szCs w:val="20"/>
        </w:rPr>
        <w:t xml:space="preserve">Data handling.</w:t>
      </w:r>
      <w:r>
        <w:rPr>
          <w:rFonts w:ascii="Times New Roman" w:cs="Times New Roman" w:eastAsia="Times New Roman" w:hAnsi="Times New Roman"/>
          <w:sz w:val="20"/>
          <w:szCs w:val="20"/>
        </w:rPr>
        <w:t xml:space="preserve"> Shipment data (2,317 shipments, 7 countries, 2006-2015, 12.3% late) are split chronologically: the oldest 80% for development and the newest 20% (464 shipments, 82 late) for testing. Reports, delay causes, users and survey answers are stored in SQLite with validated inputs (pydantic) and parameterised SQL.</w:t>
      </w:r>
    </w:p>
    <w:p>
      <w:pPr>
        <w:spacing w:after="80" w:before="0"/>
        <w:jc w:val="both"/>
      </w:pPr>
      <w:r>
        <w:rPr>
          <w:rFonts w:ascii="Times New Roman" w:cs="Times New Roman" w:eastAsia="Times New Roman" w:hAnsi="Times New Roman"/>
          <w:b/>
          <w:bCs/>
          <w:sz w:val="20"/>
          <w:szCs w:val="20"/>
        </w:rPr>
        <w:t xml:space="preserve">Algorithms and custom logic.</w:t>
      </w:r>
      <w:r>
        <w:rPr>
          <w:rFonts w:ascii="Times New Roman" w:cs="Times New Roman" w:eastAsia="Times New Roman" w:hAnsi="Times New Roman"/>
          <w:sz w:val="20"/>
          <w:szCs w:val="20"/>
        </w:rPr>
        <w:t xml:space="preserve"> (a) Leakage-safe history features: a vendor's or country's recent late rate is computed only from shipments delivered at least 60 days before the current one; a count feature that acted as a clock (correlation 0.96) was removed. (b) Five-fold forward-chaining cross-validation with randomised search (30 settings) on average precision, plus feature-set selection by the one-standard-error rule. (c) Isotonic calibration applied with piecewise-linear interpolation, and displayed probabilities capped at 50%. (d) Percentile risk bands (High = top 15% of scores, Medium = next 25%). (e) SHAP tree explanations turned into plain sentences. (f) A district flag rule: at least two open shortages and country risk at least 1.15 times the overall level. (g) SUS scoring, PBKDF2-SHA256 password hashing, HMAC-signed expiring tokens, and a login rate limiter.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2"/>
        <w:gridCol w:w="1247"/>
        <w:gridCol w:w="1247"/>
        <w:gridCol w:w="2041"/>
        <w:gridCol w:w="1134"/>
      </w:tblGrid>
      <w:tr>
        <w:trPr>
          <w:cantSplit/>
          <w:tblHeader/>
        </w:trPr>
        <w:tc>
          <w:tcPr>
            <w:tcW w:type="dxa" w:w="3402"/>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Model (held-out test set)</w:t>
            </w:r>
          </w:p>
        </w:tc>
        <w:tc>
          <w:tcPr>
            <w:tcW w:type="dxa" w:w="1247"/>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ROC-AUC</w:t>
            </w:r>
          </w:p>
        </w:tc>
        <w:tc>
          <w:tcPr>
            <w:tcW w:type="dxa" w:w="1247"/>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PR-AUC</w:t>
            </w:r>
          </w:p>
        </w:tc>
        <w:tc>
          <w:tcPr>
            <w:tcW w:type="dxa" w:w="2041"/>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Late found in top 20%</w:t>
            </w:r>
          </w:p>
        </w:tc>
        <w:tc>
          <w:tcPr>
            <w:tcW w:type="dxa" w:w="1134"/>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Lift</w:t>
            </w:r>
          </w:p>
        </w:tc>
      </w:tr>
      <w:tr>
        <w:trPr>
          <w:cantSplit/>
          <w:tblHeader w:val="false"/>
        </w:trPr>
        <w:tc>
          <w:tcPr>
            <w:tcW w:type="dxa" w:w="340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Rule: vendor recent late rate</w:t>
            </w:r>
          </w:p>
        </w:tc>
        <w:tc>
          <w:tcPr>
            <w:tcW w:type="dxa" w:w="1247"/>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0.731</w:t>
            </w:r>
          </w:p>
        </w:tc>
        <w:tc>
          <w:tcPr>
            <w:tcW w:type="dxa" w:w="1247"/>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0.356</w:t>
            </w:r>
          </w:p>
        </w:tc>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40%</w:t>
            </w:r>
          </w:p>
        </w:tc>
        <w:tc>
          <w:tcPr>
            <w:tcW w:type="dxa" w:w="113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2.0x</w:t>
            </w:r>
          </w:p>
        </w:tc>
      </w:tr>
      <w:tr>
        <w:trPr>
          <w:cantSplit/>
          <w:tblHeader w:val="false"/>
        </w:trPr>
        <w:tc>
          <w:tcPr>
            <w:tcW w:type="dxa" w:w="340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Logistic Regression</w:t>
            </w:r>
          </w:p>
        </w:tc>
        <w:tc>
          <w:tcPr>
            <w:tcW w:type="dxa" w:w="1247"/>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0.734</w:t>
            </w:r>
          </w:p>
        </w:tc>
        <w:tc>
          <w:tcPr>
            <w:tcW w:type="dxa" w:w="1247"/>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0.402</w:t>
            </w:r>
          </w:p>
        </w:tc>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46%</w:t>
            </w:r>
          </w:p>
        </w:tc>
        <w:tc>
          <w:tcPr>
            <w:tcW w:type="dxa" w:w="113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2.3x</w:t>
            </w:r>
          </w:p>
        </w:tc>
      </w:tr>
      <w:tr>
        <w:trPr>
          <w:cantSplit/>
          <w:tblHeader w:val="false"/>
        </w:trPr>
        <w:tc>
          <w:tcPr>
            <w:tcW w:type="dxa" w:w="340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LightGBM (default)</w:t>
            </w:r>
          </w:p>
        </w:tc>
        <w:tc>
          <w:tcPr>
            <w:tcW w:type="dxa" w:w="1247"/>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0.781</w:t>
            </w:r>
          </w:p>
        </w:tc>
        <w:tc>
          <w:tcPr>
            <w:tcW w:type="dxa" w:w="1247"/>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0.416</w:t>
            </w:r>
          </w:p>
        </w:tc>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46%</w:t>
            </w:r>
          </w:p>
        </w:tc>
        <w:tc>
          <w:tcPr>
            <w:tcW w:type="dxa" w:w="113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2.3x</w:t>
            </w:r>
          </w:p>
        </w:tc>
      </w:tr>
      <w:tr>
        <w:trPr>
          <w:cantSplit/>
          <w:tblHeader w:val="false"/>
        </w:trPr>
        <w:tc>
          <w:tcPr>
            <w:tcW w:type="dxa" w:w="340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LightGBM (tuned), final model</w:t>
            </w:r>
          </w:p>
        </w:tc>
        <w:tc>
          <w:tcPr>
            <w:tcW w:type="dxa" w:w="1247"/>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0.768</w:t>
            </w:r>
          </w:p>
        </w:tc>
        <w:tc>
          <w:tcPr>
            <w:tcW w:type="dxa" w:w="1247"/>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0.344</w:t>
            </w:r>
          </w:p>
        </w:tc>
        <w:tc>
          <w:tcPr>
            <w:tcW w:type="dxa" w:w="204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39%</w:t>
            </w:r>
          </w:p>
        </w:tc>
        <w:tc>
          <w:tcPr>
            <w:tcW w:type="dxa" w:w="113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1.9x</w:t>
            </w:r>
          </w:p>
        </w:tc>
      </w:tr>
    </w:tbl>
    <w:p>
      <w:pPr>
        <w:spacing w:after="60"/>
      </w:pPr>
    </w:p>
    <w:p>
      <w:pPr>
        <w:spacing w:after="80" w:before="0"/>
        <w:jc w:val="both"/>
      </w:pPr>
      <w:r>
        <w:rPr>
          <w:rFonts w:ascii="Times New Roman" w:cs="Times New Roman" w:eastAsia="Times New Roman" w:hAnsi="Times New Roman"/>
          <w:sz w:val="20"/>
          <w:szCs w:val="20"/>
        </w:rPr>
        <w:t xml:space="preserve">The final model was chosen by cross-validation on development data only. Its ROC-AUC interval (about 0.72 to 0.81) overlaps the vendor rule, so the report claims no accuracy gain over the rule. The value lies in calibrated probabilities, explanations and a pipeline ready for real clinic data.</w:t>
      </w:r>
    </w:p>
    <w:p>
      <w:pPr>
        <w:pStyle w:val="Heading1"/>
        <w:spacing w:after="60" w:before="160"/>
      </w:pPr>
      <w:r>
        <w:rPr>
          <w:rFonts w:ascii="Arial" w:cs="Arial" w:eastAsia="Arial" w:hAnsi="Arial"/>
          <w:b/>
          <w:bCs/>
          <w:color w:val="064E3B"/>
          <w:sz w:val="24"/>
          <w:szCs w:val="24"/>
        </w:rPr>
        <w:t xml:space="preserve">3. Code quality and object-oriented design</w:t>
      </w:r>
    </w:p>
    <w:p>
      <w:pPr>
        <w:spacing w:after="80" w:before="0"/>
        <w:jc w:val="both"/>
      </w:pPr>
      <w:r>
        <w:rPr>
          <w:rFonts w:ascii="Times New Roman" w:cs="Times New Roman" w:eastAsia="Times New Roman" w:hAnsi="Times New Roman"/>
          <w:sz w:val="20"/>
          <w:szCs w:val="20"/>
        </w:rPr>
        <w:t xml:space="preserve">The backend began as a single 1,066-line script. It was refactored into 20 modules with one responsibility each, and the entry point (</w:t>
      </w:r>
      <w:r>
        <w:rPr>
          <w:rFonts w:ascii="Courier New" w:cs="Courier New" w:eastAsia="Courier New" w:hAnsi="Courier New"/>
          <w:sz w:val="20"/>
          <w:szCs w:val="20"/>
        </w:rPr>
        <w:t xml:space="preserve">main.py</w:t>
      </w:r>
      <w:r>
        <w:rPr>
          <w:rFonts w:ascii="Times New Roman" w:cs="Times New Roman" w:eastAsia="Times New Roman" w:hAnsi="Times New Roman"/>
          <w:sz w:val="20"/>
          <w:szCs w:val="20"/>
        </w:rPr>
        <w:t xml:space="preserve">) is now about 40 lines.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871"/>
        <w:gridCol w:w="4082"/>
        <w:gridCol w:w="3799"/>
      </w:tblGrid>
      <w:tr>
        <w:trPr>
          <w:cantSplit/>
          <w:tblHeader/>
        </w:trPr>
        <w:tc>
          <w:tcPr>
            <w:tcW w:type="dxa" w:w="1871"/>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Layer</w:t>
            </w:r>
          </w:p>
        </w:tc>
        <w:tc>
          <w:tcPr>
            <w:tcW w:type="dxa" w:w="4082"/>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Modules</w:t>
            </w:r>
          </w:p>
        </w:tc>
        <w:tc>
          <w:tcPr>
            <w:tcW w:type="dxa" w:w="3799"/>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Responsibility</w:t>
            </w:r>
          </w:p>
        </w:tc>
      </w:tr>
      <w:tr>
        <w:trPr>
          <w:cantSplit/>
          <w:tblHeader w:val="false"/>
        </w:trPr>
        <w:tc>
          <w:tcPr>
            <w:tcW w:type="dxa" w:w="187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Entry and wiring</w:t>
            </w:r>
          </w:p>
        </w:tc>
        <w:tc>
          <w:tcPr>
            <w:tcW w:type="dxa" w:w="408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main.py, config.py, database.py</w:t>
            </w:r>
          </w:p>
        </w:tc>
        <w:tc>
          <w:tcPr>
            <w:tcW w:type="dxa" w:w="379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Create the app, shared constants, SQLite schema</w:t>
            </w:r>
          </w:p>
        </w:tc>
      </w:tr>
      <w:tr>
        <w:trPr>
          <w:cantSplit/>
          <w:tblHeader w:val="false"/>
        </w:trPr>
        <w:tc>
          <w:tcPr>
            <w:tcW w:type="dxa" w:w="187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Interface (routers)</w:t>
            </w:r>
          </w:p>
        </w:tc>
        <w:tc>
          <w:tcPr>
            <w:tcW w:type="dxa" w:w="408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routers/auth_routes, predictions, shipments, reports, dashboard, feedback, admin</w:t>
            </w:r>
          </w:p>
        </w:tc>
        <w:tc>
          <w:tcPr>
            <w:tcW w:type="dxa" w:w="379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HTTP endpoints only; no business logic</w:t>
            </w:r>
          </w:p>
        </w:tc>
      </w:tr>
      <w:tr>
        <w:trPr>
          <w:cantSplit/>
          <w:tblHeader w:val="false"/>
        </w:trPr>
        <w:tc>
          <w:tcPr>
            <w:tcW w:type="dxa" w:w="187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Business logic (services)</w:t>
            </w:r>
          </w:p>
        </w:tc>
        <w:tc>
          <w:tcPr>
            <w:tcW w:type="dxa" w:w="408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services/risk_model, explanations, analytics, users, demo_data, reports</w:t>
            </w:r>
          </w:p>
        </w:tc>
        <w:tc>
          <w:tcPr>
            <w:tcW w:type="dxa" w:w="379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Scoring, explanations, summaries, accounts</w:t>
            </w:r>
          </w:p>
        </w:tc>
      </w:tr>
      <w:tr>
        <w:trPr>
          <w:cantSplit/>
          <w:tblHeader w:val="false"/>
        </w:trPr>
        <w:tc>
          <w:tcPr>
            <w:tcW w:type="dxa" w:w="187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Cross-cutting</w:t>
            </w:r>
          </w:p>
        </w:tc>
        <w:tc>
          <w:tcPr>
            <w:tcW w:type="dxa" w:w="408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auth.py, dependencies.py, schemas.py</w:t>
            </w:r>
          </w:p>
        </w:tc>
        <w:tc>
          <w:tcPr>
            <w:tcW w:type="dxa" w:w="379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Passwords, tokens, role scope; sign-in checks; input models</w:t>
            </w:r>
          </w:p>
        </w:tc>
      </w:tr>
      <w:tr>
        <w:trPr>
          <w:cantSplit/>
          <w:tblHeader w:val="false"/>
        </w:trPr>
        <w:tc>
          <w:tcPr>
            <w:tcW w:type="dxa" w:w="187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Frontend</w:t>
            </w:r>
          </w:p>
        </w:tc>
        <w:tc>
          <w:tcPr>
            <w:tcW w:type="dxa" w:w="408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pages/*.jsx, components/ (Field, Select, Button, Charts), api.js</w:t>
            </w:r>
          </w:p>
        </w:tc>
        <w:tc>
          <w:tcPr>
            <w:tcW w:type="dxa" w:w="379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One page per screen; reusable form and chart components</w:t>
            </w:r>
          </w:p>
        </w:tc>
      </w:tr>
    </w:tbl>
    <w:p>
      <w:pPr>
        <w:spacing w:after="60"/>
      </w:pPr>
    </w:p>
    <w:p>
      <w:pPr>
        <w:spacing w:after="80" w:before="0"/>
        <w:jc w:val="both"/>
      </w:pPr>
      <w:r>
        <w:rPr>
          <w:rFonts w:ascii="Times New Roman" w:cs="Times New Roman" w:eastAsia="Times New Roman" w:hAnsi="Times New Roman"/>
          <w:b/>
          <w:bCs/>
          <w:sz w:val="20"/>
          <w:szCs w:val="20"/>
        </w:rPr>
        <w:t xml:space="preserve">OOP principles.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Encapsulation:</w:t>
      </w:r>
      <w:r>
        <w:rPr>
          <w:rFonts w:ascii="Times New Roman" w:cs="Times New Roman" w:eastAsia="Times New Roman" w:hAnsi="Times New Roman"/>
          <w:sz w:val="20"/>
          <w:szCs w:val="20"/>
        </w:rPr>
        <w:t xml:space="preserve"> the </w:t>
      </w:r>
      <w:r>
        <w:rPr>
          <w:rFonts w:ascii="Courier New" w:cs="Courier New" w:eastAsia="Courier New" w:hAnsi="Courier New"/>
          <w:sz w:val="20"/>
          <w:szCs w:val="20"/>
        </w:rPr>
        <w:t xml:space="preserve">RiskModel</w:t>
      </w:r>
      <w:r>
        <w:rPr>
          <w:rFonts w:ascii="Times New Roman" w:cs="Times New Roman" w:eastAsia="Times New Roman" w:hAnsi="Times New Roman"/>
          <w:sz w:val="20"/>
          <w:szCs w:val="20"/>
        </w:rPr>
        <w:t xml:space="preserve"> class owns the trained pipeline, calibration, thresholds and scored shipments, and exposes only </w:t>
      </w:r>
      <w:r>
        <w:rPr>
          <w:rFonts w:ascii="Courier New" w:cs="Courier New" w:eastAsia="Courier New" w:hAnsi="Courier New"/>
          <w:sz w:val="20"/>
          <w:szCs w:val="20"/>
        </w:rPr>
        <w:t xml:space="preserve">predict_proba, calibrate, band_for, explain, scored_shipments</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LoginLimiter</w:t>
      </w:r>
      <w:r>
        <w:rPr>
          <w:rFonts w:ascii="Times New Roman" w:cs="Times New Roman" w:eastAsia="Times New Roman" w:hAnsi="Times New Roman"/>
          <w:sz w:val="20"/>
          <w:szCs w:val="20"/>
        </w:rPr>
        <w:t xml:space="preserve"> hides its failure log. </w:t>
      </w:r>
      <w:r>
        <w:rPr>
          <w:rFonts w:ascii="Times New Roman" w:cs="Times New Roman" w:eastAsia="Times New Roman" w:hAnsi="Times New Roman"/>
          <w:i/>
          <w:iCs/>
          <w:sz w:val="20"/>
          <w:szCs w:val="20"/>
        </w:rPr>
        <w:t xml:space="preserve">Abstraction and separation of concerns:</w:t>
      </w:r>
      <w:r>
        <w:rPr>
          <w:rFonts w:ascii="Times New Roman" w:cs="Times New Roman" w:eastAsia="Times New Roman" w:hAnsi="Times New Roman"/>
          <w:sz w:val="20"/>
          <w:szCs w:val="20"/>
        </w:rPr>
        <w:t xml:space="preserve"> routers call services and never touch the model or the database schema directly. </w:t>
      </w:r>
      <w:r>
        <w:rPr>
          <w:rFonts w:ascii="Times New Roman" w:cs="Times New Roman" w:eastAsia="Times New Roman" w:hAnsi="Times New Roman"/>
          <w:i/>
          <w:iCs/>
          <w:sz w:val="20"/>
          <w:szCs w:val="20"/>
        </w:rPr>
        <w:t xml:space="preserve">Modularity and reuse:</w:t>
      </w:r>
      <w:r>
        <w:rPr>
          <w:rFonts w:ascii="Times New Roman" w:cs="Times New Roman" w:eastAsia="Times New Roman" w:hAnsi="Times New Roman"/>
          <w:sz w:val="20"/>
          <w:szCs w:val="20"/>
        </w:rPr>
        <w:t xml:space="preserve"> pure functions (explanations, scope checks) have no framework dependency, so they are unit tested alone; FastAPI dependency injection (</w:t>
      </w:r>
      <w:r>
        <w:rPr>
          <w:rFonts w:ascii="Courier New" w:cs="Courier New" w:eastAsia="Courier New" w:hAnsi="Courier New"/>
          <w:sz w:val="20"/>
          <w:szCs w:val="20"/>
        </w:rPr>
        <w:t xml:space="preserve">current_user, admin_only, manager_only</w:t>
      </w:r>
      <w:r>
        <w:rPr>
          <w:rFonts w:ascii="Times New Roman" w:cs="Times New Roman" w:eastAsia="Times New Roman" w:hAnsi="Times New Roman"/>
          <w:sz w:val="20"/>
          <w:szCs w:val="20"/>
        </w:rPr>
        <w:t xml:space="preserve">) reuses one access check across all routes. Inheritance and polymorphism are used lightly (pydantic models; the explainer switches between SHAP and coefficients depending on the model type). Naming is consistent, and the README documents the structure.</w:t>
      </w:r>
    </w:p>
    <w:p>
      <w:pPr>
        <w:pStyle w:val="Heading1"/>
        <w:spacing w:after="60" w:before="160"/>
      </w:pPr>
      <w:r>
        <w:rPr>
          <w:rFonts w:ascii="Arial" w:cs="Arial" w:eastAsia="Arial" w:hAnsi="Arial"/>
          <w:b/>
          <w:bCs/>
          <w:color w:val="064E3B"/>
          <w:sz w:val="24"/>
          <w:szCs w:val="24"/>
        </w:rPr>
        <w:t xml:space="preserve">4. Testing, validation and results</w:t>
      </w:r>
    </w:p>
    <w:p>
      <w:pPr>
        <w:spacing w:after="80" w:before="0"/>
        <w:jc w:val="both"/>
      </w:pPr>
      <w:r>
        <w:rPr>
          <w:rFonts w:ascii="Times New Roman" w:cs="Times New Roman" w:eastAsia="Times New Roman" w:hAnsi="Times New Roman"/>
          <w:sz w:val="20"/>
          <w:szCs w:val="20"/>
        </w:rPr>
        <w:t xml:space="preserve">Four strategies were used. Each was chosen to match a risk: wrong logic (unit), broken interactions or access leaks (integration), slow responses (performance) and poor usability (SUS).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474"/>
        <w:gridCol w:w="1928"/>
        <w:gridCol w:w="3345"/>
        <w:gridCol w:w="3005"/>
      </w:tblGrid>
      <w:tr>
        <w:trPr>
          <w:cantSplit/>
          <w:tblHeader/>
        </w:trPr>
        <w:tc>
          <w:tcPr>
            <w:tcW w:type="dxa" w:w="1474"/>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Strategy</w:t>
            </w:r>
          </w:p>
        </w:tc>
        <w:tc>
          <w:tcPr>
            <w:tcW w:type="dxa" w:w="1928"/>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Why chosen</w:t>
            </w:r>
          </w:p>
        </w:tc>
        <w:tc>
          <w:tcPr>
            <w:tcW w:type="dxa" w:w="3345"/>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How conducted</w:t>
            </w:r>
          </w:p>
        </w:tc>
        <w:tc>
          <w:tcPr>
            <w:tcW w:type="dxa" w:w="3005"/>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Result and improvement</w:t>
            </w:r>
          </w:p>
        </w:tc>
      </w:tr>
      <w:tr>
        <w:trPr>
          <w:cantSplit/>
          <w:tblHeader w:val="false"/>
        </w:trPr>
        <w:tc>
          <w:tcPr>
            <w:tcW w:type="dxa" w:w="147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Unit tests</w:t>
            </w:r>
          </w:p>
        </w:tc>
        <w:tc>
          <w:tcPr>
            <w:tcW w:type="dxa" w:w="192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Check security and scoring logic in isolation</w:t>
            </w:r>
          </w:p>
        </w:tc>
        <w:tc>
          <w:tcPr>
            <w:tcW w:type="dxa" w:w="334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28 unittest cases in tests/: password hashing, token tampering and expiry, role scoping, login lock-out, calibration cap and floor, risk bands, explanation wording</w:t>
            </w:r>
          </w:p>
        </w:tc>
        <w:tc>
          <w:tcPr>
            <w:tcW w:type="dxa" w:w="300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28 of 28 pass. They run in under 1 second, so they can be repeated after every change.</w:t>
            </w:r>
          </w:p>
        </w:tc>
      </w:tr>
      <w:tr>
        <w:trPr>
          <w:cantSplit/>
          <w:tblHeader w:val="false"/>
        </w:trPr>
        <w:tc>
          <w:tcPr>
            <w:tcW w:type="dxa" w:w="147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Integration / functional (API)</w:t>
            </w:r>
          </w:p>
        </w:tc>
        <w:tc>
          <w:tcPr>
            <w:tcW w:type="dxa" w:w="192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Verify the layers work together, including errors and role limits</w:t>
            </w:r>
          </w:p>
        </w:tc>
        <w:tc>
          <w:tcPr>
            <w:tcW w:type="dxa" w:w="334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scripts/smoke_test.py runs 35 checks against the live server: sign-in, prediction, batch, shipments, reports, dashboard, analytics, demo tools, scoping</w:t>
            </w:r>
          </w:p>
        </w:tc>
        <w:tc>
          <w:tcPr>
            <w:tcW w:type="dxa" w:w="300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35 of 35 pass, before and after the module refactor. Testing the refactored code exposed a crash in the model-missing fallback, which was fixed.</w:t>
            </w:r>
          </w:p>
        </w:tc>
      </w:tr>
      <w:tr>
        <w:trPr>
          <w:cantSplit/>
          <w:tblHeader w:val="false"/>
        </w:trPr>
        <w:tc>
          <w:tcPr>
            <w:tcW w:type="dxa" w:w="147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Performance and stress</w:t>
            </w:r>
          </w:p>
        </w:tc>
        <w:tc>
          <w:tcPr>
            <w:tcW w:type="dxa" w:w="192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NFR1 requires a prediction in under 2 seconds on a laptop</w:t>
            </w:r>
          </w:p>
        </w:tc>
        <w:tc>
          <w:tcPr>
            <w:tcW w:type="dxa" w:w="334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scripts/perf_test.py: 30 requests per endpoint, then 20 parallel users sending 200 predictions</w:t>
            </w:r>
          </w:p>
        </w:tc>
        <w:tc>
          <w:tcPr>
            <w:tcW w:type="dxa" w:w="300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See the table in section 5; zero errors in 200 requests.</w:t>
            </w:r>
          </w:p>
        </w:tc>
      </w:tr>
      <w:tr>
        <w:trPr>
          <w:cantSplit/>
          <w:tblHeader w:val="false"/>
        </w:trPr>
        <w:tc>
          <w:tcPr>
            <w:tcW w:type="dxa" w:w="147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Usability (SUS)</w:t>
            </w:r>
          </w:p>
        </w:tc>
        <w:tc>
          <w:tcPr>
            <w:tcW w:type="dxa" w:w="192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Judge ease of use with real users</w:t>
            </w:r>
          </w:p>
        </w:tc>
        <w:tc>
          <w:tcPr>
            <w:tcW w:type="dxa" w:w="334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3 tasks and the 10-item SUS, anonymous, per the ethics-approved instrument</w:t>
            </w:r>
          </w:p>
        </w:tc>
        <w:tc>
          <w:tcPr>
            <w:tcW w:type="dxa" w:w="3005"/>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No participants have completed the SUS yet (n = 0), so no score is reported; this is a limitation and the next testing step (benchmark 68).</w:t>
            </w:r>
          </w:p>
        </w:tc>
      </w:tr>
    </w:tbl>
    <w:p>
      <w:pPr>
        <w:spacing w:after="60"/>
      </w:pPr>
    </w:p>
    <w:p>
      <w:pPr>
        <w:spacing w:after="80" w:before="0"/>
        <w:jc w:val="both"/>
      </w:pPr>
      <w:r>
        <w:rPr>
          <w:rFonts w:ascii="Times New Roman" w:cs="Times New Roman" w:eastAsia="Times New Roman" w:hAnsi="Times New Roman"/>
          <w:b/>
          <w:bCs/>
          <w:sz w:val="20"/>
          <w:szCs w:val="20"/>
        </w:rPr>
        <w:t xml:space="preserve">Testing with different inputs.</w:t>
      </w:r>
      <w:r>
        <w:rPr>
          <w:rFonts w:ascii="Times New Roman" w:cs="Times New Roman" w:eastAsia="Times New Roman" w:hAnsi="Times New Roman"/>
          <w:sz w:val="20"/>
          <w:szCs w:val="20"/>
        </w:rPr>
        <w:t xml:space="preserve"> The system returns clear responses to invalid and unauthorised inputs: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969"/>
        <w:gridCol w:w="3402"/>
        <w:gridCol w:w="2381"/>
      </w:tblGrid>
      <w:tr>
        <w:trPr>
          <w:cantSplit/>
          <w:tblHeader/>
        </w:trPr>
        <w:tc>
          <w:tcPr>
            <w:tcW w:type="dxa" w:w="3969"/>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Input</w:t>
            </w:r>
          </w:p>
        </w:tc>
        <w:tc>
          <w:tcPr>
            <w:tcW w:type="dxa" w:w="3402"/>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Expected behaviour</w:t>
            </w:r>
          </w:p>
        </w:tc>
        <w:tc>
          <w:tcPr>
            <w:tcW w:type="dxa" w:w="2381"/>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Observed</w:t>
            </w:r>
          </w:p>
        </w:tc>
      </w:tr>
      <w:tr>
        <w:trPr>
          <w:cantSplit/>
          <w:tblHeader w:val="false"/>
        </w:trPr>
        <w:tc>
          <w:tcPr>
            <w:tcW w:type="dxa" w:w="396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Wrong password; unapproved account</w:t>
            </w:r>
          </w:p>
        </w:tc>
        <w:tc>
          <w:tcPr>
            <w:tcW w:type="dxa" w:w="340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401; "waiting for approval" (403)</w:t>
            </w:r>
          </w:p>
        </w:tc>
        <w:tc>
          <w:tcPr>
            <w:tcW w:type="dxa" w:w="238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As expected</w:t>
            </w:r>
          </w:p>
        </w:tc>
      </w:tr>
      <w:tr>
        <w:trPr>
          <w:cantSplit/>
          <w:tblHeader w:val="false"/>
        </w:trPr>
        <w:tc>
          <w:tcPr>
            <w:tcW w:type="dxa" w:w="396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Request without sign-in</w:t>
            </w:r>
          </w:p>
        </w:tc>
        <w:tc>
          <w:tcPr>
            <w:tcW w:type="dxa" w:w="340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401 on every data endpoint</w:t>
            </w:r>
          </w:p>
        </w:tc>
        <w:tc>
          <w:tcPr>
            <w:tcW w:type="dxa" w:w="238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As expected</w:t>
            </w:r>
          </w:p>
        </w:tc>
      </w:tr>
      <w:tr>
        <w:trPr>
          <w:cantSplit/>
          <w:tblHeader w:val="false"/>
        </w:trPr>
        <w:tc>
          <w:tcPr>
            <w:tcW w:type="dxa" w:w="396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District officer asks for another country (predict, shipments, reports)</w:t>
            </w:r>
          </w:p>
        </w:tc>
        <w:tc>
          <w:tcPr>
            <w:tcW w:type="dxa" w:w="340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403 or filtered out</w:t>
            </w:r>
          </w:p>
        </w:tc>
        <w:tc>
          <w:tcPr>
            <w:tcW w:type="dxa" w:w="238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As expected</w:t>
            </w:r>
          </w:p>
        </w:tc>
      </w:tr>
      <w:tr>
        <w:trPr>
          <w:cantSplit/>
          <w:tblHeader w:val="false"/>
        </w:trPr>
        <w:tc>
          <w:tcPr>
            <w:tcW w:type="dxa" w:w="396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Non-admin calls demo tools or the user list</w:t>
            </w:r>
          </w:p>
        </w:tc>
        <w:tc>
          <w:tcPr>
            <w:tcW w:type="dxa" w:w="340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403</w:t>
            </w:r>
          </w:p>
        </w:tc>
        <w:tc>
          <w:tcPr>
            <w:tcW w:type="dxa" w:w="238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As expected</w:t>
            </w:r>
          </w:p>
        </w:tc>
      </w:tr>
      <w:tr>
        <w:trPr>
          <w:cantSplit/>
          <w:tblHeader w:val="false"/>
        </w:trPr>
        <w:tc>
          <w:tcPr>
            <w:tcW w:type="dxa" w:w="396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Unknown country, product or delay reason; survey with 3 answers</w:t>
            </w:r>
          </w:p>
        </w:tc>
        <w:tc>
          <w:tcPr>
            <w:tcW w:type="dxa" w:w="340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422 with a message</w:t>
            </w:r>
          </w:p>
        </w:tc>
        <w:tc>
          <w:tcPr>
            <w:tcW w:type="dxa" w:w="238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As expected</w:t>
            </w:r>
          </w:p>
        </w:tc>
      </w:tr>
      <w:tr>
        <w:trPr>
          <w:cantSplit/>
          <w:tblHeader w:val="false"/>
        </w:trPr>
        <w:tc>
          <w:tcPr>
            <w:tcW w:type="dxa" w:w="396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Restock a report twice; delete a missing report</w:t>
            </w:r>
          </w:p>
        </w:tc>
        <w:tc>
          <w:tcPr>
            <w:tcW w:type="dxa" w:w="340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400; 404</w:t>
            </w:r>
          </w:p>
        </w:tc>
        <w:tc>
          <w:tcPr>
            <w:tcW w:type="dxa" w:w="238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As expected</w:t>
            </w:r>
          </w:p>
        </w:tc>
      </w:tr>
      <w:tr>
        <w:trPr>
          <w:cantSplit/>
          <w:tblHeader w:val="false"/>
        </w:trPr>
        <w:tc>
          <w:tcPr>
            <w:tcW w:type="dxa" w:w="3969"/>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Model file missing</w:t>
            </w:r>
          </w:p>
        </w:tc>
        <w:tc>
          <w:tcPr>
            <w:tcW w:type="dxa" w:w="340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Labelled heuristic estimate, no crash</w:t>
            </w:r>
          </w:p>
        </w:tc>
        <w:tc>
          <w:tcPr>
            <w:tcW w:type="dxa" w:w="2381"/>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Works (unit-tested fallback)</w:t>
            </w:r>
          </w:p>
        </w:tc>
      </w:tr>
    </w:tbl>
    <w:p>
      <w:pPr>
        <w:pStyle w:val="Heading1"/>
        <w:spacing w:after="60" w:before="160"/>
      </w:pPr>
      <w:r>
        <w:rPr>
          <w:rFonts w:ascii="Arial" w:cs="Arial" w:eastAsia="Arial" w:hAnsi="Arial"/>
          <w:b/>
          <w:bCs/>
          <w:color w:val="064E3B"/>
          <w:sz w:val="24"/>
          <w:szCs w:val="24"/>
        </w:rPr>
        <w:t xml:space="preserve">5. Performance and compatibility</w:t>
      </w:r>
    </w:p>
    <w:p>
      <w:pPr>
        <w:spacing w:after="80" w:before="0"/>
        <w:jc w:val="both"/>
      </w:pPr>
      <w:r>
        <w:rPr>
          <w:rFonts w:ascii="Times New Roman" w:cs="Times New Roman" w:eastAsia="Times New Roman" w:hAnsi="Times New Roman"/>
          <w:b/>
          <w:bCs/>
          <w:sz w:val="20"/>
          <w:szCs w:val="20"/>
        </w:rPr>
        <w:t xml:space="preserve">Environment tested:</w:t>
      </w:r>
      <w:r>
        <w:rPr>
          <w:rFonts w:ascii="Times New Roman" w:cs="Times New Roman" w:eastAsia="Times New Roman" w:hAnsi="Times New Roman"/>
          <w:sz w:val="20"/>
          <w:szCs w:val="20"/>
        </w:rPr>
        <w:t xml:space="preserve"> Apple Silicon Mac (arm64), macOS 26.1, Python 3.9.6, CPU only (no GPU). Latency was measured against the running server on the same machine.</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4082"/>
        <w:gridCol w:w="1304"/>
        <w:gridCol w:w="1304"/>
        <w:gridCol w:w="1304"/>
        <w:gridCol w:w="1758"/>
      </w:tblGrid>
      <w:tr>
        <w:trPr>
          <w:cantSplit/>
          <w:tblHeader/>
        </w:trPr>
        <w:tc>
          <w:tcPr>
            <w:tcW w:type="dxa" w:w="4082"/>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Endpoint (30 requests each)</w:t>
            </w:r>
          </w:p>
        </w:tc>
        <w:tc>
          <w:tcPr>
            <w:tcW w:type="dxa" w:w="1304"/>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Mean</w:t>
            </w:r>
          </w:p>
        </w:tc>
        <w:tc>
          <w:tcPr>
            <w:tcW w:type="dxa" w:w="1304"/>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Median</w:t>
            </w:r>
          </w:p>
        </w:tc>
        <w:tc>
          <w:tcPr>
            <w:tcW w:type="dxa" w:w="1304"/>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p95</w:t>
            </w:r>
          </w:p>
        </w:tc>
        <w:tc>
          <w:tcPr>
            <w:tcW w:type="dxa" w:w="1758"/>
            <w:tcBorders>
              <w:top w:val="single" w:color="9AA5A4" w:sz="4"/>
              <w:left w:val="single" w:color="9AA5A4" w:sz="4"/>
              <w:bottom w:val="single" w:color="9AA5A4" w:sz="4"/>
              <w:right w:val="single" w:color="9AA5A4" w:sz="4"/>
            </w:tcBorders>
            <w:shd w:fill="D1FAE5" w:color="auto" w:val="clear"/>
            <w:tcMar>
              <w:top w:type="dxa" w:w="30"/>
              <w:left w:type="dxa" w:w="70"/>
              <w:bottom w:type="dxa" w:w="30"/>
              <w:right w:type="dxa" w:w="70"/>
            </w:tcMar>
          </w:tcPr>
          <w:p>
            <w:r>
              <w:rPr>
                <w:rFonts w:ascii="Times New Roman" w:cs="Times New Roman" w:eastAsia="Times New Roman" w:hAnsi="Times New Roman"/>
                <w:b/>
                <w:bCs/>
                <w:sz w:val="17"/>
                <w:szCs w:val="17"/>
              </w:rPr>
              <w:t xml:space="preserve">Max</w:t>
            </w:r>
          </w:p>
        </w:tc>
      </w:tr>
      <w:tr>
        <w:trPr>
          <w:cantSplit/>
          <w:tblHeader w:val="false"/>
        </w:trPr>
        <w:tc>
          <w:tcPr>
            <w:tcW w:type="dxa" w:w="408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GET /api/health</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0.5 ms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0.5 ms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0.7 ms</w:t>
            </w:r>
          </w:p>
        </w:tc>
        <w:tc>
          <w:tcPr>
            <w:tcW w:type="dxa" w:w="175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0.7 ms</w:t>
            </w:r>
          </w:p>
        </w:tc>
      </w:tr>
      <w:tr>
        <w:trPr>
          <w:cantSplit/>
          <w:tblHeader w:val="false"/>
        </w:trPr>
        <w:tc>
          <w:tcPr>
            <w:tcW w:type="dxa" w:w="408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POST /api/predict (with SHAP explanation)</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5.8 ms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4.7 ms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10.6 ms</w:t>
            </w:r>
          </w:p>
        </w:tc>
        <w:tc>
          <w:tcPr>
            <w:tcW w:type="dxa" w:w="175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18.1 ms</w:t>
            </w:r>
          </w:p>
        </w:tc>
      </w:tr>
      <w:tr>
        <w:trPr>
          <w:cantSplit/>
          <w:tblHeader w:val="false"/>
        </w:trPr>
        <w:tc>
          <w:tcPr>
            <w:tcW w:type="dxa" w:w="408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GET /api/shipments (ranked)</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3.8 ms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3.4 ms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4.1 ms</w:t>
            </w:r>
          </w:p>
        </w:tc>
        <w:tc>
          <w:tcPr>
            <w:tcW w:type="dxa" w:w="175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9.3 ms</w:t>
            </w:r>
          </w:p>
        </w:tc>
      </w:tr>
      <w:tr>
        <w:trPr>
          <w:cantSplit/>
          <w:tblHeader w:val="false"/>
        </w:trPr>
        <w:tc>
          <w:tcPr>
            <w:tcW w:type="dxa" w:w="408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GET /api/dashboard</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2.5 ms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2.4 ms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3.0 ms</w:t>
            </w:r>
          </w:p>
        </w:tc>
        <w:tc>
          <w:tcPr>
            <w:tcW w:type="dxa" w:w="175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3.4 ms</w:t>
            </w:r>
          </w:p>
        </w:tc>
      </w:tr>
      <w:tr>
        <w:trPr>
          <w:cantSplit/>
          <w:tblHeader w:val="false"/>
        </w:trPr>
        <w:tc>
          <w:tcPr>
            <w:tcW w:type="dxa" w:w="408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GET /api/analytics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2.6 ms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2.5 ms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3.1 ms</w:t>
            </w:r>
          </w:p>
        </w:tc>
        <w:tc>
          <w:tcPr>
            <w:tcW w:type="dxa" w:w="175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3.5 ms</w:t>
            </w:r>
          </w:p>
        </w:tc>
      </w:tr>
      <w:tr>
        <w:trPr>
          <w:cantSplit/>
          <w:tblHeader w:val="false"/>
        </w:trPr>
        <w:tc>
          <w:tcPr>
            <w:tcW w:type="dxa" w:w="4082"/>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Stress: 200 predictions, 20 parallel users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86.4 ms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81.0 ms</w:t>
            </w:r>
          </w:p>
        </w:tc>
        <w:tc>
          <w:tcPr>
            <w:tcW w:type="dxa" w:w="1304"/>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148.2 ms</w:t>
            </w:r>
          </w:p>
        </w:tc>
        <w:tc>
          <w:tcPr>
            <w:tcW w:type="dxa" w:w="1758"/>
            <w:tcBorders>
              <w:top w:val="single" w:color="9AA5A4" w:sz="4"/>
              <w:left w:val="single" w:color="9AA5A4" w:sz="4"/>
              <w:bottom w:val="single" w:color="9AA5A4" w:sz="4"/>
              <w:right w:val="single" w:color="9AA5A4" w:sz="4"/>
            </w:tcBorders>
            <w:tcMar>
              <w:top w:type="dxa" w:w="30"/>
              <w:left w:type="dxa" w:w="70"/>
              <w:bottom w:type="dxa" w:w="30"/>
              <w:right w:type="dxa" w:w="70"/>
            </w:tcMar>
          </w:tcPr>
          <w:p>
            <w:r>
              <w:rPr>
                <w:rFonts w:ascii="Times New Roman" w:cs="Times New Roman" w:eastAsia="Times New Roman" w:hAnsi="Times New Roman"/>
                <w:sz w:val="17"/>
                <w:szCs w:val="17"/>
              </w:rPr>
              <w:t xml:space="preserve">219.7 ms</w:t>
            </w:r>
          </w:p>
        </w:tc>
      </w:tr>
    </w:tbl>
    <w:p>
      <w:pPr>
        <w:spacing w:after="60"/>
      </w:pPr>
    </w:p>
    <w:p>
      <w:pPr>
        <w:spacing w:after="80" w:before="0"/>
        <w:jc w:val="both"/>
      </w:pPr>
      <w:r>
        <w:rPr>
          <w:rFonts w:ascii="Times New Roman" w:cs="Times New Roman" w:eastAsia="Times New Roman" w:hAnsi="Times New Roman"/>
          <w:sz w:val="20"/>
          <w:szCs w:val="20"/>
        </w:rPr>
        <w:t xml:space="preserve">The stress run completed at 227 requests per second with no errors, and the slowest single prediction (6 ms) is far below the 2-second requirement. </w:t>
      </w:r>
      <w:r>
        <w:rPr>
          <w:rFonts w:ascii="Times New Roman" w:cs="Times New Roman" w:eastAsia="Times New Roman" w:hAnsi="Times New Roman"/>
          <w:b/>
          <w:bCs/>
          <w:sz w:val="20"/>
          <w:szCs w:val="20"/>
        </w:rPr>
        <w:t xml:space="preserve">Browsers and devices:</w:t>
      </w:r>
      <w:r>
        <w:rPr>
          <w:rFonts w:ascii="Times New Roman" w:cs="Times New Roman" w:eastAsia="Times New Roman" w:hAnsi="Times New Roman"/>
          <w:sz w:val="20"/>
          <w:szCs w:val="20"/>
        </w:rPr>
        <w:t xml:space="preserve"> Google Chrome 156.0.8078.73 and Safari 26.1 on an Apple Silicon Mac (macOS); Predict, Dashboard and a narrow phone-width window were checked in both, with no errors. The interface uses responsive Tailwind layouts: the tab bar scrolls sideways on narrow screens and tables scroll inside their cards. Low-end hardware was not tested; the model is a small tree ensemble that needs no GPU.</w:t>
      </w:r>
    </w:p>
    <w:p>
      <w:pPr>
        <w:pStyle w:val="Heading1"/>
        <w:spacing w:after="60" w:before="160"/>
      </w:pPr>
      <w:r>
        <w:rPr>
          <w:rFonts w:ascii="Arial" w:cs="Arial" w:eastAsia="Arial" w:hAnsi="Arial"/>
          <w:b/>
          <w:bCs/>
          <w:color w:val="064E3B"/>
          <w:sz w:val="24"/>
          <w:szCs w:val="24"/>
        </w:rPr>
        <w:t xml:space="preserve">6. Limitations and next steps</w:t>
      </w:r>
    </w:p>
    <w:p>
      <w:pPr>
        <w:spacing w:after="80" w:before="0"/>
        <w:jc w:val="both"/>
      </w:pPr>
      <w:r>
        <w:rPr>
          <w:rFonts w:ascii="Times New Roman" w:cs="Times New Roman" w:eastAsia="Times New Roman" w:hAnsi="Times New Roman"/>
          <w:sz w:val="20"/>
          <w:szCs w:val="20"/>
        </w:rPr>
        <w:t xml:space="preserve">Results rest on 82 late test shipments from 2006-2015, so they are a proof of concept. The machine-learning models do not clearly beat the vendor rule. Districts inherit country risk because the data have no district field. Shortage reports in the demo are simulated and labelled. Next steps are a pilot with real facility reports, cloud deployment, password reset and email verification, and retraining on recent shipment data.</w:t>
      </w:r>
    </w:p>
    <w:sectPr>
      <w:footerReference w:type="default" r:id="rId7"/>
      <w:pgSz w:w="11906" w:h="16838" w:orient="portrait"/>
      <w:pgMar w:top="900" w:right="1077" w:bottom="90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PulseChain technical report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82040a432c7f84174a1ee008117bafa26f1be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PulseChain Technical Report</dc:title>
  <dc:creator>INEZA Bella Melissa</dc:creator>
  <cp:lastModifiedBy>Un-named</cp:lastModifiedBy>
  <cp:revision>1</cp:revision>
  <dcterms:created xsi:type="dcterms:W3CDTF">2026-10-29T13:45:40.259Z</dcterms:created>
  <dcterms:modified xsi:type="dcterms:W3CDTF">2026-10-29T13:45:40.260Z</dcterms:modified>
</cp:coreProperties>
</file>

<file path=docProps/custom.xml><?xml version="1.0" encoding="utf-8"?>
<Properties xmlns="http://schemas.openxmlformats.org/officeDocument/2006/custom-properties" xmlns:vt="http://schemas.openxmlformats.org/officeDocument/2006/docPropsVTypes"/>
</file>