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Blind Spots in the Mirror: A Theoretical Framework for Benchmarking</w:t>
      </w:r>
    </w:p>
    <w:p>
      <w:pPr>
        <w:spacing w:line="480" w:before="0" w:after="0"/>
        <w:jc w:val="center"/>
      </w:pPr>
      <w:r>
        <w:rPr>
          <w:rFonts w:ascii="Times New Roman" w:cs="Times New Roman" w:eastAsia="Times New Roman" w:hAnsi="Times New Roman"/>
          <w:b/>
          <w:bCs/>
          <w:sz w:val="24"/>
          <w:szCs w:val="24"/>
        </w:rPr>
        <w:t xml:space="preserve">Metacognitive Abilities in Large Language Models</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sz w:val="24"/>
          <w:szCs w:val="24"/>
        </w:rPr>
        <w:t xml:space="preserve">[Author Name]</w:t>
      </w:r>
    </w:p>
    <w:p>
      <w:pPr>
        <w:spacing w:line="480" w:before="0" w:after="0"/>
        <w:jc w:val="center"/>
      </w:pPr>
      <w:r>
        <w:rPr>
          <w:rFonts w:ascii="Times New Roman" w:cs="Times New Roman" w:eastAsia="Times New Roman" w:hAnsi="Times New Roman"/>
          <w:sz w:val="24"/>
          <w:szCs w:val="24"/>
        </w:rPr>
        <w:t xml:space="preserve">[Institutional Affiliation]</w:t>
      </w:r>
    </w:p>
    <w:p>
      <w:pPr>
        <w:spacing w:line="480" w:before="0" w:after="0"/>
        <w:jc w:val="center"/>
      </w:pPr>
      <w:r>
        <w:rPr>
          <w:rFonts w:ascii="Times New Roman" w:cs="Times New Roman" w:eastAsia="Times New Roman" w:hAnsi="Times New Roman"/>
          <w:sz w:val="24"/>
          <w:szCs w:val="24"/>
        </w:rPr>
        <w:t xml:space="preserve">[Department]</w:t>
      </w:r>
    </w:p>
    <w:p>
      <w:pPr>
        <w:spacing w:line="480" w:before="0" w:after="0"/>
        <w:jc w:val="center"/>
      </w:pPr>
      <w:r>
        <w:rPr>
          <w:rFonts w:ascii="Times New Roman" w:cs="Times New Roman" w:eastAsia="Times New Roman" w:hAnsi="Times New Roman"/>
          <w:sz w:val="24"/>
          <w:szCs w:val="24"/>
        </w:rPr>
        <w:t xml:space="preserve">[Course/Submission Context]</w:t>
      </w:r>
    </w:p>
    <w:p>
      <w:pPr>
        <w:spacing w:line="480" w:before="0" w:after="0"/>
        <w:jc w:val="center"/>
      </w:pPr>
      <w:r>
        <w:rPr>
          <w:rFonts w:ascii="Times New Roman" w:cs="Times New Roman" w:eastAsia="Times New Roman" w:hAnsi="Times New Roman"/>
          <w:sz w:val="24"/>
          <w:szCs w:val="24"/>
        </w:rPr>
        <w:t xml:space="preserve">March 21, 2026</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sz w:val="24"/>
          <w:szCs w:val="24"/>
        </w:rPr>
        <w:t xml:space="preserve">Author Note</w:t>
      </w:r>
    </w:p>
    <w:p>
      <w:pPr>
        <w:spacing w:line="480" w:before="0" w:after="0"/>
        <w:ind w:firstLine="720"/>
        <w:jc w:val="both"/>
      </w:pPr>
      <w:r>
        <w:rPr>
          <w:rFonts w:ascii="Times New Roman" w:cs="Times New Roman" w:eastAsia="Times New Roman" w:hAnsi="Times New Roman"/>
          <w:sz w:val="24"/>
          <w:szCs w:val="24"/>
        </w:rPr>
        <w:t xml:space="preserve">This paper was prepared as a theoretical foundation for a benchmark submission to the Google DeepMind &amp; Kaggle Hackathon: Measuring Progress Toward AGI — Cognitive Abilities (2026), Metacognition Track. The author declares no conflicts of interest.</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sz w:val="24"/>
          <w:szCs w:val="24"/>
        </w:rPr>
        <w:t xml:space="preserve">Correspondence concerning this article should be addressed to [Author Name].</w:t>
      </w:r>
    </w:p>
    <w:p>
      <w:pPr>
        <w:spacing w:line="480" w:before="0" w:after="0"/>
        <w:jc w:val="center"/>
      </w:pPr>
      <w:r>
        <w:rPr>
          <w:rFonts w:ascii="Times New Roman" w:cs="Times New Roman" w:eastAsia="Times New Roman" w:hAnsi="Times New Roman"/>
          <w:sz w:val="24"/>
          <w:szCs w:val="24"/>
        </w:rPr>
        <w:t xml:space="preserve">Email: [email address]</w:t>
      </w:r>
    </w:p>
    <w:p>
      <w:pPr>
        <w:pageBreakBefore/>
      </w:pPr>
      <w:r>
        <w:br/>
        <w:t xml:space="preserve"/>
      </w:r>
    </w:p>
    <w:p>
      <w:pPr>
        <w:spacing w:line="480" w:before="0" w:after="0"/>
        <w:jc w:val="center"/>
      </w:pPr>
      <w:r>
        <w:rPr>
          <w:rFonts w:ascii="Times New Roman" w:cs="Times New Roman" w:eastAsia="Times New Roman" w:hAnsi="Times New Roman"/>
          <w:b/>
          <w:bCs/>
          <w:sz w:val="24"/>
          <w:szCs w:val="24"/>
        </w:rPr>
        <w:t xml:space="preserve">Abstract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evaluation of artificial intelligence systems has increasingly relied on performance benchmarks that measure what models know rather than how they know it. This theoretical paper argues that metacognition — a system's capacity to monitor, evaluate, and regulate its own cognitive processes — represents a critical and systematically underassessed dimension of machine intelligence. Drawing on foundational work in cognitive psychology (Flavell, 1979; Nelson &amp; Narens, 1990) and more recent computational formulations (Griffiths et al., 2019; Shea &amp; Frith, 2019), we develop a tripartite theoretical framework for metacognition in large language models (LLMs) encompassing: (a) metacognitive knowledge — a model's representation of its own capabilities and limitations; (b) metacognitive monitoring — the online tracking of confidence, uncertainty, and error likelihood; and (c) metacognitive control — adaptive behavioral adjustment in response to monitoring signals. We critically examine why current benchmark paradigms fail to capture these dimensions, identifying three core failure modes: contamination by crystallized knowledge, absence of calibration measurement, and the conflation of fluent language generation with genuine epistemic self-awareness. We then propose a principled benchmark design framework, grounded in established psychometric paradigms including confidence-accuracy calibration, feeling-of-knowing paradigms, error detection protocols, and knowledge boundary probing. The paper concludes with specific operationalizable hypotheses that can drive empirical benchmark construction, along with a discussion of theoretical implications for the broader project of measuring progress toward Artificial General Intelligence.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metacognition, large language models, benchmark evaluation, calibration, epistemic uncertainty, artificial general intelligence, cognitive assessment</w:t>
      </w:r>
    </w:p>
    <w:p>
      <w:pPr>
        <w:pageBreakBefore/>
      </w:pPr>
    </w:p>
    <w:p>
      <w:pPr>
        <w:spacing w:line="480" w:before="0" w:after="0"/>
        <w:jc w:val="center"/>
      </w:pPr>
      <w:r>
        <w:rPr>
          <w:rFonts w:ascii="Times New Roman" w:cs="Times New Roman" w:eastAsia="Times New Roman" w:hAnsi="Times New Roman"/>
          <w:b/>
          <w:bCs/>
          <w:sz w:val="24"/>
          <w:szCs w:val="24"/>
        </w:rPr>
        <w:t xml:space="preserve">Blind Spots in the Mirror: A Theoretical Framework for Benchmarking</w:t>
      </w:r>
    </w:p>
    <w:p>
      <w:pPr>
        <w:spacing w:line="480" w:before="0" w:after="0"/>
        <w:jc w:val="center"/>
      </w:pPr>
      <w:r>
        <w:rPr>
          <w:rFonts w:ascii="Times New Roman" w:cs="Times New Roman" w:eastAsia="Times New Roman" w:hAnsi="Times New Roman"/>
          <w:b/>
          <w:bCs/>
          <w:sz w:val="24"/>
          <w:szCs w:val="24"/>
        </w:rPr>
        <w:t xml:space="preserve">Metacognitive Abilities in Large Language Models</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Introduction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Consider a medical resident who, when uncertain about a diagnosis, confidently orders the wrong test rather than acknowledging the limits of their knowledge. Now consider a counterpart who, facing the same uncertainty, pauses, accurately identifies what they do and do not know, and appropriately escalates to a specialist. Both residents may possess identical factual knowledge. What differentiates them is metacognition — the capacity to think about one's own thinking, monitor the reliability of one's judgments, and adjust behavior accordingly.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distinction, long recognized as foundational in cognitive psychology and developmental science (Flavell, 1979; Brown, 1987), has received surprisingly little systematic attention in the evaluation of artificial intelligence. The dominant paradigm in AI benchmarking measures what models know: factual recall, reasoning chains, code generation, mathematical proof. What it largely neglects is whether models know what they know — and crucially, whether they know what they do not know.</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gap is not merely academic. As large language models (LLMs) are deployed in consequential domains — medical question answering, legal reasoning, educational tutoring — the costs of miscalibrated confidence become severe. A model that confabulates with the same fluent certainty it uses to relay well-established facts is not just inaccurate; it is epistemically deceptive, even when unintentionally so. Understanding and measuring the degree to which AI systems possess genuine metacognitive capacities is therefore both a scientific priority and a matter of practical safety.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present paper develops a theoretical framework for metacognition in LLMs, grounded in the cognitive science literature, and uses this framework to identify the limitations of current benchmarking approaches and to propose a principled design space for more diagnostically powerful evaluations. Our central argument is that metacognition is not a monolithic construct but a tripartite system — comprising metacognitive knowledge, monitoring, and control — and that each component demands distinct operationalization and measurement strategies.</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Theoretical Background</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Cognitive Psychology of Metacognition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modern scientific study of metacognition originates with Flavell (1979), who defined it as "cognition about cognitive phenomena" (p. 906). Flavell distinguished metacognitive knowledge — a person's beliefs about themselves as a cognitive agent, about the nature of different tasks, and about cognitive strategies — from metacognitive experiences, the felt sense of difficulty, confidence, or confusion that arises during cognitive processing. This distinction proved foundational because it separated propositional, declarative self-knowledge from the dynamic, online monitoring of ongoing mental activity.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Nelson and Narens (1990) extended this framework into a formal two-level model that remains influential today. In their account, cognition operates across an object level (where primary processing occurs) and a meta level (which monitors and controls the object level). The meta level receives status reports from the object level through a process of monitoring, and issues regulatory commands back down through a process of control. This bidirectional architecture — monitoring feeding into control — is what distinguishes a genuinely metacognitive system from one that merely performs well on specific tasks.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Subsequent empirical work elaborated the monitoring component into distinct phenomena. Ease-of-learning (EOL) judgments occur before study and estimate how readily material can be learned. Judgments of learning (JOLs) occur during or after study and assess how well material has been encoded. Feeling-of-knowing (FOK) judgments assess the likelihood of retrieving currently inaccessible information in the future (Hart, 1965). Confidence judgments accompany responses and estimate the probability that a produced answer is correct. Each of these monitoring signals has well-established psychometric properties in human cognition, including characteristic accuracy profiles, biases, and individual difference structures (Dunlosky &amp; Metcalfe, 2009).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 crucial insight from this literature is that metacognitive monitoring is imperfect and systematically biased. The Dunning-Kruger effect (Kruger &amp; Dunning, 1999) describes a pattern in which low-ability individuals overestimate their performance, while high-ability individuals tend toward underestimation. Overconfidence is robust and pervasive across domains (Moore &amp; Healy, 2008). These are not mere quirks of human fallibility; they reflect deep properties of how self-knowledge is constructed from imperfect internal signals. Any framework for AI metacognition must grapple with analogous questions: not simply whether models are calibrated, but how and where their self-assessments systematically deviate from reality.</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Metacognition in Artificial Intelligence: Prior Formulations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Interest in machine metacognition predates the current LLM era. Classical AI systems incorporated explicit uncertainty representations through Bayesian frameworks and probabilistic graphical models, which provided principled accounts of epistemic uncertainty — uncertainty arising from insufficient information, as distinct from aleatoric uncertainty arising from irreducible randomness (Ghahramani, 2015). These systems could, in principle, represent and communicate their uncertainty in a calibrated way.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shift to deep learning and, subsequently, to transformer-based LLMs, radically changed this picture. Neural networks are notoriously miscalibrated: they tend to produce overconfident softmax outputs that do not map reliably onto empirical accuracy (Guo et al., 2017). While techniques such as temperature scaling, conformal prediction, and ensemble methods can improve calibration at the output level (Angelopoulos &amp; Bates, 2021), these are post-hoc corrections applied to surface statistics, not evidence of genuine metacognitive processing in the psychological sense.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More recently, researchers have begun to probe LLMs' metacognitive capacities directly, with mixed results. Kadavath et al. (2022) found that large models show reasonable calibration when asked to assess the probability that their own answers are correct, particularly for multiple-choice formats. However, Xiong et al. (2024) demonstrated that this apparent calibration is highly sensitive to prompt format and does not generalize robustly across domains. Crucially, models frequently express confidence through linguistic hedges ("I believe," "I think," "It is likely that") in ways that do not track their actual accuracy — suggesting the production of confidence-signaling language rather than genuine epistemic self-assessment.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Shea and Frith (2019) have argued, from a neuroscientific perspective, that the signature of genuine metacognition is the ability to produce second-order representations — representations of one's own representations — and to use these to regulate behavior. By this criterion, the question for LLMs is not simply whether they produce calibrated confidence scores, but whether there is any representational structure that corresponds to genuine self-modeling, or whether apparent metacognitive behavior is better understood as high-order pattern matching to training data that happened to include epistemic language.</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Why Current Benchmarks Fall Short</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Crystallized Knowledge Problem</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dominant paradigm in LLM evaluation relies on datasets of questions with definitive correct answers drawn from domains well-represented in training corpora: trivia, science, mathematics, coding, reading comprehension. These benchmarks measure what Cattell (1963) termed crystallized intelligence — the organized knowledge and skills accumulated through experience. While valuable, crystallized knowledge measures cannot distinguish genuine metacognitive awareness from the statistical regularity of confident production in domains of fluency.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Consider a model trained on large quantities of medical literature. When asked about well-known drug interactions, it produces accurate, confident responses. But does this confidence reflect metacognitive awareness — an accurate self-assessment that the model's internal representations reliably encode this domain — or is it simply that the linguistic register of medical fact-stating in training data tends to be confident? Crystallized knowledge benchmarks cannot answer this question because they do not decouple accuracy from confidence, nor do they systematically vary the epistemic status of the model's training-relevant knowledge.</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Absence of Calibration Measurement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 second critical gap is the near-universal absence of calibration measurement in standard benchmarks. Calibration, in the psychometric sense, refers to the correspondence between stated confidence and empirical accuracy: a perfectly calibrated agent, when expressing 80% confidence across a set of claims, should be correct on approximately 80% of those claims. Expected Calibration Error (ECE; Naeini et al., 2015) and related metrics quantify the degree of deviation from this ideal.</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significance of calibration for AI safety and deployment is substantial. Overconfident models lead users to over-rely on incorrect outputs; underconfident models lead to underutilization of genuine capabilities. Neither failure mode is detectable from accuracy metrics alone. Yet the majority of prominent benchmarks — including MMLU (Hendrycks et al., 2021), BIG-Bench (Srivastava et al., 2022), and HellaSwag (Zellers et al., 2019) — report only accuracy, providing no information about the confidence profile that accompanies correct and incorrect responses.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Conflating Language Generation with Epistemic Awareness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most theoretically profound limitation of current benchmarks is the conflation of fluent epistemic language production with genuine metacognitive processing. LLMs are trained on vast quantities of human-authored text that contains rich epistemic language: hedges, qualifications, confidence expressions, and uncertainty markers. Through this training, models acquire the ability to produce contextually appropriate epistemic language without necessarily having access to any reliable internal signal about their own accuracy.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creates what we term the mimicry problem: a model may say "I'm not certain about this" not because it has detected an internal signal of low confidence, but because the surface features of the query (an obscure topic, an unusual name) pattern-match to contexts in training data where uncertainty expressions were common. Conversely, a model may express high confidence on topics where its training-derived representations are actually unreliable, because those topics are represented in authoritative, confident registers in the training corpus. Distinguishing genuine metacognitive monitoring from learned linguistic mimicry is a central methodological challenge that current benchmarks do not address.</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A Tripartite Framework for Metacognitive Benchmarking</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Building on the theoretical analysis above, we propose a tripartite framework for metacognitive benchmarking organized around the three functional components identified in the cognitive psychology literature: metacognitive knowledge, monitoring, and control. Each component poses distinct measurement challenges and calls for distinct benchmark architectures.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Component I: Metacognitive Knowledge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Metacognitive knowledge, in Flavell's (1979) original formulation, encompasses a system's beliefs about itself as a cognitive agent: what it knows, what it reliably can and cannot do, and what strategies are appropriate for different task types. In the LLM context, this translates to the model's explicit representations of its own capabilities, training, and knowledge boundaries.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Benchmarks targeting metacognitive knowledge should probe models' ability to accurately characterize the scope and limits of their knowledge. Critical test cases include: claims about events occurring after the training cutoff date; questions about highly specialized or obscure domains; requests for information about private individuals; and queries involving contested empirical claims where the training data may contain multiple contradictory representations. A model with accurate metacognitive knowledge should reliably identify these as domains of uncertainty rather than producing confabulated responses.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Crucially, benchmarks should be designed to distinguish accurate self-knowledge from conservative hedging applied indiscriminately. A model that expresses uncertainty about everything demonstrates no metacognitive knowledge; the diagnostic signal comes from the selective and accurate deployment of uncertainty claims.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Component II: Metacognitive Monitoring</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Metacognitive monitoring refers to the ongoing, online assessment of one's current cognitive state: whether a particular answer feels confident or uncertain, whether understanding has been achieved, whether errors have been committed. In human cognition, monitoring signals feed into regulatory processes (Nelson &amp; Narens, 1990). In LLMs, the question is whether the probability distributions computed internally during generation correspond to any reliable signal of accuracy.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Several established psychometric paradigms can be adapted for this purpose. The Confidence Resolution paradigm requires participants to provide both an answer and a confidence rating, then computes the correlation between confidence and accuracy across items. High resolution — the ability to discriminate correct from incorrect responses using internal confidence signals — is the signature of effective monitoring. The Feeling-of-Knowing paradigm (Hart, 1965) probes whether systems can accurately predict their own future performance on currently unresolved questions.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For LLMs, monitoring benchmarks must grapple with the methodological challenge of eliciting genuine confidence signals rather than linguistic performance. One promising approach is behavioral inference: rather than asking models to report confidence, benchmarks can infer monitoring quality from patterns of behavior — whether models seek clarification before responding, whether they volunteer appropriate caveats on questions with genuine ambiguity, and whether expressed hedging language is predictive of actual errors.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Component III: Metacognitive Control</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Metacognitive control refers to the use of monitoring signals to regulate cognitive behavior: allocating study time, choosing among strategies, seeking additional information, or withholding responses when uncertainty is too high. In human learners, control processes are what make metacognition practically consequential — monitoring alone, without adaptive regulation, cannot improve performance (Dunlosky &amp; Metcalfe, 2009).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For LLMs, metacognitive control manifests in behaviors such as: requesting clarification when queries are ambiguous; distinguishing between questions the model can answer with confidence and those requiring external verification; declining to answer when confidence is insufficient; and updating responses appropriately when corrective feedback is provided. Benchmarks targeting control should embed models in interactive contexts where these regulatory behaviors are both possible and diagnostically informative.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 key design consideration is the incentive structure of the evaluation. In typical benchmarks, models are rewarded for producing correct answers and penalized (or not rewarded) for abstaining. This creates pressure against the expression of appropriate uncertainty. Metacognitive control benchmarks must explicitly reward calibrated abstention — the choice not to respond when confidence is low — in order to create the conditions under which genuine control processes can be expressed and measured.</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Proposed Benchmark Design Principles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1: Decouple Accuracy from Confidence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Every task in a metacognitive benchmark should jointly collect an accuracy signal (is the answer correct?) and a confidence signal (how confident was the model?). These signals must be measured independently to compute calibration metrics. Confidence should be elicited at the item level, not aggregated post-hoc, and benchmark scoring should explicitly weight calibration alongside raw accuracy.</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2: Vary Epistemic Status Systematically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Benchmarks should include items spanning a spectrum of epistemic statuses: facts well-attested in training data, facts that are contested or ambiguous, facts about events beyond the training cutoff, and plausible-sounding but false claims. This variance allows analysis of whether confidence tracks epistemic status or whether models assign uniform confidence regardless of the reliability of their underlying representations.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3: Design Against Linguistic Mimicry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Benchmark items should be constructed to decouple surface epistemic cues from ground truth epistemic status. Items should include confident-sounding queries about topics the model is unlikely to know, and uncertain-sounding queries about topics with definitive answers. This prevents models from achieving high scores through learned associations between surface features and epistemic language, forcing genuine self-assessment.</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4: Create Conditions for Error Detection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Multi-turn evaluation formats allow benchmarks to present models with their own previous responses — including seeded errors — and probe whether models can identify and correct mistakes. A model with genuine metacognitive monitoring should be more likely to identify errors in its own output than a baseline, and should not confabulate justifications for incorrect responses. This paradigm, adapted from error monitoring research in cognitive neuroscience (Rabbitt, 1966), provides a particularly clean test of online monitoring processes.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5: Reward Calibrated Abstention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Scoring systems should explicitly reward models for appropriate abstention. A model that correctly identifies a question as beyond its reliable knowledge and declines to answer should receive a positive score on that item. This aligns the incentive structure with the target behavior and prevents the benchmark from rewarding confident confabulation over honest uncertainty.</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Theoretical Implications for AGI Measurement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proposal developed here has implications beyond the narrow question of how to build better benchmarks. Metacognition occupies a theoretically significant position in debates about general intelligence. Flavell (1979) and subsequent theorists have argued that metacognitive abilities are among the features that distinguish expert from novice performance, and that adaptive behavior in genuinely novel environments requires not just domain knowledge but the ability to monitor the limits of that knowledge.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If LLMs lack robust metacognitive capacities — if their apparent uncertainty language is mimicry rather than monitoring, and their apparent self-knowledge is pattern-matching rather than genuine self-modeling — then they possess a critical limitation that would bear on any assessment of their proximity to general intelligence. A system that cannot accurately represent its own limitations cannot reliably engage in the kinds of strategic, adaptive behavior that general intelligence demands.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Conversely, evidence of genuine metacognitive processing — well-calibrated confidence, reliable error detection, appropriate abstention, and adaptive control — would constitute significant positive evidence toward capabilities that have traditionally been considered distinctively intelligent. The benchmarks proposed here are therefore not merely diagnostic tools but empirical tests of theoretically central hypotheses about the nature and limits of machine intelligence.</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Limitations and Future Directions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Several important limitations of the present framework should be acknowledged. First, the theoretical constructs imported from human cognitive psychology may not map cleanly onto the computational architecture of transformer-based LLMs. The Nelson and Narens (1990) meta-level/object-level distinction presupposes a modular architecture that may have no straightforward neural network analog. Future work should engage more directly with mechanistic interpretability research (Anthropic, 2022; Nanda et al., 2023) to determine whether LLM representations contain anything that functionally corresponds to self-monitoring.</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Second, our framework focuses on metacognition in the context of factual question answering. Metacognition in more open-ended creative or social domains — where ground truth is not definitive — poses different measurement challenges that the present framework does not fully address.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Third, the question of what counts as genuine metacognition versus sophisticated behavioral mimicry remains philosophically contested. We have not resolved this debate here; our contribution is to sharpen the empirical question so that benchmark designs can generate evidence that bears on it.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Future directions should include longitudinal study of how metacognitive profiles change across model generations, comparative analysis of metacognitive profiles versus task performance profiles across frontier models, and exploration of whether metacognitive training signals can be incorporated into model development to improve calibration from the inside out.</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Conclusion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central argument of this paper is that benchmarking metacognition in large language models is both theoretically tractable and practically urgent. Drawing on a rich tradition in cognitive psychology, we have identified three functionally distinct components — metacognitive knowledge, monitoring, and control — that each demand distinct measurement strategies, and we have diagnosed three systematic failures in current benchmark paradigms that render them blind to these components.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framework and design principles proposed here provide a foundation for constructing benchmarks that can generate meaningful, discriminating, and theoretically interpretable signals about whether AI systems possess genuine self-knowledge. Progress on these benchmarks will not only improve AI evaluation; it will advance our scientific understanding of a cognitive capacity that has long been considered central to intelligence itself.</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As AI systems take on increasingly autonomous and consequential roles, the question of whether they know what they do not know is no longer merely philosophical. It is a safety-critical empirical question. This paper is an invitation to take that question seriously.</w:t>
      </w:r>
    </w:p>
    <w:p>
      <w:pPr>
        <w:spacing w:line="480" w:before="0" w:after="0"/>
      </w:pPr>
      <w:r>
        <w:rPr>
          <w:rFonts w:ascii="Times New Roman" w:cs="Times New Roman" w:eastAsia="Times New Roman" w:hAnsi="Times New Roman"/>
          <w:sz w:val="24"/>
          <w:szCs w:val="24"/>
        </w:rPr>
        <w:t xml:space="preserve"/>
      </w:r>
    </w:p>
    <w:p>
      <w:pPr>
        <w:pageBreakBefore/>
      </w:pPr>
    </w:p>
    <w:p>
      <w:pPr>
        <w:spacing w:line="480" w:before="0" w:after="0"/>
        <w:jc w:val="center"/>
      </w:pPr>
      <w:r>
        <w:rPr>
          <w:rFonts w:ascii="Times New Roman" w:cs="Times New Roman" w:eastAsia="Times New Roman" w:hAnsi="Times New Roman"/>
          <w:b/>
          <w:bCs/>
          <w:sz w:val="24"/>
          <w:szCs w:val="24"/>
        </w:rPr>
        <w:t xml:space="preserve">References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Angelopoulos, A. N., &amp; Bates, S. (2021). A gentle introduction to conformal prediction and distribution-free uncertainty quantification. arXiv preprint arXiv:2107.07511.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Anthropic. (2022). Constitutional AI: Harmlessness from AI feedback. arXiv preprint arXiv:2212.08073.</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Brown, A. L. (1987). Metacognition, executive control, self-regulation, and other more mysterious mechanisms. In F. E. Weinert &amp; R. H. Kluwe (Eds.), Metacognition, motivation, and understanding (pp. 65–116). Lawrence Erlbaum Associates.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Cattell, R. B. (1963). Theory of fluid and crystallized intelligence: A critical experiment. Journal of Educational Psychology, 54(1), 1–22. https://doi.org/10.1037/h0046743</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Dunlosky, J., &amp; Metcalfe, J. (2009). Metacognition. SAGE Publications.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Flavell, J. H. (1979). Metacognition and cognitive monitoring: A new area of cognitive-developmental inquiry. American Psychologist, 34(10), 906–911. https://doi.org/10.1037/0003-066X.34.10.906</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Ghahramani, Z. (2015). Probabilistic machine learning and artificial intelligence. Nature, 521(7553), 452–459. https://doi.org/10.1038/nature14541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Griffiths, T. L., Callaway, F., Chang, M. B., Grant, E., Krueger, P. M., &amp; Lieder, F. (2019). Doing more with less: Meta-reasoning and meta-learning in humans and machines. Current Opinion in Behavioral Sciences, 29, 24–30. https://doi.org/10.1016/j.cobeha.2019.01.005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Guo, C., Pleiss, G., Sun, Y., &amp; Weinberger, K. Q. (2017). On calibration of modern neural networks. Proceedings of the 34th International Conference on Machine Learning, 70, 1321–1330.</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Hart, J. T. (1965). Memory and the feeling-of-knowing experience. Journal of Educational Psychology, 56(4), 208–216. https://doi.org/10.1037/h0022263</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Hendrycks, D., Burns, C., Basart, S., Zou, A., Mazeika, M., Song, D., &amp; Steinhardt, J. (2021). Aligning AI with shared human values. arXiv preprint arXiv:2008.02275.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Kadavath, S., Conerly, T., Askell, A., Henighan, T., Drain, D., Perez, E., Schiefer, N., Das Sarma, S., Tran-Johnson, T., Johnston, S., El-Showk, S., Jones, A., Elhage, N., Hume, T., Chen, A., Bai, Y., Bowman, S., Fort, S., Ganguli, D., ... Kaplan, J. (2022). Language models (mostly) know what they know. arXiv preprint arXiv:2207.05221.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Kruger, J., &amp; Dunning, D. (1999). Unskilled and unaware of it: How difficulties in recognizing one's own incompetence lead to inflated self-assessments. Journal of Personality and Social Psychology, 77(6), 1121–1134. https://doi.org/10.1037/0022-3514.77.6.1121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Moore, D. A., &amp; Healy, P. J. (2008). The trouble with overconfidence. Psychological Review, 115(2), 502–517. https://doi.org/10.1037/0033-295X.115.2.502</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Naeini, M. P., Cooper, G. F., &amp; Hauskrecht, M. (2015). Obtaining well calibrated probabilities using Bayesian binning. Proceedings of the AAAI Conference on Artificial Intelligence, 29(1), 2901–2907.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Nanda, N., Chan, L., Lieberum, T., Smith, J., &amp; Steinhardt, J. (2023). Progress measures for grokking via mechanistic interpretability. arXiv preprint arXiv:2301.05217.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Nelson, T. O., &amp; Narens, L. (1990). Metamemory: A theoretical framework and new findings. In G. H. Bower (Ed.), The psychology of learning and motivation (Vol. 26, pp. 125–173). Academic Press. https://doi.org/10.1016/S0079-7421(08)60053-5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Rabbitt, P. M. A. (1966). Error correction time without external error signals. Nature, 212(5060), 438. https://doi.org/10.1038/212438a0</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Shea, N., &amp; Frith, C. D. (2019). The global workspace needs metacognition. Trends in Cognitive Sciences, 23(7), 560–571. https://doi.org/10.1016/j.tics.2019.04.007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Srivastava, A., Rastogi, A., Rao, A., Shoaib Wasim, A., Bhatt, U., Marber, B., Parmar, N., Basu, S., Ballen, Z., Bhattamishra, S., Bhattacharyya, T., Bhavsar, T., Bhomia, S., Bhutani, V., Bogle, A., Boyko, B., Buczkowski, B., &amp; others (2022). Beyond the imitation game: Quantifying and extrapolating the capabilities of language models. arXiv preprint arXiv:2206.04615.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Xiong, M., Hu, Z., Lu, X., Li, Y., Fu, J., He, J., &amp; Hooi, B. (2024). Can LLMs express their uncertainty? An empirical evaluation of confidence elicitation in large language models. Proceedings of the 12th International Conference on Learning Representations.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Zellers, R., Holtzman, A., Bisk, Y., Farhadi, A., &amp; Choi, Y. (2019). HellaSwag: Can a machine really finish your sentence? Proceedings of the 57th Annual Meeting of the Association for Computational Linguistics, 4791–4800. https://doi.org/10.18653/v1/P19-1472</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line="240"/>
    </w:pPr>
    <w:r>
      <w:rPr>
        <w:rFonts w:ascii="Times New Roman" w:cs="Times New Roman" w:eastAsia="Times New Roman" w:hAnsi="Times New Roman"/>
        <w:sz w:val="24"/>
        <w:szCs w:val="24"/>
      </w:rPr>
      <w:t xml:space="preserve">METACOGNITION BENCHMARKING FOR AGI EVALUATION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2026-03-21T16:56:31.871Z</dcterms:created>
  <dcterms:modified xsi:type="dcterms:W3CDTF">2026-03-21T16:56:31.872Z</dcterms:modified>
</cp:coreProperties>
</file>

<file path=docProps/custom.xml><?xml version="1.0" encoding="utf-8"?>
<Properties xmlns="http://schemas.openxmlformats.org/officeDocument/2006/custom-properties" xmlns:vt="http://schemas.openxmlformats.org/officeDocument/2006/docPropsVTypes"/>
</file>