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Blind Spots in the Mirror: A Theoretical Framework for Benchmarking</w:t>
      </w:r>
    </w:p>
    <w:p>
      <w:pPr>
        <w:spacing w:line="480" w:before="0" w:after="0"/>
        <w:jc w:val="center"/>
      </w:pPr>
      <w:r>
        <w:rPr>
          <w:rFonts w:ascii="Times New Roman" w:cs="Times New Roman" w:eastAsia="Times New Roman" w:hAnsi="Times New Roman"/>
          <w:b/>
          <w:bCs/>
          <w:sz w:val="24"/>
          <w:szCs w:val="24"/>
        </w:rPr>
        <w:t xml:space="preserve">Metacognitive Abilities in Large Language Models</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sz w:val="24"/>
          <w:szCs w:val="24"/>
        </w:rPr>
        <w:t xml:space="preserve">Gina Aulabaugh</w:t>
      </w:r>
    </w:p>
    <w:p>
      <w:pPr>
        <w:spacing w:line="480" w:before="0" w:after="0"/>
        <w:jc w:val="center"/>
      </w:pPr>
      <w:r>
        <w:rPr>
          <w:rFonts w:ascii="Times New Roman" w:cs="Times New Roman" w:eastAsia="Times New Roman" w:hAnsi="Times New Roman"/>
          <w:sz w:val="24"/>
          <w:szCs w:val="24"/>
        </w:rPr>
        <w:t xml:space="preserve">PixelKraze, LLC</w:t>
      </w:r>
    </w:p>
    <w:p>
      <w:pPr>
        <w:spacing w:line="480" w:before="0" w:after="0"/>
        <w:jc w:val="center"/>
      </w:pPr>
      <w:r>
        <w:rPr>
          <w:rFonts w:ascii="Times New Roman" w:cs="Times New Roman" w:eastAsia="Times New Roman" w:hAnsi="Times New Roman"/>
          <w:sz w:val="24"/>
          <w:szCs w:val="24"/>
        </w:rPr>
        <w:t xml:space="preserve">March 21, 2026</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Author Note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Gina Aulabaugh is the founder of PixelKraze, LLC. This paper was prepared as a theoretical foundation for a benchmark submission to the Google DeepMind &amp; Kaggle Hackathon: Measuring Progress Toward AGI — Cognitive Abilities (2026), Metacognition Track. The author declares no conflicts of interest.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Correspondence concerning this article should be addressed to Gina Aulabaugh, PixelKraze, LLC.</w:t>
      </w:r>
    </w:p>
    <w:p>
      <w:pPr>
        <w:pageBreakBefore/>
      </w:pPr>
    </w:p>
    <w:p>
      <w:pPr>
        <w:spacing w:line="480" w:before="0" w:after="0"/>
        <w:jc w:val="center"/>
      </w:pPr>
      <w:r>
        <w:rPr>
          <w:rFonts w:ascii="Times New Roman" w:cs="Times New Roman" w:eastAsia="Times New Roman" w:hAnsi="Times New Roman"/>
          <w:b/>
          <w:bCs/>
          <w:sz w:val="24"/>
          <w:szCs w:val="24"/>
        </w:rPr>
        <w:t xml:space="preserve">Abstract</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The evaluation of artificial intelligence systems has increasingly relied on performance benchmarks that measure what models know rather than how they know it. This theoretical paper argues that metacognition — a system’s capacity to monitor, evaluate, and regulate its own cognitive processes — represents a critical and systematically underassessed dimension of machine intelligence. Drawing on foundational work in cognitive psychology (Flavell, 1979; Nelson &amp; Narens, 1990) and more recent computational formulations (Griffiths et al., 2019; Shea &amp; Frith, 2019), we develop a tripartite theoretical framework for metacognition in large language models (LLMs) encompassing: (a) metacognitive knowledge — a model’s representation of its own capabilities and limitations; (b) metacognitive monitoring — the online tracking of confidence, uncertainty, and error likelihood; and (c) metacognitive control — adaptive behavioral adjustment in response to monitoring signals. We critically examine why current benchmark paradigms fail to capture these dimensions, identifying three core failure modes: contamination by crystallized knowledge (Cattell, 1963), absence of calibration measurement (Guo et al., 2017; Naeini et al., 2015), and the conflation of fluent language generation with genuine epistemic self-awareness. We then propose a principled benchmark design framework grounded in established psychometric paradigms including confidence-accuracy calibration, feeling-of-knowing paradigms (Hart, 1965), error detection protocols (Rabbitt, 1966), and knowledge boundary probing. The paper concludes with specific operationalizable hypotheses that can drive empirical benchmark construction, along with a discussion of theoretical implications for the broader project of measuring progress toward Artificial General Intelligence.</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i/>
          <w:iCs/>
          <w:sz w:val="24"/>
          <w:szCs w:val="24"/>
        </w:rPr>
        <w:t xml:space="preserve">Keywords: </w:t>
      </w:r>
      <w:r>
        <w:rPr>
          <w:rFonts w:ascii="Times New Roman" w:cs="Times New Roman" w:eastAsia="Times New Roman" w:hAnsi="Times New Roman"/>
          <w:sz w:val="24"/>
          <w:szCs w:val="24"/>
        </w:rPr>
        <w:t xml:space="preserve">metacognition, large language models, benchmark evaluation, calibration, epistemic uncertainty, artificial general intelligence, cognitive assessment</w:t>
      </w:r>
    </w:p>
    <w:p>
      <w:pPr>
        <w:pageBreakBefore/>
      </w:pPr>
    </w:p>
    <w:p>
      <w:pPr>
        <w:spacing w:line="480" w:before="0" w:after="0"/>
        <w:jc w:val="center"/>
      </w:pPr>
      <w:r>
        <w:rPr>
          <w:rFonts w:ascii="Times New Roman" w:cs="Times New Roman" w:eastAsia="Times New Roman" w:hAnsi="Times New Roman"/>
          <w:b/>
          <w:bCs/>
          <w:sz w:val="24"/>
          <w:szCs w:val="24"/>
        </w:rPr>
        <w:t xml:space="preserve">Blind Spots in the Mirror: A Theoretical Framework for Benchmarking</w:t>
      </w:r>
    </w:p>
    <w:p>
      <w:pPr>
        <w:spacing w:line="480" w:before="0" w:after="0"/>
        <w:jc w:val="center"/>
      </w:pPr>
      <w:r>
        <w:rPr>
          <w:rFonts w:ascii="Times New Roman" w:cs="Times New Roman" w:eastAsia="Times New Roman" w:hAnsi="Times New Roman"/>
          <w:b/>
          <w:bCs/>
          <w:sz w:val="24"/>
          <w:szCs w:val="24"/>
        </w:rPr>
        <w:t xml:space="preserve">Metacognitive Abilities in Large Language Models</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Introduction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Consider a medical resident who, when uncertain about a diagnosis, confidently orders the wrong test rather than acknowledging the limits of their knowledge. Now consider a counterpart who, facing the same uncertainty, pauses, accurately identifies what they do and do not know, and appropriately escalates to a specialist. Both residents may possess identical factual knowledge. What differentiates them is metacognition — the capacity to think about one’s own thinking, monitor the reliability of one’s judgments, and adjust behavior accordingly (Flavell, 1979).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distinction, long recognized as foundational in cognitive psychology and developmental science (Brown, 1987; Flavell, 1979), has received surprisingly little systematic attention in the evaluation of artificial intelligence. The dominant paradigm in AI benchmarking measures what models know: factual recall, reasoning chains, code generation, mathematical proof (Hendrycks et al., 2021; Srivastava et al., 2022; Zellers et al., 2019). What it largely neglects is whether models know what they know — and crucially, whether they know what they do not know (Kadavath et al., 2022).</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gap is not merely academic. As large language models (LLMs) are deployed in consequential domains — medical question answering, legal reasoning, educational tutoring — the costs of miscalibrated confidence become severe (Guo et al., 2017). A model that confabulates with the same fluent certainty it uses to relay well-established facts is not just inaccurate; it is epistemically deceptive, even when unintentionally so. Understanding and measuring the degree to which AI systems possess genuine metacognitive capacities is therefore both a scientific priority and a matter of practical safety (Shea &amp; Frith, 2019).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present paper develops a theoretical framework for metacognition in LLMs, grounded in the cognitive science literature (Dunlosky &amp; Metcalfe, 2009; Nelson &amp; Narens, 1990), and uses this framework to identify the limitations of current benchmarking approaches and to propose a principled design space for more diagnostically powerful evaluations. Our central argument is that metacognition is not a monolithic construct but a tripartite system — comprising metacognitive knowledge, monitoring, and control — and that each component demands distinct operationalization and measurement strategies (Griffiths et al., 2019).</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Theoretical Background</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Cognitive Psychology of Metacognition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modern scientific study of metacognition originates with Flavell (1979), who defined it as “cognition about cognitive phenomena” (p. 906). Flavell distinguished metacognitive knowledge — a person’s beliefs about themselves as a cognitive agent, about the nature of different tasks, and about cognitive strategies — from metacognitive experiences, the felt sense of difficulty, confidence, or confusion that arises during cognitive processing. This distinction proved foundational because it separated propositional, declarative self-knowledge from the dynamic, online monitoring of ongoing mental activity (Brown, 1987).</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Nelson and Narens (1990) extended this framework into a formal two-level model that remains influential today. In their account, cognition operates across an object level (where primary processing occurs) and a meta level (which monitors and controls the object level). The meta level receives status reports from the object level through a process of monitoring, and issues regulatory commands back down through a process of control. This bidirectional architecture — monitoring feeding into control — is what distinguishes a genuinely metacognitive system from one that merely performs well on specific tasks (Nelson &amp; Narens, 1990).</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Subsequent empirical work elaborated the monitoring component into distinct phenomena (Dunlosky &amp; Metcalfe, 2009). Ease-of-learning (EOL) judgments occur before study and estimate how readily material can be learned. Judgments of learning (JOLs) occur during or after study and assess how well material has been encoded. Feeling-of-knowing (FOK) judgments assess the likelihood of retrieving currently inaccessible information in the future (Hart, 1965). Confidence judgments accompany responses and estimate the probability that a produced answer is correct. Each of these monitoring signals has well-established psychometric properties in human cognition, including characteristic accuracy profiles, biases, and individual difference structures (Dunlosky &amp; Metcalfe, 2009).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 crucial insight from this literature is that metacognitive monitoring is imperfect and systematically biased. The Dunning-Kruger effect (Kruger &amp; Dunning, 1999) describes a pattern in which low-ability individuals overestimate their performance, while high-ability individuals tend toward underestimation. Overconfidence is robust and pervasive across domains (Moore &amp; Healy, 2008). These are not mere quirks of human fallibility; they reflect deep properties of how self-knowledge is constructed from imperfect internal signals (Kruger &amp; Dunning, 1999). Any framework for AI metacognition must grapple with analogous questions: not simply whether models are calibrated, but how and where their self-assessments systematically deviate from reality (Guo et al., 2017).</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Metacognition in Artificial Intelligence: Prior Formulations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Interest in machine metacognition predates the current LLM era. Classical AI systems incorporated explicit uncertainty representations through Bayesian frameworks and probabilistic graphical models, which provided principled accounts of epistemic uncertainty — uncertainty arising from insufficient information, as distinct from aleatoric uncertainty arising from irreducible randomness (Ghahramani, 2015). These systems could, in principle, represent and communicate their uncertainty in a calibrated way.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shift to deep learning and, subsequently, to transformer-based LLMs, radically changed this picture. Neural networks are notoriously miscalibrated: they tend to produce overconfident softmax outputs that do not map reliably onto empirical accuracy (Guo et al., 2017). While techniques such as temperature scaling, conformal prediction, and ensemble methods can improve calibration at the output level (Angelopoulos &amp; Bates, 2021), these are post-hoc corrections applied to surface statistics, not evidence of genuine metacognitive processing in the psychological sense (Nelson &amp; Narens, 1990).</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More recently, researchers have begun to probe LLMs’ metacognitive capacities directly, with mixed results. Kadavath et al. (2022) found that large models show reasonable calibration when asked to assess the probability that their own answers are correct, particularly for multiple-choice formats. However, Xiong et al. (2024) demonstrated that this apparent calibration is highly sensitive to prompt format and does not generalize robustly across domains. Crucially, models frequently express confidence through linguistic hedges in ways that do not track their actual accuracy — suggesting the production of confidence-signaling language rather than genuine epistemic self-assessment (Xiong et al., 2024).</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Shea and Frith (2019) have argued, from a neuroscientific perspective, that the signature of genuine metacognition is the ability to produce second-order representations — representations of one’s own representations — and to use these to regulate behavior. By this criterion, the question for LLMs is not simply whether they produce calibrated confidence scores, but whether there is any representational structure that corresponds to genuine self-modeling, or whether apparent metacognitive behavior is better understood as high-order pattern matching to training data (Griffiths et al., 2019; Shea &amp; Frith, 2019).</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Why Current Benchmarks Fall Short</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Crystallized Knowledge Problem</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dominant paradigm in LLM evaluation relies on datasets of questions with definitive correct answers drawn from domains well-represented in training corpora: trivia, science, mathematics, coding, reading comprehension (Hendrycks et al., 2021; Srivastava et al., 2022). These benchmarks measure what Cattell (1963) termed crystallized intelligence — the organized knowledge and skills accumulated through experience. While valuable, crystallized knowledge measures cannot distinguish genuine metacognitive awareness from the statistical regularity of confident production in domains of fluency (Cattell, 1963; Dunlosky &amp; Metcalfe, 2009).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Consider a model trained on large quantities of medical literature. When asked about well-known drug interactions, it produces accurate, confident responses. But does this confidence reflect metacognitive awareness — an accurate self-assessment that the model’s internal representations reliably encode this domain — or is it simply that the linguistic register of medical fact-stating in training data tends to be confident? Crystallized knowledge benchmarks cannot answer this question because they do not decouple accuracy from confidence, nor do they systematically vary the epistemic status of the model’s training-relevant knowledge (Kadavath et al., 2022).</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The Absence of Calibration Measurement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 second critical gap is the near-universal absence of calibration measurement in standard benchmarks. Calibration, in the psychometric sense, refers to the correspondence between stated confidence and empirical accuracy: a perfectly calibrated agent, when expressing 80% confidence across a set of claims, should be correct on approximately 80% of those claims. Expected Calibration Error (ECE) and related metrics quantify the degree of deviation from this ideal (Naeini et al., 2015).</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significance of calibration for AI safety and deployment is substantial. Overconfident models lead users to over-rely on incorrect outputs; underconfident models lead to underutilization of genuine capabilities (Moore &amp; Healy, 2008). Neither failure mode is detectable from accuracy metrics alone. Yet the majority of prominent benchmarks — including MMLU (Hendrycks et al., 2021), BIG-Bench (Srivastava et al., 2022), and HellaSwag (Zellers et al., 2019) — report only accuracy, providing no information about the confidence profile that accompanies correct and incorrect responses (Guo et al., 2017; Naeini et al., 2015).</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Conflating Language Generation with Epistemic Awareness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most theoretically profound limitation of current benchmarks is the conflation of fluent epistemic language production with genuine metacognitive processing. LLMs are trained on vast quantities of human-authored text that contains rich epistemic language: hedges, qualifications, confidence expressions, and uncertainty markers. Through this training, models acquire the ability to produce contextually appropriate epistemic language without necessarily having access to any reliable internal signal about their own accuracy (Xiong et al., 2024).</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This creates what we term the mimicry problem: a model may say “I’m not certain about this” not because it has detected an internal signal of low confidence, but because the surface features of the query pattern-match to contexts in training data where uncertainty expressions were common. Conversely, a model may express high confidence on topics where its training-derived representations are actually unreliable, because those topics are represented in authoritative, confident registers in the training corpus (Kadavath et al., 2022; Xiong et al., 2024). Distinguishing genuine metacognitive monitoring from learned linguistic mimicry is a central methodological challenge that current benchmarks do not address (Shea &amp; Frith, 2019).</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A Tripartite Framework for Metacognitive Benchmarking</w:t>
      </w:r>
    </w:p>
    <w:p>
      <w:pPr>
        <w:spacing w:line="480" w:before="0" w:after="0"/>
      </w:pPr>
      <w:r>
        <w:rPr>
          <w:rFonts w:ascii="Times New Roman" w:cs="Times New Roman" w:eastAsia="Times New Roman" w:hAnsi="Times New Roman"/>
          <w:sz w:val="24"/>
          <w:szCs w:val="24"/>
        </w:rPr>
        <w:t xml:space="preserve"/>
      </w:r>
    </w:p>
    <w:p>
      <w:pPr>
        <w:spacing w:line="480" w:before="0" w:after="0"/>
        <w:ind/>
        <w:jc w:val="both"/>
      </w:pPr>
      <w:r>
        <w:rPr>
          <w:rFonts w:ascii="Times New Roman" w:cs="Times New Roman" w:eastAsia="Times New Roman" w:hAnsi="Times New Roman"/>
          <w:sz w:val="24"/>
          <w:szCs w:val="24"/>
        </w:rPr>
        <w:t xml:space="preserve">Building on the theoretical analysis above, we propose a tripartite framework for metacognitive benchmarking organized around the three functional components identified in the cognitive psychology literature (Nelson &amp; Narens, 1990): metacognitive knowledge, monitoring, and control. Each component poses distinct measurement challenges and calls for distinct benchmark architectures (Dunlosky &amp; Metcalfe, 2009; Griffiths et al., 2019).</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Component I: Metacognitive Knowledge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Metacognitive knowledge, in Flavell’s (1979) original formulation, encompasses a system’s beliefs about itself as a cognitive agent: what it knows, what it reliably can and cannot do, and what strategies are appropriate for different task types. In the LLM context, this translates to the model’s explicit representations of its own capabilities, training, and knowledge boundaries (Kadavath et al., 2022).</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Benchmarks targeting metacognitive knowledge should probe models’ ability to accurately characterize the scope and limits of their knowledge (Flavell, 1979). Critical test cases include: claims about events occurring after the training cutoff date; questions about highly specialized or obscure domains; requests for information about private individuals; and queries involving contested empirical claims where the training data may contain multiple contradictory representations. A model with accurate metacognitive knowledge should reliably identify these as domains of uncertainty rather than producing confabulated responses (Kadavath et al., 2022; Xiong et al., 2024).</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Crucially, benchmarks should be designed to distinguish accurate self-knowledge from conservative hedging applied indiscriminately (Kruger &amp; Dunning, 1999; Moore &amp; Healy, 2008). A model that expresses uncertainty about everything demonstrates no metacognitive knowledge; the diagnostic signal comes from the selective and accurate deployment of uncertainty claims.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Component II: Metacognitive Monitoring</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Metacognitive monitoring refers to the ongoing, online assessment of one’s current cognitive state: whether a particular answer feels confident or uncertain, whether understanding has been achieved, whether errors have been committed. In human cognition, monitoring signals feed into regulatory processes (Nelson &amp; Narens, 1990). In LLMs, the question is whether the probability distributions computed internally during generation correspond to any reliable signal of accuracy (Guo et al., 2017; Kadavath et al., 2022).</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Several established psychometric paradigms can be adapted for this purpose (Dunlosky &amp; Metcalfe, 2009). The Confidence Resolution paradigm requires participants to provide both an answer and a confidence rating, then computes the correlation between confidence and accuracy across items. High resolution — the ability to discriminate correct from incorrect responses using internal confidence signals — is the signature of effective monitoring. The Feeling-of-Knowing paradigm (Hart, 1965) probes whether systems can accurately predict their own future performance on currently unresolved questions.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For LLMs, monitoring benchmarks must grapple with the methodological challenge of eliciting genuine confidence signals rather than linguistic performance (Xiong et al., 2024). One promising approach is behavioral inference: rather than asking models to report confidence, benchmarks can infer monitoring quality from patterns of behavior — whether models seek clarification before responding, whether they volunteer appropriate caveats on questions with genuine ambiguity, and whether expressed hedging language is predictive of actual errors (Griffiths et al., 2019; Shea &amp; Frith, 2019).</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Component III: Metacognitive Control</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Metacognitive control refers to the use of monitoring signals to regulate cognitive behavior: allocating study time, choosing among strategies, seeking additional information, or withholding responses when uncertainty is too high (Nelson &amp; Narens, 1990). In human learners, control processes are what make metacognition practically consequential — monitoring alone, without adaptive regulation, cannot improve performance (Dunlosky &amp; Metcalfe, 2009).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For LLMs, metacognitive control manifests in behaviors such as: requesting clarification when queries are ambiguous; distinguishing between questions the model can answer with confidence and those requiring external verification; declining to answer when confidence is insufficient; and updating responses appropriately when corrective feedback is provided (Kadavath et al., 2022). Benchmarks targeting control should embed models in interactive contexts where these regulatory behaviors are both possible and diagnostically informative (Griffiths et al., 2019).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 key design consideration is the incentive structure of the evaluation (Naeini et al., 2015). In typical benchmarks, models are rewarded for producing correct answers and penalized — or not rewarded — for abstaining. This creates pressure against the expression of appropriate uncertainty (Moore &amp; Healy, 2008). Metacognitive control benchmarks must explicitly reward calibrated abstention — the choice not to respond when confidence is low — in order to create the conditions under which genuine control processes can be expressed and measured (Angelopoulos &amp; Bates, 2021).</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Proposed Benchmark Design Principles</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1: Decouple Accuracy from Confidence</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Every task in a metacognitive benchmark should jointly collect an accuracy signal (is the answer correct?) and a confidence signal (how confident was the model?). These signals must be measured independently to compute calibration metrics (Naeini et al., 2015). Confidence should be elicited at the item level, not aggregated post-hoc, and benchmark scoring should explicitly weight calibration alongside raw accuracy (Guo et al., 2017).</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2: Vary Epistemic Status Systematically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Benchmarks should include items spanning a spectrum of epistemic statuses: facts well-attested in training data, facts that are contested or ambiguous, facts about events beyond the training cutoff, and plausible-sounding but false claims (Kadavath et al., 2022). This variance allows analysis of whether confidence tracks epistemic status or whether models assign uniform confidence regardless of the reliability of their underlying representations (Xiong et al., 2024), a pattern that would be consistent with the Dunning-Kruger dynamics observed in human cognition (Kruger &amp; Dunning, 1999).</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3: Design Against Linguistic Mimicry</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Benchmark items should be constructed to decouple surface epistemic cues from ground truth epistemic status (Shea &amp; Frith, 2019). Items should include confident-sounding queries about topics the model is unlikely to know, and uncertain-sounding queries about topics with definitive answers. This prevents models from achieving high scores through learned associations between surface features and epistemic language, forcing genuine self-assessment (Griffiths et al., 2019; Xiong et al., 2024).</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4: Create Conditions for Error Detection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Multi-turn evaluation formats allow benchmarks to present models with their own previous responses — including seeded errors — and probe whether models can identify and correct mistakes (Anthropic, 2022; Nanda et al., 2023). A model with genuine metacognitive monitoring should be more likely to identify errors in its own output than a baseline, and should not confabulate justifications for incorrect responses. This paradigm, adapted from error monitoring research in cognitive neuroscience (Rabbitt, 1966), provides a particularly clean test of online monitoring processes (Nelson &amp; Narens, 1990).</w:t>
      </w:r>
    </w:p>
    <w:p>
      <w:pPr>
        <w:spacing w:line="480" w:before="0" w:after="0"/>
      </w:pPr>
      <w:r>
        <w:rPr>
          <w:rFonts w:ascii="Times New Roman" w:cs="Times New Roman" w:eastAsia="Times New Roman" w:hAnsi="Times New Roman"/>
          <w:sz w:val="24"/>
          <w:szCs w:val="24"/>
        </w:rPr>
        <w:t xml:space="preserve"/>
      </w:r>
    </w:p>
    <w:p>
      <w:pPr>
        <w:spacing w:line="480" w:before="0" w:after="0"/>
        <w:jc w:val="left"/>
      </w:pPr>
      <w:r>
        <w:rPr>
          <w:rFonts w:ascii="Times New Roman" w:cs="Times New Roman" w:eastAsia="Times New Roman" w:hAnsi="Times New Roman"/>
          <w:b/>
          <w:bCs/>
          <w:sz w:val="24"/>
          <w:szCs w:val="24"/>
        </w:rPr>
        <w:t xml:space="preserve">Principle 5: Reward Calibrated Abstention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Scoring systems should explicitly reward models for appropriate abstention (Angelopoulos &amp; Bates, 2021; Naeini et al., 2015). A model that correctly identifies a question as beyond its reliable knowledge and declines to answer should receive a positive score on that item. This aligns the incentive structure with the target behavior and prevents the benchmark from rewarding confident confabulation over honest uncertainty — a design principle directly motivated by the overconfidence literature in human judgment (Moore &amp; Healy, 2008).</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Theoretical Implications for AGI Measurement</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proposal developed here has implications beyond the narrow question of how to build better benchmarks. Metacognition occupies a theoretically significant position in debates about general intelligence (Flavell, 1979). Flavell (1979) and subsequent theorists have argued that metacognitive abilities are among the features that distinguish expert from novice performance, and that adaptive behavior in genuinely novel environments requires not just domain knowledge but the ability to monitor the limits of that knowledge (Brown, 1987; Dunlosky &amp; Metcalfe, 2009).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If LLMs lack robust metacognitive capacities — if their apparent uncertainty language is mimicry rather than monitoring, and their apparent self-knowledge is pattern-matching rather than genuine self-modeling — then they possess a critical limitation that would bear on any assessment of their proximity to general intelligence (Griffiths et al., 2019; Shea &amp; Frith, 2019). A system that cannot accurately represent its own limitations cannot reliably engage in the kinds of strategic, adaptive behavior that general intelligence demands (Nelson &amp; Narens, 1990).</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Conversely, evidence of genuine metacognitive processing — well-calibrated confidence, reliable error detection, appropriate abstention, and adaptive control — would constitute significant positive evidence toward capabilities that have traditionally been considered distinctively intelligent (Cattell, 1963; Flavell, 1979). The benchmarks proposed here are therefore not merely diagnostic tools but empirical tests of theoretically central hypotheses about the nature and limits of machine intelligence (Griffiths et al., 2019).</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Limitations and Future Directions</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Several important limitations of the present framework should be acknowledged. First, the theoretical constructs imported from human cognitive psychology may not map cleanly onto the computational architecture of transformer-based LLMs (Ghahramani, 2015). The Nelson and Narens (1990) meta-level/object-level distinction presupposes a modular architecture that may have no straightforward neural network analog. Future work should engage more directly with mechanistic interpretability research (Anthropic, 2022; Nanda et al., 2023) to determine whether LLM representations contain anything that functionally corresponds to self-monitoring.</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Second, our framework focuses on metacognition in the context of factual question answering. Metacognition in more open-ended creative or social domains — where ground truth is not definitive — poses different measurement challenges that the present framework does not fully address (Griffiths et al., 2019; Shea &amp; Frith, 2019).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Third, the question of what counts as genuine metacognition versus sophisticated behavioral mimicry remains philosophically contested (Shea &amp; Frith, 2019). We have not resolved this debate here; our contribution is to sharpen the empirical question so that benchmark designs can generate evidence that bears on it (Kadavath et al., 2022; Xiong et al., 2024).</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Future directions should include longitudinal study of how metacognitive profiles change across model generations (Nanda et al., 2023), comparative analysis of metacognitive profiles versus task performance profiles across frontier models (Srivastava et al., 2022), and exploration of whether metacognitive training signals can be incorporated into model development to improve calibration from the inside out (Angelopoulos &amp; Bates, 2021; Guo et al., 2017).</w:t>
      </w:r>
    </w:p>
    <w:p>
      <w:pPr>
        <w:spacing w:line="480" w:before="0" w:after="0"/>
      </w:pPr>
      <w:r>
        <w:rPr>
          <w:rFonts w:ascii="Times New Roman" w:cs="Times New Roman" w:eastAsia="Times New Roman" w:hAnsi="Times New Roman"/>
          <w:sz w:val="24"/>
          <w:szCs w:val="24"/>
        </w:rPr>
        <w:t xml:space="preserve"/>
      </w:r>
    </w:p>
    <w:p>
      <w:pPr>
        <w:spacing w:line="480" w:before="0" w:after="0"/>
        <w:jc w:val="center"/>
      </w:pPr>
      <w:r>
        <w:rPr>
          <w:rFonts w:ascii="Times New Roman" w:cs="Times New Roman" w:eastAsia="Times New Roman" w:hAnsi="Times New Roman"/>
          <w:b/>
          <w:bCs/>
          <w:sz w:val="24"/>
          <w:szCs w:val="24"/>
        </w:rPr>
        <w:t xml:space="preserve">Conclusion</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central argument of this paper is that benchmarking metacognition in large language models is both theoretically tractable and practically urgent. Drawing on a rich tradition in cognitive psychology (Dunlosky &amp; Metcalfe, 2009; Flavell, 1979; Nelson &amp; Narens, 1990), we have identified three functionally distinct components — metacognitive knowledge, monitoring, and control — that each demand distinct measurement strategies, and we have diagnosed three systematic failures in current benchmark paradigms that render them blind to these components (Guo et al., 2017; Hendrycks et al., 2021).</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The framework and design principles proposed here provide a foundation for constructing benchmarks that can generate meaningful, discriminating, and theoretically interpretable signals about whether AI systems possess genuine self-knowledge (Naeini et al., 2015; Shea &amp; Frith, 2019). Progress on these benchmarks will not only improve AI evaluation; it will advance our scientific understanding of a cognitive capacity that has long been considered central to intelligence itself (Flavell, 1979; Griffiths et al., 2019).</w:t>
      </w:r>
    </w:p>
    <w:p>
      <w:pPr>
        <w:spacing w:line="480" w:before="0" w:after="0"/>
      </w:pPr>
      <w:r>
        <w:rPr>
          <w:rFonts w:ascii="Times New Roman" w:cs="Times New Roman" w:eastAsia="Times New Roman" w:hAnsi="Times New Roman"/>
          <w:sz w:val="24"/>
          <w:szCs w:val="24"/>
        </w:rPr>
        <w:t xml:space="preserve"/>
      </w:r>
    </w:p>
    <w:p>
      <w:pPr>
        <w:spacing w:line="480" w:before="0" w:after="0"/>
        <w:ind w:firstLine="720"/>
        <w:jc w:val="both"/>
      </w:pPr>
      <w:r>
        <w:rPr>
          <w:rFonts w:ascii="Times New Roman" w:cs="Times New Roman" w:eastAsia="Times New Roman" w:hAnsi="Times New Roman"/>
          <w:sz w:val="24"/>
          <w:szCs w:val="24"/>
        </w:rPr>
        <w:t xml:space="preserve">As AI systems take on increasingly autonomous and consequential roles, the question of whether they know what they do not know is no longer merely philosophical. It is a safety-critical empirical question (Anthropic, 2022; Kadavath et al., 2022). This paper is an invitation to take that question seriously.</w:t>
      </w:r>
    </w:p>
    <w:p>
      <w:pPr>
        <w:spacing w:line="480" w:before="0" w:after="0"/>
      </w:pPr>
      <w:r>
        <w:rPr>
          <w:rFonts w:ascii="Times New Roman" w:cs="Times New Roman" w:eastAsia="Times New Roman" w:hAnsi="Times New Roman"/>
          <w:sz w:val="24"/>
          <w:szCs w:val="24"/>
        </w:rPr>
        <w:t xml:space="preserve"/>
      </w:r>
    </w:p>
    <w:p>
      <w:pPr>
        <w:pageBreakBefore/>
      </w:pPr>
    </w:p>
    <w:p>
      <w:pPr>
        <w:spacing w:line="480" w:before="0" w:after="0"/>
        <w:jc w:val="center"/>
      </w:pPr>
      <w:r>
        <w:rPr>
          <w:rFonts w:ascii="Times New Roman" w:cs="Times New Roman" w:eastAsia="Times New Roman" w:hAnsi="Times New Roman"/>
          <w:b/>
          <w:bCs/>
          <w:sz w:val="24"/>
          <w:szCs w:val="24"/>
        </w:rPr>
        <w:t xml:space="preserve">References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Angelopoulos, A. N., &amp; Bates, S. (2021). A gentle introduction to conformal prediction and distribution-free uncertainty quantification. arXiv. https://arxiv.org/abs/2107.07511. Retrieved March 21, 2026, from https://arxiv.org/abs/2107.07511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Anthropic. (2022). Constitutional AI: Harmlessness from AI feedback. arXiv. Retrieved March 21, 2026, from https://arxiv.org/abs/2212.08073</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Brown, A. L. (1987). Metacognition, executive control, self-regulation, and other more mysterious mechanisms. In F. E. Weinert &amp; R. H. Kluwe (Eds.), Metacognition, motivation, and understanding (pp. 65–116). Lawrence Erlbaum Associates.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Cattell, R. B. (1963). Theory of fluid and crystallized intelligence: A critical experiment. Journal of Educational Psychology, 54(1), 1–22. https://doi.org/10.1037/h0046743. Retrieved March 21, 2026, from https://doi.org/10.1037/h0046743</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Dunlosky, J., &amp; Metcalfe, J. (2009). Metacognition. SAGE Publications.</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Flavell, J. H. (1979). Metacognition and cognitive monitoring: A new area of cognitive-developmental inquiry. American Psychologist, 34(10), 906–911. Retrieved March 21, 2026, from https://doi.org/10.1037/0003-066X.34.10.906</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Ghahramani, Z. (2015). Probabilistic machine learning and artificial intelligence. Nature, 521(7553), 452–459. Retrieved March 21, 2026, from https://doi.org/10.1038/nature14541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Griffiths, T. L., Callaway, F., Chang, M. B., Grant, E., Krueger, P. M., &amp; Lieder, F. (2019). Doing more with less: Meta-reasoning and meta-learning in humans and machines. Current Opinion in Behavioral Sciences, 29, 24–30. Retrieved March 21, 2026, from https://doi.org/10.1016/j.cobeha.2019.01.005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Guo, C., Pleiss, G., Sun, Y., &amp; Weinberger, K. Q. (2017). On calibration of modern neural networks. Proceedings of the 34th International Conference on Machine Learning, 70, 1321–1330. Retrieved March 21, 2026, from http://proceedings.mlr.press/v70/guo17a.html</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Hart, J. T. (1965). Memory and the feeling-of-knowing experience. Journal of Educational Psychology, 56(4), 208–216. Retrieved March 21, 2026, from https://doi.org/10.1037/h0022263</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Hendrycks, D., Burns, C., Basart, S., Zou, A., Mazeika, M., Song, D., &amp; Steinhardt, J. (2021). Measuring massive multitask language understanding. arXiv. Retrieved March 21, 2026, from https://arxiv.org/abs/2009.03300</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Kadavath, S., Conerly, T., Askell, A., Henighan, T., Drain, D., Perez, E., Schiefer, N., Das Sarma, S., Tran-Johnson, T., Johnston, S., El-Showk, S., Jones, A., Elhage, N., Hume, T., Chen, A., Bai, Y., Bowman, S., Fort, S., Ganguli, D., … Kaplan, J. (2022). Language models (mostly) know what they know. arXiv. Retrieved March 21, 2026, from https://arxiv.org/abs/2207.05221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Kruger, J., &amp; Dunning, D. (1999). Unskilled and unaware of it: How difficulties in recognizing one’s own incompetence lead to inflated self-assessments. Journal of Personality and Social Psychology, 77(6), 1121–1134. Retrieved March 21, 2026, from https://doi.org/10.1037/0022-3514.77.6.1121</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Moore, D. A., &amp; Healy, P. J. (2008). The trouble with overconfidence. Psychological Review, 115(2), 502–517. Retrieved March 21, 2026, from https://doi.org/10.1037/0033-295X.115.2.502</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Naeini, M. P., Cooper, G. F., &amp; Hauskrecht, M. (2015). Obtaining well calibrated probabilities using Bayesian binning. Proceedings of the AAAI Conference on Artificial Intelligence, 29(1), 2901–2907. Retrieved March 21, 2026, from https://ojs.aaai.org/index.php/AAAI/article/view/9602</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Nanda, N., Chan, L., Lieberum, T., Smith, J., &amp; Steinhardt, J. (2023). Progress measures for grokking via mechanistic interpretability. arXiv. Retrieved March 21, 2026, from https://arxiv.org/abs/2301.05217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Nelson, T. O., &amp; Narens, L. (1990). Metamemory: A theoretical framework and new findings. In G. H. Bower (Ed.), The psychology of learning and motivation (Vol. 26, pp. 125–173). Academic Press. Retrieved March 21, 2026, from https://doi.org/10.1016/S0079-7421(08)60053-5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Rabbitt, P. M. A. (1966). Error correction time without external error signals. Nature, 212(5060), 438. Retrieved March 21, 2026, from https://doi.org/10.1038/212438a0</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Shea, N., &amp; Frith, C. D. (2019). The global workspace needs metacognition. Trends in Cognitive Sciences, 23(7), 560–571. Retrieved March 21, 2026, from https://doi.org/10.1016/j.tics.2019.04.007</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Srivastava, A., Rastogi, A., Rao, A., Shoaib Wasim, A., Bhatt, U., Marber, B., Parmar, N., Basu, S., Ballen, Z., Bhattamishra, S., Bhattacharyya, T., Bhavsar, T., Bhomia, S., Bhutani, V., Bogle, A., Boyko, B., Buczkowski, B., &amp; others. (2022). Beyond the imitation game: Quantifying and extrapolating the capabilities of language models. arXiv. Retrieved March 21, 2026, from https://arxiv.org/abs/2206.04615</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Xiong, M., Hu, Z., Lu, X., Li, Y., Fu, J., He, J., &amp; Hooi, B. (2024). Can LLMs express their uncertainty? An empirical evaluation of confidence elicitation in large language models. Proceedings of the 12th International Conference on Learning Representations. Retrieved March 21, 2026, from https://openreview.net/forum?id=gjeQKFxFpZ</w:t>
      </w:r>
    </w:p>
    <w:p>
      <w:pPr>
        <w:spacing w:line="480" w:before="0" w:after="0"/>
      </w:pPr>
      <w:r>
        <w:rPr>
          <w:rFonts w:ascii="Times New Roman" w:cs="Times New Roman" w:eastAsia="Times New Roman" w:hAnsi="Times New Roman"/>
          <w:sz w:val="24"/>
          <w:szCs w:val="24"/>
        </w:rPr>
        <w:t xml:space="preserve"/>
      </w:r>
    </w:p>
    <w:p>
      <w:pPr>
        <w:spacing w:line="480" w:before="0" w:after="0"/>
        <w:ind w:left="720" w:hanging="720"/>
        <w:jc w:val="both"/>
      </w:pPr>
      <w:r>
        <w:rPr>
          <w:rFonts w:ascii="Times New Roman" w:cs="Times New Roman" w:eastAsia="Times New Roman" w:hAnsi="Times New Roman"/>
          <w:sz w:val="24"/>
          <w:szCs w:val="24"/>
        </w:rPr>
        <w:t xml:space="preserve">Zellers, R., Holtzman, A., Bisk, Y., Farhadi, A., &amp; Choi, Y. (2019). HellaSwag: Can a machine really finish your sentence? Proceedings of the 57th Annual Meeting of the Association for Computational Linguistics, 4791–4800. Retrieved March 21, 2026, from https://doi.org/10.18653/v1/P19-1472</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line="240"/>
    </w:pPr>
    <w:r>
      <w:rPr>
        <w:rFonts w:ascii="Times New Roman" w:cs="Times New Roman" w:eastAsia="Times New Roman" w:hAnsi="Times New Roman"/>
        <w:sz w:val="24"/>
        <w:szCs w:val="24"/>
      </w:rPr>
      <w:t xml:space="preserve">METACOGNITION BENCHMARKING FOR AGI EVALUATION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pgNum/>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2026-03-21T17:06:56.757Z</dcterms:created>
  <dcterms:modified xsi:type="dcterms:W3CDTF">2026-03-21T17:06:56.759Z</dcterms:modified>
</cp:coreProperties>
</file>

<file path=docProps/custom.xml><?xml version="1.0" encoding="utf-8"?>
<Properties xmlns="http://schemas.openxmlformats.org/officeDocument/2006/custom-properties" xmlns:vt="http://schemas.openxmlformats.org/officeDocument/2006/docPropsVTypes"/>
</file>