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When Benchmarks Lie: Goodhart’s Law, KPI Self-Reinforcement Drift,</w:t>
      </w:r>
    </w:p>
    <w:p>
      <w:pPr>
        <w:spacing w:line="480" w:before="0" w:after="0"/>
        <w:jc w:val="center"/>
      </w:pPr>
      <w:r>
        <w:rPr>
          <w:rFonts w:ascii="Times New Roman" w:cs="Times New Roman" w:eastAsia="Times New Roman" w:hAnsi="Times New Roman"/>
          <w:b/>
          <w:bCs/>
          <w:sz w:val="24"/>
          <w:szCs w:val="24"/>
        </w:rPr>
        <w:t xml:space="preserve">and a Governance Architecture for AI Metacognitive Evaluation</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sz w:val="24"/>
          <w:szCs w:val="24"/>
        </w:rPr>
        <w:t xml:space="preserve">Gina Aulabaugh</w:t>
      </w:r>
    </w:p>
    <w:p>
      <w:pPr>
        <w:spacing w:line="480" w:before="0" w:after="0"/>
        <w:jc w:val="center"/>
      </w:pPr>
      <w:r>
        <w:rPr>
          <w:rFonts w:ascii="Times New Roman" w:cs="Times New Roman" w:eastAsia="Times New Roman" w:hAnsi="Times New Roman"/>
          <w:sz w:val="24"/>
          <w:szCs w:val="24"/>
        </w:rPr>
        <w:t xml:space="preserve">PixelKraze, LLC</w:t>
      </w:r>
    </w:p>
    <w:p>
      <w:pPr>
        <w:spacing w:line="480" w:before="0" w:after="0"/>
        <w:jc w:val="center"/>
      </w:pPr>
      <w:r>
        <w:rPr>
          <w:rFonts w:ascii="Times New Roman" w:cs="Times New Roman" w:eastAsia="Times New Roman" w:hAnsi="Times New Roman"/>
          <w:sz w:val="24"/>
          <w:szCs w:val="24"/>
        </w:rPr>
        <w:t xml:space="preserve">March 21, 2026</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Author Note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Gina Aulabaugh is the founder of PixelKraze, LLC. This paper was originally developed as a governance framework for AI-optimized call center environments (Aulabaugh, 2026) and has been revised and extended for application to AI benchmark evaluation in the context of the Google DeepMind &amp; Kaggle Hackathon: Measuring Progress Toward AGI — Cognitive Abilities (2026), Metacognition Track. The Kardashev Trust Classification layer and System Integrity Index formalism are original contributions of the author. The author declares no conflicts of interest.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Correspondence concerning this article should be addressed to Gina Aulabaugh, PixelKraze, LLC.</w:t>
      </w:r>
    </w:p>
    <w:p>
      <w:pPr>
        <w:pageBreakBefore/>
      </w:pPr>
    </w:p>
    <w:p>
      <w:pPr>
        <w:spacing w:line="480" w:before="0" w:after="0"/>
        <w:jc w:val="center"/>
      </w:pPr>
      <w:r>
        <w:rPr>
          <w:rFonts w:ascii="Times New Roman" w:cs="Times New Roman" w:eastAsia="Times New Roman" w:hAnsi="Times New Roman"/>
          <w:b/>
          <w:bCs/>
          <w:sz w:val="24"/>
          <w:szCs w:val="24"/>
        </w:rPr>
        <w:t xml:space="preserve">Abstract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Benchmarks are the primary instrument by which the AI research community tracks progress toward general intelligence. Yet the structural conditions under which benchmarks operate render them vulnerable to a well-documented failure mode: when a measure becomes a target, it ceases to be a good measure (Goodhart, 1975). This paper applies Goodhart’s Law and Campbell’s Law (Campbell, 1976) to the domain of AI benchmark evaluation, identifying a structural dynamic termed KPI Self-Reinforcement Drift — the process by which optimization pressure causes proxy metric improvement to diverge from the durable cognitive capability the metric was designed to capture. We argue that this dynamic is especially acute in metacognitive benchmarking, where the gap between surface performance (fluent epistemic language production) and genuine capability (calibrated self-knowledge) is both large and difficult to detect. Drawing on a governance architecture originally developed for AI-optimized call center environments (Aulabaugh, 2026), we introduce an adapted integrity control framework comprising six governance signals — the Delayed Adverse Rate (DAR), Downstream Remediation Load (DRL), Durable Outcome Validation (DOV), Proxy Overfit Ratio (POR), Terminal Exit Rate (TER), and a composite System Integrity Index (SII) — reinterpreted for the AI evaluation context. A Kardashev Trust Classification layer translates SII output into three model tiers: Proxy Mastery (Type I), Resolution Mastery (Type II), and Systemic Integrity (Type III). Applied to metacognitive benchmarking, this framework provides both a diagnostic architecture for detecting benchmark distortion and a principled classification scheme for characterizing the integrity of model self-knowledge across frontier AI systems.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Goodhart’s Law, benchmark evaluation, metacognition, large language models, KPI drift, System Integrity Index, Kardashev Trust Classification, artificial general intelligence</w:t>
      </w:r>
    </w:p>
    <w:p>
      <w:pPr>
        <w:pageBreakBefore/>
      </w:pPr>
    </w:p>
    <w:p>
      <w:pPr>
        <w:spacing w:line="480" w:before="0" w:after="0"/>
        <w:jc w:val="center"/>
      </w:pPr>
      <w:r>
        <w:rPr>
          <w:rFonts w:ascii="Times New Roman" w:cs="Times New Roman" w:eastAsia="Times New Roman" w:hAnsi="Times New Roman"/>
          <w:b/>
          <w:bCs/>
          <w:sz w:val="24"/>
          <w:szCs w:val="24"/>
        </w:rPr>
        <w:t xml:space="preserve">When Benchmarks Lie: Goodhart’s Law, KPI Self-Reinforcement Drift,</w:t>
      </w:r>
    </w:p>
    <w:p>
      <w:pPr>
        <w:spacing w:line="480" w:before="0" w:after="0"/>
        <w:jc w:val="center"/>
      </w:pPr>
      <w:r>
        <w:rPr>
          <w:rFonts w:ascii="Times New Roman" w:cs="Times New Roman" w:eastAsia="Times New Roman" w:hAnsi="Times New Roman"/>
          <w:b/>
          <w:bCs/>
          <w:sz w:val="24"/>
          <w:szCs w:val="24"/>
        </w:rPr>
        <w:t xml:space="preserve">and a Governance Architecture for AI Metacognitive Evaluation</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Introduction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history of science is littered with measures that betrayed the phenomena they were designed to track. Goodhart (1975) articulated the general principle: once a measure becomes a target, it ceases to be a good measure. Campbell (1976) extended this insight institutionally, demonstrating that the more a social metric is used for high-stakes decision-making, the more susceptible it becomes to corruption and gaming. Together, these observations constitute a warning that has proven remarkably durable across domains — from educational testing (Koretz, 2008) to financial regulation (Mackenzie, 2006) to medical quality metrics (Werner &amp; Asch, 2005).</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domain of AI evaluation is not immune. Benchmark scores on leading evaluations including MMLU (Hendrycks et al., 2021), BIG-Bench (Srivastava et al., 2022), and HellaSwag (Zellers et al., 2019) have become de facto targets in the AI development community — shaping training pipelines, driving architectural decisions, and functioning as the primary currency of progress claims. Under these conditions, Goodhart’s Law predicts a systematic divergence: benchmark scores will improve faster than the underlying cognitive capabilities those benchmarks were designed to measure.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divergence is especially consequential in the domain of metacognition. As argued in the companion paper to this work (Aulabaugh, 2026b), metacognitive evaluation requires distinguishing between models that genuinely monitor and regulate their own epistemic states and models that have learned to produce contextually appropriate epistemic language without any reliable internal self-monitoring signal. The latter — what Aulabaugh (2026b) terms the mimicry problem — is precisely the kind of proxy success that Goodhart’s Law predicts will emerge under sustained optimization pressure.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paper develops a governance architecture for AI metacognitive benchmarking grounded in the Goodhart/Campbell tradition. Section 2 formalizes the structural problem as KPI Self-Reinforcement Drift and maps it onto the AI evaluation context. Section 3 introduces six integrity governance signals adapted from Aulabaugh (2026a). Section 4 presents the System Integrity Index (SII) as a composite governance constraint. Section 5 introduces the Kardashev Trust Classification as a model-tier framework. Section 6 discusses implications for the design of metacognitive benchmarks and for the broader project of measuring progress toward Artificial General Intelligence.</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 Structural Problem: KPI Self-Reinforcement Drift</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Goodhart’s Law in Institutional Context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Goodhart’s original observation (1975) arose in the context of monetary policy: statistical regularities that held when they were merely observed tended to break down when they were used as policy targets. Campbell (1976) generalized this to social indicators, demonstrating that any metric used for institutional decision-making acquires a dual character — it measures something, and it incentivizes behavior directed at its own improvement. These two functions are in tension: optimizing for the metric systematically degrades its validity as a measure.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Musgrave (2021) has formalized this as a principal-agent problem in which the metric functions as a contract between the principal (who wants the underlying outcome) and the agent (who optimizes the observable proxy). Under sufficient optimization pressure, agents discover strategies that improve the proxy without improving — or while actively degrading — the underlying outcome. This is not manipulation in the colloquial sense; it is a structural convergence toward a local optimum that diverges from the principal’s true objective.</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KPI Self-Reinforcement Drift in AI Evaluation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Aulabaugh (2026a) introduced the concept of KPI Self-Reinforcement Drift to describe a failure mode specific to AI-accelerated systems, in which a proxy metric simultaneously functions as a performance target, an incentive mechanism, and a machine-learning training label. This triple role creates a closed reinforcing loop:</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A proxy metric defines success. Optimization pressure drives performance toward the proxy. Behavior and outputs shift. Outcomes are labeled based on the proxy. The model retrains on those labels. The model reinforces proxy-optimizing behavior. Under AI acceleration, each cycle of this loop compresses in time, amplifying the divergence between proxy performance and durable outcomes (Aulabaugh, 2026a).</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In AI benchmark evaluation, the loop operates as follows. A benchmark score defines model quality. Researchers and developers optimize training procedures toward benchmark performance. Models that score well become reference points for further development. Benchmark items are implicitly or explicitly incorporated into training data. The next generation of models arrives pre-optimized for benchmark success. The benchmark score inflates while the underlying capability it was designed to measure may stagnate or regress (Kiela et al., 2021).</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dynamic has been empirically documented in the NLP evaluation literature. Gururangan et al. (2018) demonstrated that strong performance on NLI benchmarks could be achieved by exploiting statistical artifacts in the datasets rather than learning genuine natural language inference. Niven and Kao (2019) showed that BERT’s performance on argument reasoning comprehension tasks was driven largely by lexical shortcuts rather than reasoning. Schlegel et al. (2020) found systematic performance degradation when benchmark items were paraphrased to remove spurious correlations. In each case, benchmark scores reflected proxy optimization rather than genuine capability.</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Metacognitive Case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Metacognitive benchmarking is particularly vulnerable to KPI Self-Reinforcement Drift for two reasons. First, the target capability — genuine epistemic self-monitoring — is not directly observable. It must be inferred from behavioral signals that are themselves susceptible to mimicry (Aulabaugh, 2026b; Shea &amp; Frith, 2019). Second, large language models are trained on human text that contains rich epistemic language: hedges, qualifications, uncertainty markers, and confidence expressions. This means models arrive at metacognitive evaluation pre-equipped with a large repertoire of proxy behaviors that can produce high benchmark scores without any genuine self-monitoring.</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result is a Goodhart Gap — the divergence between proxy performance (apparent calibration, expressed uncertainty language) and durable metacognitive capability (genuine confidence-accuracy alignment, reliable error detection, adaptive epistemic control). Measuring and constraining this gap is the central design challenge for metacognitive benchmark construction.</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Governance Signals for Benchmark Integrity</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Aulabaugh (2026a) developed a set of integrity governance signals for AI-optimized operational environments, designed to detect metric distortion before systemic degradation occurs. These signals are adapted here for the AI benchmark evaluation context. Each signal targets a distinct dimension of the gap between proxy performance and durable metacognitive capability.</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Delayed Adverse Rate (DAR)</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In operational environments, the Delayed Adverse Rate measures outcome instability following labeled success — cases where a transaction appeared successful at evaluation time but produced adverse downstream effects (Aulabaugh, 2026a). In the benchmark context, DAR measures the rate at which models that express high confidence on benchmark items are subsequently found to be incorrect on semantically equivalent or follow-up items. A high DAR indicates that confident responses are not grounded in stable representations but in surface feature matching — the signature of proxy optimization rather than genuine knowledge (Xiong et al., 2024).</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Formally, let F denote the number of high-confidence responses that fail on follow-up probes, and D the total number of high-confidence responses. Then: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DARᵣₐᵧ = F / D</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DAR is normalized to [0, 1] using the higher-is-worse normalization function N↑(x; L, H) = clamp((x − L) / (H − L), 0, 1), where L and H are empirically calibrated lower and upper bounds (Aulabaugh, 2026a).</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Downstream Remediation Load (DRL)</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Downstream Remediation Load captures distributional drift in the downstream consequences of labeled successes (Aulabaugh, 2026a). In the benchmark context, DRL measures the degree to which models that perform well on primary benchmark tasks require disproportionate correction or clarification in follow-on interactions. Using Jensen-Shannon divergence to compare the distribution of post-benchmark behaviors for high-scoring models against a calibrated baseline: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DRLᵣₐᵧ = JS(p ∥ q)</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where p is the observed downstream distribution and q is the baseline. Elevated DRL in a model that scores well on surface metacognitive indicators suggests that apparent calibration is not generalizing to novel contexts — consistent with KPI Self-Reinforcement Drift rather than genuine metacognitive competence.</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Durable Outcome Validation (DOV)</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Durable Outcome Validation measures decay in predictive validity over time or across distributional shifts (Aulabaugh, 2026a). For metacognitive benchmarking, DOV operationalizes a central principle from the calibration literature (Guo et al., 2017; Naeini et al., 2015): calibration that holds only within the distribution of training and benchmark items, and degrades under distributional shift, is proxy calibration rather than durable metacognitive integrity.</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DOV = clamp((Aᵇₐˢᵉ − Aᶜᵘʳ) / (Aᵇₐˢᵉ + ε), 0, 1)</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where Aᵇₐˢᵉ is baseline calibration accuracy and Aᶜᵘʳ is current calibration accuracy on held-out or shifted evaluation sets. DOV approaching 1 indicates severe degradation in metacognitive validity.</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Proxy Overfit Ratio (POR)</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Proxy Overfit Ratio directly operationalizes the Goodhart Gap, measuring the acceleration imbalance between proxy metric improvement and durable outcome improvement (Aulabaugh, 2026a). For metacognitive benchmarking:</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PORᵣₐᵧ = clamp(ΔP / (ΔT + ε), 0, K)</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where ΔP is the rate of improvement in the proxy metacognitive benchmark score and ΔT is the rate of improvement in an independent measure of true metacognitive capability (e.g., out-of-distribution calibration, novel domain error detection). POR &gt; 1 indicates that proxy scores are improving faster than genuine capability — the signature of Goodhart’s Law in action.</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Terminal Exit Rate (TER)</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In operational settings, the Terminal Exit Rate captures the proportion of interactions that end in unrecoverable failure — where no remediation is possible (Aulabaugh, 2026a). In benchmark evaluation, TER measures the proportion of evaluation scenarios in which model metacognitive failure produces downstream outcomes that cannot be detected or corrected by the model itself. This is conceptually aligned with the metacognitive control literature’s emphasis on adaptive regulation: a model with genuine control processes should be able to recover from at least some error states (Dunlosky &amp; Metcalfe, 2009; Nelson &amp; Narens, 1990).</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 System Integrity Index</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System Integrity Index (SII) aggregates the individual governance signals into a composite constraint on benchmark interpretation. Following Aulabaugh (2026a), SII is defined as a weighted sum of normalized governance signals: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SII = 100 (w_DAR 00B7 DAR + w_DRL 00B7 DRL + w_DOV 00B7 DOV + w_POR 00B7 POR)</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where weights sum to 1 and are calibrated empirically against held-out validation sets. A gated variant, SIIᵏᵃᵗᵉᵈ, forces maximum SII (100) when DOV exceeds a critical threshold τ, indicating that predictive validity has degraded beyond a recoverable threshold regardless of other signal values (Aulabaugh, 2026a).</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Critically, SII is not a performance score. It is a velocity regulator and a veto condition. When SII rises while proxy benchmark scores improve, this is the diagnostic signature of KPI Self-Reinforcement Drift: surface performance improving while structural integrity degrades. Under such conditions, benchmark scores should not be interpreted as evidence of genuine metacognitive capability (Aulabaugh, 2026a; Goodhart, 1975).</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Override Conditions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Following Aulabaugh (2026a), certain empirical thresholds force maximum integrity concern regardless of the composite SII score. In the metacognitive benchmarking context, these override conditions are adapted as follows: a Goodhart Gap (proxy calibration score minus true out-of-distribution calibration) exceeding 25 percentage points; a bandaid response rate (confident responses that require immediate follow-up correction) exceeding 50%; a repeat probe failure rate (same question, paraphrased) exceeding 40%; and a model drift score (within-session confidence instability) exceeding 0.60. Any single override condition forces Type I classification in the Kardashev Trust framework regardless of SII.</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 Kardashev Trust Classification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Kardashev scale classifies civilizations by their capacity to harness and utilize energy at increasing scales of mastery. The analogy for AI metacognitive evaluation is direct: a system can exhibit the appearance of epistemic mastery — fluent uncertainty language, surface-level hedging, apparent calibration — without possessing the underlying cognitive architecture that genuine mastery requires (Aulabaugh, 2026a; Shea &amp; Frith, 2019).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 model reporting 89% confidence calibration on in-distribution benchmark items while exhibiting near-random calibration on out-of-distribution probes is not a Type II system with a measurement error. It is a Type I system — one that has optimized the appearance of metacognitive integrity rather than the integrity itself. The Kardashev Trust Classification makes this distinction operationally explicit.</w:t>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4860"/>
      </w:tblGrid>
      <w:tr>
        <w:trPr>
          <w:tblHeader/>
        </w:trPr>
        <w:tc>
          <w:tcPr>
            <w:tcW w:type="dxa" w:w="1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360" w:before="0" w:after="0"/>
              <w:jc w:val="center"/>
            </w:pPr>
            <w:r>
              <w:rPr>
                <w:rFonts w:ascii="Times New Roman" w:cs="Times New Roman" w:eastAsia="Times New Roman" w:hAnsi="Times New Roman"/>
                <w:b/>
                <w:bCs/>
                <w:sz w:val="20"/>
                <w:szCs w:val="20"/>
              </w:rPr>
              <w:t xml:space="preserve">Type</w:t>
            </w:r>
          </w:p>
        </w:tc>
        <w:tc>
          <w:tcPr>
            <w:tcW w:type="dxa" w:w="1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360" w:before="0" w:after="0"/>
              <w:jc w:val="center"/>
            </w:pPr>
            <w:r>
              <w:rPr>
                <w:rFonts w:ascii="Times New Roman" w:cs="Times New Roman" w:eastAsia="Times New Roman" w:hAnsi="Times New Roman"/>
                <w:b/>
                <w:bCs/>
                <w:sz w:val="20"/>
                <w:szCs w:val="20"/>
              </w:rPr>
              <w:t xml:space="preserve">Tier</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360" w:before="0" w:after="0"/>
              <w:jc w:val="center"/>
            </w:pPr>
            <w:r>
              <w:rPr>
                <w:rFonts w:ascii="Times New Roman" w:cs="Times New Roman" w:eastAsia="Times New Roman" w:hAnsi="Times New Roman"/>
                <w:b/>
                <w:bCs/>
                <w:sz w:val="20"/>
                <w:szCs w:val="20"/>
              </w:rPr>
              <w:t xml:space="preserve">SII Range</w:t>
            </w:r>
          </w:p>
        </w:tc>
        <w:tc>
          <w:tcPr>
            <w:tcW w:type="dxa" w:w="48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360" w:before="0" w:after="0"/>
              <w:jc w:val="center"/>
            </w:pPr>
            <w:r>
              <w:rPr>
                <w:rFonts w:ascii="Times New Roman" w:cs="Times New Roman" w:eastAsia="Times New Roman" w:hAnsi="Times New Roman"/>
                <w:b/>
                <w:bCs/>
                <w:sz w:val="20"/>
                <w:szCs w:val="20"/>
              </w:rPr>
              <w:t xml:space="preserve">Characteristic</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Type I</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Proxy Mastery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SII ≥ 30</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Model optimizes surface epistemic language. Goodhart Gap active. High DAR and POR. Benchmark scores reflect proxy optimization, not genuine metacognitive capability. Circuit breaker: WATCH or VETO.</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Type II</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Resolution Mastery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SII 10–29</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Genuine metacognitive signals present but measurable proxy drift detected. Calibration holds in-distribution but degrades under shift. Circuit breaker: approaching WATCH.</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Type III</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Systemic Integrity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SII &lt; 10</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360" w:before="0" w:after="0"/>
              <w:jc w:val="left"/>
            </w:pPr>
            <w:r>
              <w:rPr>
                <w:rFonts w:ascii="Times New Roman" w:cs="Times New Roman" w:eastAsia="Times New Roman" w:hAnsi="Times New Roman"/>
                <w:sz w:val="20"/>
                <w:szCs w:val="20"/>
              </w:rPr>
              <w:t xml:space="preserve">Proxy and durable metacognitive outcome are aligned. Confidence tracks accuracy across distributions. Self-correcting behavior present. Clean baseline.</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1</w:t>
      </w:r>
    </w:p>
    <w:p>
      <w:pPr>
        <w:spacing w:line="480" w:before="0" w:after="0"/>
        <w:ind/>
        <w:jc w:val="both"/>
      </w:pPr>
      <w:r>
        <w:rPr>
          <w:rFonts w:ascii="Times New Roman" w:cs="Times New Roman" w:eastAsia="Times New Roman" w:hAnsi="Times New Roman"/>
          <w:sz w:val="24"/>
          <w:szCs w:val="24"/>
        </w:rPr>
        <w:t xml:space="preserve">Kardashev Trust Classification for AI Metacognitive Evaluation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Kardashev tier is a narrative rendering of SII output and requires no additional data collection beyond the governance signal pipeline. It is designed to be immediately legible to non-technical stakeholders and benchmark consumers who may not interpret raw calibration statistics directly (Aulabaugh, 2026a).</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Formal Definition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Kardashev Trust Type (KTT) is computed directly from SIIᵏᵃᵗᵉᵈ:</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KTT = I    if SIIᵏᵃᵗᵉᵈ ≥ 30, or any override condition is satisfied</w:t>
      </w:r>
    </w:p>
    <w:p>
      <w:pPr>
        <w:spacing w:line="480" w:before="0" w:after="0"/>
        <w:ind/>
        <w:jc w:val="both"/>
      </w:pPr>
      <w:r>
        <w:rPr>
          <w:rFonts w:ascii="Times New Roman" w:cs="Times New Roman" w:eastAsia="Times New Roman" w:hAnsi="Times New Roman"/>
          <w:sz w:val="24"/>
          <w:szCs w:val="24"/>
        </w:rPr>
        <w:t xml:space="preserve">KTT = III  if SIIᵏᵃᵗᵉᵈ &lt; 10 and Goodhart Gap ≤ 0.05</w:t>
      </w:r>
    </w:p>
    <w:p>
      <w:pPr>
        <w:spacing w:line="480" w:before="0" w:after="0"/>
        <w:ind/>
        <w:jc w:val="both"/>
      </w:pPr>
      <w:r>
        <w:rPr>
          <w:rFonts w:ascii="Times New Roman" w:cs="Times New Roman" w:eastAsia="Times New Roman" w:hAnsi="Times New Roman"/>
          <w:sz w:val="24"/>
          <w:szCs w:val="24"/>
        </w:rPr>
        <w:t xml:space="preserve">KTT = II   otherwise</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Implications for Metacognitive Benchmark Design</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Decoupling Proxy and Durable Signals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governance architecture developed here implies a specific design imperative for metacognitive benchmarks: every evaluation must include both a proxy signal (in-distribution confidence expression) and a durable signal (out-of-distribution calibration, error detection on paraphrased items, follow-up probe consistency). Without the durable signal, the Goodhart Gap cannot be measured, and Type I models — those that have learned to mimic epistemic language without genuine self-monitoring — cannot be distinguished from Type III models with genuine metacognitive integrity (Aulabaugh, 2026b; Kadavath et al., 2022).</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SII as a Benchmark Validity Constraint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System Integrity Index should function not as an additional performance metric but as a validity constraint on benchmark interpretation. A benchmark that produces high SII scores — indicating large Goodhart Gaps, elevated DAR, and POR &gt; 1 — is structurally compromised as an evaluation instrument, regardless of how well models score on it. This reframes SII from a model quality measure to a benchmark quality measure, consistent with the growing literature on adversarial benchmark construction (Kiela et al., 2021) and the need for dynamic, contamination-resistant evaluation paradigms (Gururangan et al., 2018).</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Kardashev Tier as a Communication Tool</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practical value of the Kardashev Trust Classification extends beyond technical evaluation. As AI systems are deployed in consequential domains — medicine, law, education — stakeholders without statistical training must make decisions about which models to trust with epistemic authority. A model classified as Type I (Proxy Mastery) communicates, in immediately legible terms, that its apparent confidence and self-knowledge should not be trusted in high-stakes contexts. A model classified as Type III (Systemic Integrity) communicates that its metacognitive signals have been validated against durable outcome measures and are not merely proxy artifacts. This translation function is a direct application of the governance communication principles developed in Aulabaugh (2026a).</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Theoretical Implications for AGI Measurement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framework developed here has implications that extend beyond metacognitive evaluation to the broader project of measuring progress toward Artificial General Intelligence. If Goodhart’s Law applies to AI benchmarks — and the evidence reviewed here strongly suggests that it does — then aggregate benchmark performance is a systematically unreliable indicator of genuine cognitive progress. Models that achieve state-of-the-art scores on existing evaluations may be doing so through increasingly sophisticated proxy optimization rather than through the development of genuinely general cognitive capacities (Chollet, 2019).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concern is particularly acute for metacognition. Flavell (1979) and subsequent theorists have argued that metacognitive ability — the capacity to accurately represent and regulate one’s own cognitive states — is among the most distinctively general of cognitive capacities. If the measures used to assess metacognition in AI systems are themselves subject to Goodhart’s Law, then apparent progress toward metacognitive AGI may be largely illusory: Type I systems masquerading as Type II or III under evaluations that cannot detect the Goodhart Gap.</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governance architecture presented here offers a partial solution. By measuring the divergence between proxy and durable signals, constraining benchmark interpretation via SII, and classifying models according to their integrity profile rather than their raw scores, it becomes possible to distinguish genuine metacognitive progress from proxy inflation. This is not a complete answer to the problem of AGI measurement, but it is a necessary component of any evaluation framework that takes Goodhart’s Law seriously.</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Limitations and Future Directions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Several limitations of the present framework warrant acknowledgment. First, the governance signals developed here — particularly DAR, DRL, and POR — require longitudinal evaluation data that is not available from single-shot benchmark runs. Implementing this architecture in practice will require multi-stage evaluation protocols with held-out distribution sets and follow-up probe batteries.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Second, the calibration of SII weights and override thresholds is empirically grounded in Aulabaugh (2026a)’s synthetic call center dataset (N = 82,305+ records). Recalibration for the AI benchmark context will require dedicated validation work, ideally using existing frontier model evaluation data as a calibration corpus.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Third, the Kardashev Trust Classification, while immediately legible, is a three-tier ordinal scheme that collapses substantial within-tier variation. Future work should explore whether finer-grained classification — or a continuous SII score presented alongside the tier — provides more actionable information to benchmark consumers.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Future directions include the development of adversarial probe batteries specifically designed to measure the Goodhart Gap in metacognitive evaluation, integration of SII reporting into benchmark leaderboard infrastructure, and longitudinal study of whether Kardashev tier assignments are stable across model generations or shift systematically with scale and training procedure.</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Conclusion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Goodhart’s Law is not a curiosity of monetary policy. It is a structural property of any system in which a measure becomes a target, and it applies with particular force to AI benchmark evaluation under competitive optimization pressure. When benchmarks become the currency of progress in the AI research community, they acquire the structural conditions for self-reinforcing proxy distortion: the Goodhart Gap widens, surface scores inflate, and the divergence between benchmark performance and genuine cognitive capability grows invisible.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For metacognitive benchmarking, this is not merely a technical concern. It is a safety concern. A system that has optimized for the appearance of epistemic self-knowledge without developing genuine calibration, error detection, or knowledge boundary awareness is a Type I system — a system that has learned to say “I don’t know” at the right times without actually knowing that it doesn’t know.</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governance architecture presented here — six integrity signals, a composite System Integrity Index, and a Kardashev Trust Classification — provides a practical instrument for detecting and communicating this divergence. It does not solve the measurement problem. But it ensures that the measurement problem remains visible.</w:t>
      </w:r>
    </w:p>
    <w:p>
      <w:pPr>
        <w:spacing w:line="480" w:before="0" w:after="0"/>
      </w:pPr>
      <w:r>
        <w:rPr>
          <w:rFonts w:ascii="Times New Roman" w:cs="Times New Roman" w:eastAsia="Times New Roman" w:hAnsi="Times New Roman"/>
          <w:sz w:val="24"/>
          <w:szCs w:val="24"/>
        </w:rPr>
        <w:t xml:space="preserve"/>
      </w:r>
    </w:p>
    <w:p>
      <w:pPr>
        <w:spacing w:line="480" w:before="0" w:after="0"/>
        <w:ind w:left="720" w:right="720"/>
        <w:jc w:val="both"/>
      </w:pPr>
      <w:r>
        <w:rPr>
          <w:rFonts w:ascii="Times New Roman" w:cs="Times New Roman" w:eastAsia="Times New Roman" w:hAnsi="Times New Roman"/>
          <w:i/>
          <w:iCs/>
          <w:sz w:val="24"/>
          <w:szCs w:val="24"/>
        </w:rPr>
        <w:t xml:space="preserve">Optimization without integrity is acceleration without direction. Bad metrics don’t just mislead dashboards — they contaminate training data and teach the system to believe its own scorecard. (Aulabaugh, 2026a)</w:t>
      </w:r>
    </w:p>
    <w:p>
      <w:pPr>
        <w:spacing w:line="480" w:before="0" w:after="0"/>
      </w:pPr>
      <w:r>
        <w:rPr>
          <w:rFonts w:ascii="Times New Roman" w:cs="Times New Roman" w:eastAsia="Times New Roman" w:hAnsi="Times New Roman"/>
          <w:sz w:val="24"/>
          <w:szCs w:val="24"/>
        </w:rPr>
        <w:t xml:space="preserve"/>
      </w:r>
    </w:p>
    <w:p>
      <w:pPr>
        <w:pageBreakBefore/>
      </w:pPr>
    </w:p>
    <w:p>
      <w:pPr>
        <w:spacing w:line="480" w:before="0" w:after="0"/>
        <w:jc w:val="center"/>
      </w:pPr>
      <w:r>
        <w:rPr>
          <w:rFonts w:ascii="Times New Roman" w:cs="Times New Roman" w:eastAsia="Times New Roman" w:hAnsi="Times New Roman"/>
          <w:b/>
          <w:bCs/>
          <w:sz w:val="24"/>
          <w:szCs w:val="24"/>
        </w:rPr>
        <w:t xml:space="preserve">References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Aulabaugh, G. (2026a). When KPIs lie: Governance signals for AI-optimized call centers (Revised ed., Kardashev Extension). PixelKraze, LLC.</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Aulabaugh, G. (2026b). Blind spots in the mirror: A theoretical framework for benchmarking metacognitive abilities in large language models. PixelKraze, LLC.</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Campbell, D. T. (1976). Assessing the impact of planned social change. Dartmouth College, Public Affairs Center.</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Chollet, F. (2019). On the measure of intelligence. arXiv. Retrieved March 21, 2026, from https://arxiv.org/abs/1911.01547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Dunlosky, J., &amp; Metcalfe, J. (2009). Metacognition. SAGE Publications.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Flavell, J. H. (1979). Metacognition and cognitive monitoring: A new area of cognitive-developmental inquiry. American Psychologist, 34(10), 906–911. Retrieved March 21, 2026, from https://doi.org/10.1037/0003-066X.34.10.906</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Goodhart, C. A. E. (1975). Problems of monetary management: The U.K. experience. Papers in Monetary Economics, 1. Reserve Bank of Australia.</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Guo, C., Pleiss, G., Sun, Y., &amp; Weinberger, K. Q. (2017). On calibration of modern neural networks. Proceedings of the 34th International Conference on Machine Learning, 70, 1321–1330. Retrieved March 21, 2026, from http://proceedings.mlr.press/v70/guo17a.html</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Gururangan, S., Swayamdipta, S., Levy, O., Schwartz, R., Bowman, S., &amp; Smith, N. A. (2018). Annotation artifacts in natural language inference data. Proceedings of the 2018 Conference of the North American Chapter of the Association for Computational Linguistics, 107–112. Retrieved March 21, 2026, from https://doi.org/10.18653/v1/N18-2017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Hendrycks, D., Burns, C., Basart, S., Zou, A., Mazeika, M., Song, D., &amp; Steinhardt, J. (2021). Measuring massive multitask language understanding. arXiv. Retrieved March 21, 2026, from https://arxiv.org/abs/2009.03300</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Kadavath, S., Conerly, T., Askell, A., Henighan, T., Drain, D., Perez, E., Schiefer, N., Das Sarma, S., Tran-Johnson, T., Johnston, S., El-Showk, S., Jones, A., Elhage, N., Hume, T., Chen, A., Bai, Y., Bowman, S., Fort, S., Ganguli, D., … Kaplan, J. (2022). Language models (mostly) know what they know. arXiv. Retrieved March 21, 2026, from https://arxiv.org/abs/2207.05221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Kiela, D., Bartolo, M., Nie, Y., Kaushik, D., Geiger, A., Wu, Z., Vidgen, B., Prasad, G., Singh, A., Ringshia, P., Ma, Z., Thrush, T., Riedel, S., Waseem, Z., Stenetorp, P., Jia, R., Bansal, M., Potts, C., &amp; Williams, A. (2021). Dynabench: Rethinking benchmarking in NLP. Proceedings of the 2021 Conference of the North American Chapter of the Association for Computational Linguistics, 4110–4124. Retrieved March 21, 2026, from https://doi.org/10.18653/v1/2021.naacl-main.324</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Koretz, D. (2008). Measuring up: What educational testing really tells us. Harvard University Press.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Mackenzie, D. (2006). An engine, not a camera: How financial models shape markets. MIT Press.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Musgrave, P. (2021). Governing by targets: Goodhart’s Law and the limits of performance measurement. Public Administration Review, 81(5), 912–921. Retrieved March 21, 2026, from https://doi.org/10.1111/puar.13359</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Naeini, M. P., Cooper, G. F., &amp; Hauskrecht, M. (2015). Obtaining well calibrated probabilities using Bayesian binning. Proceedings of the AAAI Conference on Artificial Intelligence, 29(1), 2901–2907. Retrieved March 21, 2026, from https://ojs.aaai.org/index.php/AAAI/article/view/9602</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Nelson, T. O., &amp; Narens, L. (1990). Metamemory: A theoretical framework and new findings. In G. H. Bower (Ed.), The psychology of learning and motivation (Vol. 26, pp. 125–173). Academic Press. Retrieved March 21, 2026, from https://doi.org/10.1016/S0079-7421(08)60053-5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Niven, T., &amp; Kao, H.-Y. (2019). Probing neural network comprehension of natural language arguments. Proceedings of the 57th Annual Meeting of the Association for Computational Linguistics, 4658–4664. Retrieved March 21, 2026, from https://doi.org/10.18653/v1/P19-1459</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Schlegel, V., Dong, R., McGillivray, B., &amp; Tsvetkov, Y. (2020). Beyond accuracy: Behavioral testing of NLP models with CheckList. Proceedings of the 58th Annual Meeting of the Association for Computational Linguistics, 4902–4912. Retrieved March 21, 2026, from https://doi.org/10.18653/v1/2020.acl-main.442</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Shea, N., &amp; Frith, C. D. (2019). The global workspace needs metacognition. Trends in Cognitive Sciences, 23(7), 560–571. Retrieved March 21, 2026, from https://doi.org/10.1016/j.tics.2019.04.007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Srivastava, A., Rastogi, A., Rao, A., Shoaib Wasim, A., Bhatt, U., Marber, B., Parmar, N., Basu, S., Ballen, Z., &amp; others. (2022). Beyond the imitation game: Quantifying and extrapolating the capabilities of language models. arXiv. Retrieved March 21, 2026, from https://arxiv.org/abs/2206.04615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Werner, R. M., &amp; Asch, D. A. (2005). The unintended consequences of publicly reporting quality information. JAMA, 293(10), 1239–1244. Retrieved March 21, 2026, from https://doi.org/10.1001/jama.293.10.1239</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Xiong, M., Hu, Z., Lu, X., Li, Y., Fu, J., He, J., &amp; Hooi, B. (2024). Can LLMs express their uncertainty? An empirical evaluation of confidence elicitation in large language models. Proceedings of the 12th International Conference on Learning Representations. Retrieved March 21, 2026, from https://openreview.net/forum?id=gjeQKFxFpZ</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Zellers, R., Holtzman, A., Bisk, Y., Farhadi, A., &amp; Choi, Y. (2019). HellaSwag: Can a machine really finish your sentence? Proceedings of the 57th Annual Meeting of the Association for Computational Linguistics, 4791–4800. Retrieved March 21, 2026, from https://doi.org/10.18653/v1/P19-1472</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line="240"/>
    </w:pPr>
    <w:r>
      <w:rPr>
        <w:rFonts w:ascii="Times New Roman" w:cs="Times New Roman" w:eastAsia="Times New Roman" w:hAnsi="Times New Roman"/>
        <w:sz w:val="24"/>
        <w:szCs w:val="24"/>
      </w:rPr>
      <w:t xml:space="preserve">WHEN BENCHMARKS LIE: GOODHART’S LAW AND AI METACOGNITION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2026-03-21T17:54:20.877Z</dcterms:created>
  <dcterms:modified xsi:type="dcterms:W3CDTF">2026-03-21T17:54:20.878Z</dcterms:modified>
</cp:coreProperties>
</file>

<file path=docProps/custom.xml><?xml version="1.0" encoding="utf-8"?>
<Properties xmlns="http://schemas.openxmlformats.org/officeDocument/2006/custom-properties" xmlns:vt="http://schemas.openxmlformats.org/officeDocument/2006/docPropsVTypes"/>
</file>