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pPr>
      <w:r>
        <w:t xml:space="preserve"/>
      </w:r>
    </w:p>
    <w:p>
      <w:pPr>
        <w:spacing w:line="480"/>
        <w:jc w:val="center"/>
      </w:pPr>
      <w:r>
        <w:rPr>
          <w:rFonts w:ascii="Times New Roman" w:cs="Times New Roman" w:eastAsia="Times New Roman" w:hAnsi="Times New Roman"/>
          <w:b/>
          <w:bCs/>
          <w:sz w:val="24"/>
          <w:szCs w:val="24"/>
        </w:rPr>
        <w:t xml:space="preserve">Goodhart Meets the Agent: When KPIs Break Under AI Speed —</w:t>
      </w:r>
    </w:p>
    <w:p>
      <w:pPr>
        <w:spacing w:line="480"/>
        <w:jc w:val="center"/>
      </w:pPr>
      <w:r>
        <w:rPr>
          <w:rFonts w:ascii="Times New Roman" w:cs="Times New Roman" w:eastAsia="Times New Roman" w:hAnsi="Times New Roman"/>
          <w:b/>
          <w:bCs/>
          <w:sz w:val="24"/>
          <w:szCs w:val="24"/>
        </w:rPr>
        <w:t xml:space="preserve">A Synthetic Framework for Fraud Detection, Metric Gaming, and Behavioral Drift</w:t>
      </w:r>
    </w:p>
    <w:p>
      <w:pPr>
        <w:spacing w:line="480"/>
      </w:pPr>
      <w:r>
        <w:t xml:space="preserve"/>
      </w:r>
    </w:p>
    <w:p>
      <w:pPr>
        <w:spacing w:line="480"/>
        <w:jc w:val="center"/>
      </w:pPr>
      <w:r>
        <w:rPr>
          <w:rFonts w:ascii="Times New Roman" w:cs="Times New Roman" w:eastAsia="Times New Roman" w:hAnsi="Times New Roman"/>
          <w:sz w:val="24"/>
          <w:szCs w:val="24"/>
        </w:rPr>
        <w:t xml:space="preserve">Author</w:t>
      </w:r>
    </w:p>
    <w:p>
      <w:pPr>
        <w:spacing w:line="480"/>
        <w:jc w:val="center"/>
      </w:pPr>
      <w:r>
        <w:rPr>
          <w:rFonts w:ascii="Times New Roman" w:cs="Times New Roman" w:eastAsia="Times New Roman" w:hAnsi="Times New Roman"/>
          <w:sz w:val="24"/>
          <w:szCs w:val="24"/>
        </w:rPr>
        <w:t xml:space="preserve">NovaWireless Applied Research</w:t>
      </w:r>
    </w:p>
    <w:p>
      <w:pPr>
        <w:spacing w:line="480"/>
      </w:pPr>
      <w:r>
        <w:t xml:space="preserve"/>
      </w:r>
    </w:p>
    <w:p>
      <w:pPr>
        <w:spacing w:line="480"/>
        <w:jc w:val="center"/>
      </w:pPr>
      <w:r>
        <w:rPr>
          <w:rFonts w:ascii="Times New Roman" w:cs="Times New Roman" w:eastAsia="Times New Roman" w:hAnsi="Times New Roman"/>
          <w:sz w:val="24"/>
          <w:szCs w:val="24"/>
        </w:rPr>
        <w:t xml:space="preserve">February 2026</w:t>
      </w:r>
    </w:p>
    <w:p>
      <w:pPr>
        <w:spacing w:line="480"/>
      </w:pPr>
      <w:r>
        <w:t xml:space="preserve"/>
      </w:r>
    </w:p>
    <w:p>
      <w:pPr>
        <w:spacing w:line="480"/>
        <w:jc w:val="center"/>
      </w:pPr>
      <w:r>
        <w:rPr>
          <w:rFonts w:ascii="Times New Roman" w:cs="Times New Roman" w:eastAsia="Times New Roman" w:hAnsi="Times New Roman"/>
          <w:sz w:val="24"/>
          <w:szCs w:val="24"/>
        </w:rPr>
        <w:t xml:space="preserve">Author Note</w:t>
      </w:r>
    </w:p>
    <w:p>
      <w:pPr>
        <w:spacing w:line="480" w:before="0" w:after="0"/>
        <w:ind w:firstLine="720"/>
        <w:jc w:val="both"/>
      </w:pPr>
      <w:r>
        <w:rPr>
          <w:rFonts w:ascii="Times New Roman" w:cs="Times New Roman" w:eastAsia="Times New Roman" w:hAnsi="Times New Roman"/>
          <w:sz w:val="24"/>
          <w:szCs w:val="24"/>
        </w:rPr>
        <w:t xml:space="preserve">This paper describes a synthetic dataset and simulation framework developed for portfolio and research purposes. All data, customer accounts, employee records, and call transcripts are fully synthetic. No real customer, employee, or operational data was used at any stage of this project. All source datasets used to derive priors are publicly available and are cited accordingly.</w:t>
      </w:r>
    </w:p>
    <w:p>
      <w:r>
        <w:br/>
      </w:r>
    </w:p>
    <w:p>
      <w:pPr>
        <w:spacing w:line="480" w:before="0" w:after="0"/>
        <w:jc w:val="center"/>
      </w:pPr>
      <w:r>
        <w:rPr>
          <w:rFonts w:ascii="Times New Roman" w:cs="Times New Roman" w:eastAsia="Times New Roman" w:hAnsi="Times New Roman"/>
          <w:b/>
          <w:bCs/>
          <w:sz w:val="24"/>
          <w:szCs w:val="24"/>
        </w:rPr>
        <w:t xml:space="preserve">Abstract</w:t>
      </w:r>
    </w:p>
    <w:p>
      <w:pPr>
        <w:spacing w:line="480"/>
      </w:pPr>
      <w:r>
        <w:t xml:space="preserve"/>
      </w:r>
    </w:p>
    <w:p>
      <w:pPr>
        <w:spacing w:line="480" w:before="0" w:after="0"/>
        <w:ind/>
        <w:jc w:val="both"/>
      </w:pPr>
      <w:r>
        <w:rPr>
          <w:rFonts w:ascii="Times New Roman" w:cs="Times New Roman" w:eastAsia="Times New Roman" w:hAnsi="Times New Roman"/>
          <w:sz w:val="24"/>
          <w:szCs w:val="24"/>
        </w:rPr>
        <w:t xml:space="preserve">This paper presents the NovaWireless Synthetic Call Generator, a reproducible Python-based framework for generating synthetic call center datasets designed to expose the gap between proxy key performance indicators (KPIs) and true customer outcomes. Grounded in Goodhart's Law — the principle that a measure ceases to be a good measure once it becomes a target — the framework simulates seven call scenarios ranging from genuine resolution to metric gaming and outright fraud. The system implements a dynamic agent behavioral model in which each representative's gaming propensity, burnout level, and policy skill evolve across calls, producing emergent drift patterns that mirror real-world workforce dynamics. Customer trust and churn risk decay as a function of scenario severity. Repeat contacts generate real call records linked to originating calls, creating an observable 30-to-60-day signal window that distinguishes genuine from gamed resolutions. Natural language processing features are extracted from template-driven transcripts and joined to structured metadata, producing a single analysis-ready dataset suitable for classification, anomaly detection, and governance research. The framework is fully open-source, seed-reproducible, and designed for portfolio demonstration of data science competencies in behavioral simulation, NLP feature engineering, and KPI integrity analysis.</w:t>
      </w:r>
    </w:p>
    <w:p>
      <w:pPr>
        <w:spacing w:line="480"/>
      </w:pPr>
      <w: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Goodhart's Law, synthetic data, call center analytics, metric gaming, fraud detection, behavioral simulation, NLP feature extraction, KPI governance</w:t>
      </w:r>
    </w:p>
    <w:p>
      <w:r>
        <w:br/>
      </w:r>
    </w:p>
    <w:p>
      <w:pPr>
        <w:spacing w:line="480" w:before="0" w:after="0"/>
        <w:jc w:val="center"/>
      </w:pPr>
      <w:r>
        <w:rPr>
          <w:rFonts w:ascii="Times New Roman" w:cs="Times New Roman" w:eastAsia="Times New Roman" w:hAnsi="Times New Roman"/>
          <w:b/>
          <w:bCs/>
          <w:sz w:val="24"/>
          <w:szCs w:val="24"/>
        </w:rPr>
        <w:t xml:space="preserve">Goodhart Meets the Agent: When KPIs Break Under AI Speed —</w:t>
      </w:r>
    </w:p>
    <w:p>
      <w:pPr>
        <w:spacing w:line="480"/>
        <w:jc w:val="center"/>
      </w:pPr>
      <w:r>
        <w:rPr>
          <w:rFonts w:ascii="Times New Roman" w:cs="Times New Roman" w:eastAsia="Times New Roman" w:hAnsi="Times New Roman"/>
          <w:b/>
          <w:bCs/>
          <w:sz w:val="24"/>
          <w:szCs w:val="24"/>
        </w:rPr>
        <w:t xml:space="preserve">A Synthetic Framework for Fraud Detection, Metric Gaming, and Behavioral Drift</w:t>
      </w:r>
    </w:p>
    <w:p>
      <w:pPr>
        <w:spacing w:line="480"/>
      </w:pPr>
      <w: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Call center operations are among the most heavily measured environments in modern business. Representatives are evaluated on metrics including first call resolution (FCR), average handle time (AHT), customer satisfaction scores (CSAT), and repeat contact rates. These metrics serve as proxies for the underlying goals of resolving customer issues durably, efficiently, and satisfactorily. Yet the very act of measuring these proxies creates incentives to optimize the measure rather than the goal — a phenomenon formalized by Goodhart (1975) and widely observed in institutional settings (Muller, 2018; Strathern, 1997).</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In call center contexts, metric gaming takes many forms. A representative who marks a call resolved without actually fixing the underlying issue will improve their FCR score while creating a deferred repeat contact. A representative who wraps a call quickly to reduce AHT may leave the customer without the information needed to prevent a follow-up call. In more serious cases, fraudulent actions at the store or care level — unauthorized line additions, ineligible promotional overrides, or device exchange errors processed as new lines — can be masked by favorable proxy metrics while generating financial and reputational harm that surfaces weeks later.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Research on this phenomenon has been limited by data availability. Real call center records are proprietary, sensitive, and rarely include ground-truth labels distinguishing genuine resolutions from gamed ones. This creates a significant gap: the very signals needed to train detection models or validate governance frameworks are not available to researchers outside of industry.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This paper addresses that gap by presenting the NovaWireless Synthetic Call Generator — a fully open-source framework that generates realistic call center datasets with explicit ground-truth labels, dynamic behavioral state, and transcript-level language features. The system is designed to produce the kind of data a real detection model would need: structured metadata with proxy and true resolution flags, natural language transcripts with scenario-specific dialogue patterns, and a behavioral simulation layer that produces the emergent drift patterns — increasing gaming propensity, rising burnout, repeat contact clustering — that governance systems must detect.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remainder of this paper is organized as follows. The Literature Review section situates the work within existing research on Goodhart's Law, metric gaming in service environments, and synthetic data generation. The System Design section describes the architecture of the generator, including its scenario taxonomy, behavioral state model, and transcript generation pipeline. The Dataset Characteristics section documents the statistical properties of the generated data and presents a controlled experiment comparing baseline and stress scenario conditions. The NLP Feature Engineering section describes the transcript feature extraction methodology. The Applications section outlines use cases for classification, anomaly detection, and governance analysis. The paper concludes with a discussion of limitations and directions for future work.</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Automation, Algorithmic Monitoring, and the Acceleration of Gaming</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Goodhart dynamic in call centers is not new, but it is accelerating. The rapid adoption of AI-powered workforce management tools — real-time sentiment dashboards, automated after-call work scoring, algorithmic schedule optimization, and AI-assisted resolution suggestion systems — has compressed the feedback loop between metric performance and representative behavior. Where a supervisor review cycle once took days or weeks, automated performance alerts now fire within minutes of a call ending. This acceleration transforms Goodhart dynamics from slow organizational drift into rapid reinforcement loops. Representatives operating under algorithmic monitoring receive faster and more granular reinforcement signals than any human oversight system could provide, which means the reinforcement learning dynamic underlying gaming behavior operates at machine speed. Wrap time pressure delivered through an AI dashboard is structurally identical to Goodhart pressure delivered by a manager, but arrives faster, more consistently, and with less contextual judgment. The behavioral state drift model in this framework is designed to simulate exactly this dynamic: representatives who receive implicit reinforcement from successful gaming accumulate propensity rapidly, and the population-level consequences — a KPI gap that looks stable in the proxy while quietly widening in the ground truth — are precisely the kind of slow-moving signal that algorithmic monitoring systems are least equipped to detect in themselves.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This framing motivates three formal research questions that the dataset and simulation framework are designed to address: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RQ1: Can proxy resolution rates systematically diverge from true resolution rates under incentive pressure, and is this divergence detectable from observable operational signals alone?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RQ2: Does a 31-to-60-day repeat contact spike provide a reliable observable proxy for latent gaming behavior, and does this signal remain robust under varying scenario mix conditions?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RQ3: Can transcript-derived commitment and hedge features discriminate between genuine and gamed resolutions at a level sufficient for supervised classification, independent of structured metadata flags?</w:t>
      </w:r>
    </w:p>
    <w:p>
      <w:r>
        <w:br/>
      </w:r>
    </w:p>
    <w:p>
      <w:pPr>
        <w:spacing w:line="480" w:before="0" w:after="0"/>
        <w:jc w:val="center"/>
      </w:pPr>
      <w:r>
        <w:rPr>
          <w:rFonts w:ascii="Times New Roman" w:cs="Times New Roman" w:eastAsia="Times New Roman" w:hAnsi="Times New Roman"/>
          <w:b/>
          <w:bCs/>
          <w:sz w:val="24"/>
          <w:szCs w:val="24"/>
        </w:rPr>
        <w:t xml:space="preserve">Literature Review</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Goodhart's Law and the Measurement Problem</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Goodhart's Law originates in monetary policy. Goodhart (1975) observed that statistical regularities used for policy control tend to collapse once pressure is placed upon them. The principle was generalized by Strathern (1997) in the formulation most commonly cited today: 'When a measure becomes a target, it ceases to be a good measure.' The phenomenon has since been documented across domains including education (Campbell, 1979), healthcare (Bevan &amp; Hood, 2006), financial regulation (Avery &amp; Zemsky, 1998), and software development (Austin, 1996).</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Muller (2018) provides a comprehensive survey of metric fixation across institutional contexts, arguing that the costs of gaming — including the diversion of effort from genuine improvement to measured improvement — are systematically underestimated because they are invisible to the measurement system itself. This invisibility problem is central to the challenge of KPI governance: the proxy metric appears healthy precisely when gaming is most severe.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Metric Gaming in Service Environments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Call center research has documented gaming behaviors extensively in qualitative and ethnographic studies (Bain &amp; Taylor, 2000; van den Broek, 2004). Representatives subject to call time pressure have been observed engaging in 'call avoidance' behaviors including premature disconnection, false resolution marking, and transfer gaming (Taylor &amp; Bain, 1999). Winiecki (2009) documents how the design of monitoring systems creates specific gaming strategies that mirror the structure of the metrics being tracked.</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Quantitative approaches to detecting gaming have been more limited due to data availability constraints. Kc and Terwiesch (2009) demonstrate using hospital data that operational pressure measurably reduces service thoroughness — a closely related phenomenon in a different service context. Chan et al. (2014) develop statistical tests for performance gaming using outcome data, but require access to ground-truth resolution records that are rarely available in practice.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present framework addresses this gap directly by constructing a dataset in which ground-truth labels exist by design and the relationship between proxy metrics and true outcomes is explicitly parameterized.</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Fraud Detection in Telecommunications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Telecommunications fraud is a multi-billion dollar problem globally. The Communications Fraud Control Association (CFCA, 2023) estimates annual global telecom fraud losses exceeding $38 billion. In wireless retail specifically, common fraud types include unauthorized subscriber identity module (SIM) swaps, equipment installment plan (EIP) fraud involving devices obtained on installment and immediately resold, and promotional fraud in which store representatives apply ineligible discounts to meet sales targets (Verizon, 2023).</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Machine learning approaches to telecom fraud detection have focused primarily on network-level anomalies (Hollmen &amp; Tresp, 2000), subscription fraud (Brockett et al., 2002), and SIM swap detection (Ferreira &amp; Cavalcante, 2017). Detection at the customer service interaction level — where care representatives may either discover fraud or inadvertently participate in it — has received less attention in the published literature, in part because care-level interaction data is proprietary and not available for research.</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Synthetic Data Generation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Synthetic data generation has emerged as a primary approach to addressing data availability constraints in sensitive domains. Agent-based models have been used to generate synthetic behavioral data in financial markets (Farmer &amp; Foley, 2009), social networks (Macy &amp; Willer, 2002), and healthcare systems (Walonoski et al., 2018). The Synthea project (Walonoski et al., 2018) provides a well-documented precedent for domain-specific synthetic patient data generation that preserves statistical properties of real populations while producing no real patient records.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Template-driven dialogue generation has been used extensively in task-oriented dialogue research (Budzianowski et al., 2019; Rastogi et al., 2020). The present framework draws on both traditions: agent-based simulation for behavioral state modeling, and template-driven generation for transcript production, with scenario-specific dialogue patterns that systematically vary language features across the outcome taxonomy.</w:t>
      </w:r>
    </w:p>
    <w:p>
      <w:r>
        <w:br/>
      </w:r>
    </w:p>
    <w:p>
      <w:pPr>
        <w:spacing w:line="480" w:before="0" w:after="0"/>
        <w:jc w:val="center"/>
      </w:pPr>
      <w:r>
        <w:rPr>
          <w:rFonts w:ascii="Times New Roman" w:cs="Times New Roman" w:eastAsia="Times New Roman" w:hAnsi="Times New Roman"/>
          <w:b/>
          <w:bCs/>
          <w:sz w:val="24"/>
          <w:szCs w:val="24"/>
        </w:rPr>
        <w:t xml:space="preserve">System Design</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Architecture Overview</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NovaWireless Synthetic Call Generator is a three-repo Python pipeline. The Customer Generator produces synthetic customer accounts and account graphs. The Employee Generator produces synthetic representative profiles with behavioral attributes. The Call Generator consumes both as inputs and produces call records, transcripts, and an analysis-ready joined dataset.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All three repositories are designed for reproducibility. Each generator accepts a random seed parameter and produces identical output for a given seed. Outputs are written to gitignored output directories; the repositories themselves contain only code and reference prior files. The pipeline requires only Python 3.10 or higher, pandas, and numpy — no proprietary or licensed dependencies.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Scenario Taxonomy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core design decision of the Call Generator is its scenario taxonomy. Each synthetic call is assigned one of seven scenarios that determine the ground-truth relationship between what the representative marks and what actually happened. Table 1 describes the scenario taxonomy and its distribution.</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1</w:t>
      </w:r>
    </w:p>
    <w:p>
      <w:pPr>
        <w:spacing w:line="480"/>
        <w:jc w:val="center"/>
      </w:pPr>
      <w:r>
        <w:rPr>
          <w:rFonts w:ascii="Times New Roman" w:cs="Times New Roman" w:eastAsia="Times New Roman" w:hAnsi="Times New Roman"/>
          <w:sz w:val="24"/>
          <w:szCs w:val="24"/>
        </w:rPr>
        <w:t xml:space="preserve">Scenario Taxonomy and Distribution</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900"/>
        <w:gridCol w:w="4660"/>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Scenario</w:t>
            </w:r>
          </w:p>
        </w:tc>
        <w:tc>
          <w:tcPr>
            <w:tcW w:type="dxa" w:w="7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Mix</w:t>
            </w:r>
          </w:p>
        </w:tc>
        <w:tc>
          <w:tcPr>
            <w:tcW w:type="dxa" w:w="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Proxy Res.</w:t>
            </w:r>
          </w:p>
        </w:tc>
        <w:tc>
          <w:tcPr>
            <w:tcW w:type="dxa" w:w="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True Res.</w:t>
            </w:r>
          </w:p>
        </w:tc>
        <w:tc>
          <w:tcPr>
            <w:tcW w:type="dxa" w:w="46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clean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90%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92%</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Genuine issue, genuine resolution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unresolvable_clean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 tried; system could not fix it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gamed_metric</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18%</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 marks resolved without fixing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fraud_store_promo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78%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25%</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Store promised ineligible promotion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fraud_line_add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22%</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Unauthorized line added at store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fraud_hic_exchange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15%</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Device exchange opened wrong line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fraud_care_promo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30%</w:t>
            </w:r>
          </w:p>
        </w:tc>
        <w:tc>
          <w:tcPr>
            <w:tcW w:type="dxa" w:w="4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Care rep applied ineligible discount</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scenario distribution is calibrated to reflect realistic call center populations in which the majority of calls are genuine, a meaningful minority involve unresolvable system issues, and fraud and gaming scenarios occur at rates consistent with industry estimates. The proxy resolution probabilities reflect the incentivized behavior of representatives in each scenario — notably, gaming and fraud scenarios show proxy resolution rates at or above the clean scenario rate, which is the central Goodhart signal the dataset is designed to expose.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Detection Signal Architecture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Each call record includes six binary detection flags derived from account-level data. These flags are designed to be observable from operational systems without requiring ground-truth knowledge of the scenario. Table 2 describes each flag and its relationship to the underlying fraud scenarios.</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2</w:t>
      </w:r>
    </w:p>
    <w:p>
      <w:pPr>
        <w:spacing w:line="480"/>
        <w:jc w:val="center"/>
      </w:pPr>
      <w:r>
        <w:rPr>
          <w:rFonts w:ascii="Times New Roman" w:cs="Times New Roman" w:eastAsia="Times New Roman" w:hAnsi="Times New Roman"/>
          <w:sz w:val="24"/>
          <w:szCs w:val="24"/>
        </w:rPr>
        <w:t xml:space="preserve">Detection Signal Flags</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Flag</w:t>
            </w:r>
          </w:p>
        </w:tc>
        <w:tc>
          <w:tcPr>
            <w:tcW w:type="dxa" w:w="3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Description</w:t>
            </w:r>
          </w:p>
        </w:tc>
        <w:tc>
          <w:tcPr>
            <w:tcW w:type="dxa" w:w="29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Primary Scenarios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imei_mismatch_flag</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IMEI on EIP differs from device in use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fraud_line_add, fraud_hic_exchange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nrf_generated_flag</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Non-return fee generated on account</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fraud_hic_exchange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promo_override_post_call</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Promotion override applied after call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fraud_store_promo, fraud_care_promo</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line_added_no_usage_flag</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Line added with no subsequent usage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fraud_line_add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line_added_same_day_store</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Line added at store same day as call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fraud_line_add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rep_aware_gaming</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Representative knowingly gamed metric</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gamed_metric, fraud_care_promo</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30-to-60-day repeat contact signal deserves particular attention. The gamed_metric scenario is specifically designed to suppress repeat contacts within the 30-day window — the window typically used to measure FCR — while showing elevated repeat contacts in the 31-to-60-day window as the unresolved issue resurfaces. This temporal pattern is the dataset's primary Goodhart signal and cannot be observed from within the gaming window itself.</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Representative Behavioral State Model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 key innovation of the framework is its dynamic representative state model. Each representative is initialized with three behavioral state variables derived from their employee profile: gaming propensity, burnout level, and policy skill. These variables evolve across calls according to the following update rules.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Gaming propensity increases by 0.02 per gamed call and decays by 0.001 per clean call. This models the reinforcement dynamic in which representatives who successfully game a metric without consequence become more likely to repeat the behavior. Burnout level increases by 0.015 per escalated call and decays by 0.0005 per uneventful call. Policy skill increases by a diminishing-returns function of total calls handled, modeling experiential learning. All state variables are bounded to the unit interval.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These state variables feed into three downstream functions. In the detection flag builder, high gaming propensity inflates promotional override probability and representative awareness of gaming. In the outcome flag builder, high gaming propensity increases proxy resolution while depressing true resolution; high burnout increases escalation and repeat contact rates; high policy skill improves true resolution on genuine calls. In the handle time calculator, gaming shortens calls, burnout lengthens them, and skill shortens clean calls.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state snapshot at time of call is recorded in every output row, enabling longitudinal analysis of individual representative trajectories. This produces emergent population-level patterns — a subset of representatives drift toward chronic gaming, a subset experience burnout spirals, and most remain stable — that mirror observations from workforce analytics research (Bakker &amp; Demerouti, 2007).</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Customer State Model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Customer state is modeled through two evolving variables: trust baseline and effective churn risk. Trust decays as a function of scenario severity following each call, with fraud scenarios producing the largest decay. The effective churn risk is the product of the customer's base churn risk score and a scenario-specific multiplier, capturing the elevated attrition risk associated with fraud and unresolved issues.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churn risk score for each customer is derived at generation time from a distribution calibrated to the IBM Telco Customer Churn dataset (IBM, 2015), with individual variation based on tenure, service type, and payment method. This produces a realistic distribution of churn propensity rather than a uniform baseline.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Transcript Generation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Transcripts are generated using a template-driven dialogue system. Each call follows a three-part structure: a standardized opener with verification, a scenario-specific body, and a scenario-appropriate closer. The body templates are distinct for each of the seven scenarios, with branching logic based on the representative's awareness flag — a representative who knowingly games a metric uses different language than one who fails to verify eligibility without malicious intent.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Transcripts are stored in JSON Lines format with one object per call, containing the turn list, flat transcript text, call metadata, and scenario label. The transcript structure is designed for downstream NLP processing: each turn includes the speaker role (Agent or Customer) and utterance text, enabling both turn-level and call-level feature extraction.</w:t>
      </w:r>
    </w:p>
    <w:p>
      <w:r>
        <w:br/>
      </w:r>
    </w:p>
    <w:p>
      <w:pPr>
        <w:spacing w:line="480" w:before="0" w:after="0"/>
        <w:jc w:val="center"/>
      </w:pPr>
      <w:r>
        <w:rPr>
          <w:rFonts w:ascii="Times New Roman" w:cs="Times New Roman" w:eastAsia="Times New Roman" w:hAnsi="Times New Roman"/>
          <w:b/>
          <w:bCs/>
          <w:sz w:val="24"/>
          <w:szCs w:val="24"/>
        </w:rPr>
        <w:t xml:space="preserve">Dataset Characteristics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Unless otherwise noted, all statistics in this section reflect a default 10,000-call simulation run with seed=42. This seed produces identical output on any system running the framework, providing a reproducible reference point for all reported values. All differences reported are descriptive and reflect deterministic simulation outputs under fixed seed; inferential testing is not applicable within a deterministic synthetic framework.</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KPI Gap Distribution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aggregate proxy resolution rate across all scenarios is approximately 83%, compared to a true resolution rate of approximately 57%. This 26-percentage-point gap represents the Goodhart signal at the population level. The gap varies substantially by scenario: it approaches zero for the clean scenario, reaches 70 percentage points for gamed_metric, and ranges from 53 to 67 percentage points across the fraud scenarios.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30-day repeat contact rate is approximately 15% at the population level, while the 31-to-60-day rate is approximately 20%. The reversal — higher rate in the later window — is driven almost entirely by the gamed_metric scenario, in which the 30-day rate is suppressed to 12% while the 31-to-60-day rate reaches 45%. This temporal signature is the most robust observable signal of gaming in the dataset.</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Controlled Experiment: Baseline vs. Stress Scenario Mix</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To directly address RQ1 and RQ2, a controlled experiment was conducted comparing two simulation conditions: a baseline run using the default scenario mix and a stress condition in which the gamed_metric scenario share was increased from 12% to 25%, with the clean scenario reduced proportionally. All other parameters and the random seed were held constant. Table 3 reports the key outcome metrics under each condition.</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3</w:t>
      </w:r>
    </w:p>
    <w:p>
      <w:pPr>
        <w:spacing w:line="480"/>
        <w:jc w:val="center"/>
      </w:pPr>
      <w:r>
        <w:rPr>
          <w:rFonts w:ascii="Times New Roman" w:cs="Times New Roman" w:eastAsia="Times New Roman" w:hAnsi="Times New Roman"/>
          <w:sz w:val="24"/>
          <w:szCs w:val="24"/>
        </w:rPr>
        <w:t xml:space="preserve">Baseline vs. Stress Condition Outcome Metrics (seed=42, N=10,000)</w:t>
      </w:r>
    </w:p>
    <w:p>
      <w:pPr>
        <w:spacing w:line="48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60"/>
        <w:gridCol w:w="1200"/>
      </w:tblGrid>
      <w:tr>
        <w:trPr>
          <w:tblHeader/>
        </w:trPr>
        <w:tc>
          <w:tcPr>
            <w:tcW w:type="dxa" w:w="3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Metric</w:t>
            </w:r>
          </w:p>
        </w:tc>
        <w:tc>
          <w:tcPr>
            <w:tcW w:type="dxa" w:w="1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Baseline (gamed=12%)</w:t>
            </w:r>
          </w:p>
        </w:tc>
        <w:tc>
          <w:tcPr>
            <w:tcW w:type="dxa" w:w="19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Stress (gamed=25%)</w:t>
            </w:r>
          </w:p>
        </w:tc>
        <w:tc>
          <w:tcPr>
            <w:tcW w:type="dxa" w:w="1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Delta</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Proxy resolution rate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83.1%</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85.7%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+2.6pp</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True resolution rate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57.4%</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49.2%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-8.2pp</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Proxy-to-truth gap</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25.7pp</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36.5pp</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+10.8pp</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Repeat contact rate, 0–30d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14.8%</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13.1%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-1.7pp</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Repeat contact rate, 31–60d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19.6%</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24.3%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+4.7pp</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31-60d spike over 0-30d rate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+4.8pp</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+11.2pp</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+6.4pp</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results directly address the research questions. Under the stress condition, the proxy resolution rate increases marginally — the metric looks slightly better — while the true resolution rate falls by 8.2 percentage points. This is the Goodhart dynamic in quantified form: increased gaming pressure produces a widening gap between what is measured and what is true, while the proxy metric moves in the opposite direction from the ground truth.</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31-to-60-day repeat contact spike is both present and amplified under the stress condition. In the baseline, the 31-to-60-day rate exceeds the 0-to-30-day rate by 4.8 percentage points. Under stress, this spread widens to 11.2 percentage points — more than doubling. This confirms that the temporal repeat contact pattern is a robust observable signal of gaming, and that it amplifies proportionally with gaming intensity, making it a viable governance metric even without access to ground-truth resolution labels.</w:t>
      </w:r>
    </w:p>
    <w:p>
      <w:pPr>
        <w:spacing w:line="480"/>
      </w:pPr>
      <w:r>
        <w:t xml:space="preserve"/>
      </w:r>
    </w:p>
    <w:p>
      <w:pPr>
        <w:spacing w:line="480"/>
        <w:jc w:val="center"/>
      </w:pPr>
      <w:r>
        <w:rPr>
          <w:rFonts w:ascii="Times New Roman" w:cs="Times New Roman" w:eastAsia="Times New Roman" w:hAnsi="Times New Roman"/>
          <w:i/>
          <w:iCs/>
          <w:sz w:val="24"/>
          <w:szCs w:val="24"/>
        </w:rPr>
        <w:t xml:space="preserve">Figure 1</w:t>
      </w:r>
    </w:p>
    <w:p>
      <w:pPr>
        <w:spacing w:line="480"/>
        <w:jc w:val="center"/>
      </w:pPr>
      <w:r>
        <w:rPr>
          <w:rFonts w:ascii="Times New Roman" w:cs="Times New Roman" w:eastAsia="Times New Roman" w:hAnsi="Times New Roman"/>
          <w:sz w:val="24"/>
          <w:szCs w:val="24"/>
        </w:rPr>
        <w:t xml:space="preserve">Resolution Rates and Repeat Contact Windows Under Baseline and Stress Conditions</w:t>
      </w:r>
    </w:p>
    <w:p>
      <w:pPr>
        <w:spacing w:line="480"/>
      </w:pPr>
      <w:r>
        <w:t xml:space="preserve"/>
      </w:r>
    </w:p>
    <w:p>
      <w:pPr>
        <w:spacing w:line="240"/>
        <w:jc w:val="center"/>
      </w:pPr>
      <w:r>
        <w:drawing>
          <wp:inline distT="0" distB="0" distL="0" distR="0">
            <wp:extent cx="5524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24100"/>
                    </a:xfrm>
                    <a:prstGeom prst="rect">
                      <a:avLst/>
                    </a:prstGeom>
                  </pic:spPr>
                </pic:pic>
              </a:graphicData>
            </a:graphic>
          </wp:inline>
        </w:drawing>
      </w:r>
    </w:p>
    <w:p>
      <w:pPr>
        <w:spacing w:line="480"/>
      </w:pPr>
      <w:r>
        <w:t xml:space="preserve"/>
      </w:r>
    </w:p>
    <w:p>
      <w:pPr>
        <w:spacing w:line="480"/>
        <w:jc w:val="center"/>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i w:val="false"/>
          <w:iCs w:val="false"/>
          <w:sz w:val="24"/>
          <w:szCs w:val="24"/>
        </w:rPr>
        <w:t xml:space="preserve">Panel A shows proxy and true resolution rates under baseline (gamed_metric=12%) and stress (gamed_metric=25%) conditions. Panel B shows 0-30 day and 31-60 day repeat contact rates under the same conditions. All values are from seed=42 simulation runs (N=10,000 primary calls). pp = percentage points.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Representative State Drift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Representative state drift follows predictable trajectories at the population level with meaningful individual variation. Representatives who are assigned a disproportionate share of fraud or gaming scenarios — a function of the random call assignment process — show accelerated gaming propensity drift. Representatives in high-escalation scenario clusters show more rapid burnout accumulation. Policy skill increases monotonically across all representatives as calls accumulate, with diminishing marginal gains.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top decile of gaming propensity at end of simulation is substantially higher than the median, producing a right-skewed distribution that mirrors the concentration of gaming behavior documented in real call center audit data (Piercy &amp; Rich, 2009). This concentration effect makes individual representative-level anomaly detection feasible even at modest fraud scenario rates.</w:t>
      </w:r>
    </w:p>
    <w:p>
      <w:r>
        <w:br/>
      </w:r>
    </w:p>
    <w:p>
      <w:pPr>
        <w:spacing w:line="480" w:before="0" w:after="0"/>
        <w:jc w:val="center"/>
      </w:pPr>
      <w:r>
        <w:rPr>
          <w:rFonts w:ascii="Times New Roman" w:cs="Times New Roman" w:eastAsia="Times New Roman" w:hAnsi="Times New Roman"/>
          <w:b/>
          <w:bCs/>
          <w:sz w:val="24"/>
          <w:szCs w:val="24"/>
        </w:rPr>
        <w:t xml:space="preserve">NLP Feature Engineering</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Feature Extraction Methodology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build_analysis_dataset.py module reads the raw transcript JSON Lines file and extracts 22 features per call, which are then joined to the structured metadata to produce the calls_full.csv analysis dataset. Features are derived from lexicon-based pattern matching rather than pretrained language models, preserving the zero-external-dependency design of the pipeline.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Features are organized into five categories: turn structure features, sentiment features, representative behavior signals, customer behavior signals, and binary indicator flags. The feature extraction operates at the turn level — attributing utterances to Agent or Customer roles — before aggregating to the call level.</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Turn Structure Features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Turn structure features capture the conversational dynamics of each call independently of content. The total turn count, agent word count, customer word count, and agent talk ratio measure the overall structure of the interaction. The agent talk ratio — the share of total words spoken by the representative — is expected to be lower in gamed calls, where representatives use fewer words to achieve a nominal resolution, and higher in fraud calls, where complex explanations are required.</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wrap ratio — the ratio of closer word count to body word count — is a novel feature designed to detect rushed call endings. A representative who marks a call resolved without genuine resolution is expected to execute a brief, formulaic close after a relatively sparse body, producing a characteristic low wrap ratio signature.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Sentiment Features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Sentiment is estimated using a domain-calibrated positive and negative word lexicon without external dependencies. Three sentiment measures are computed. The overall sentiment score measures the balance of positive and negative language across the full call. The sentiment trend measures the change in sentiment from the first half to the second half of the call — a negative trend indicates a call that deteriorated, while a positive trend indicates recovery. The customer sentiment score measures sentiment in customer utterances only, providing a customer-experience-specific signal independent of representative language.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Because the transcript templates are scenario-specific, the sentiment features are expected to be discriminative. Clean calls have positive overall sentiment and positive trends. Fraud calls with frustrated customers have negative customer sentiment and negative trends. Gamed calls present an interesting case: representative language is superficially positive (the close is warm and affirmative) while customer sentiment may be mildly negative — a pattern that produces characteristic divergence between overall and customer sentiment scores.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Representative Behavior Signals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Four representative behavior signals are extracted from agent utterances. The hedge count measures uncertainty and stalling language including phrases such as 'let me check,' 'I believe,' and 'should be.' High hedge counts in the body of a call indicate a representative who is uncertain about the resolution — a potential signal of inadequate policy skill or deliberate ambiguity. The apology count measures empathy language. The commitment count measures resolution commitment phrases such as 'I've applied,' 'I've waived,' and 'I've documented' — a low commitment count on a call marked as resolved is a strong gaming signal. The escalation count measures escalation language including references to dispute teams, investigators, and supervisors.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Customer Behavior Signals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Three customer behavior signals are extracted from customer utterances. The frustration count measures negative emotional language including phrases such as 'this is ridiculous,' 'I'm going to cancel,' and 'I can't believe this.' The question count measures the number of questions asked by the customer — high question counts indicate unresolved confusion. The cancel threat flag is a binary indicator of any cancellation language, which is relevant to churn risk modeling.</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Counterintuitively, gamed calls may show low customer frustration counts despite low true resolution rates. This occurs because the gamed_metric scenario involves representatives who are skilled at managing customer perception — deflecting, placating, and using courtesy credits — without addressing the underlying issue. The dissociation between customer frustration and true resolution is itself a detection signal.</w:t>
      </w:r>
    </w:p>
    <w:p>
      <w:r>
        <w:br/>
      </w:r>
    </w:p>
    <w:p>
      <w:pPr>
        <w:spacing w:line="480" w:before="0" w:after="0"/>
        <w:jc w:val="center"/>
      </w:pPr>
      <w:r>
        <w:rPr>
          <w:rFonts w:ascii="Times New Roman" w:cs="Times New Roman" w:eastAsia="Times New Roman" w:hAnsi="Times New Roman"/>
          <w:b/>
          <w:bCs/>
          <w:sz w:val="24"/>
          <w:szCs w:val="24"/>
        </w:rPr>
        <w:t xml:space="preserve">Applications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Classification: Detecting Gamed Resolutions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most direct application of the calls_full.csv dataset is binary classification: given the observable features of a call, predict whether the resolution is genuine or gamed. The dataset provides explicit ground-truth labels via the true_resolution and resolution_flag columns, enabling supervised training and evaluation.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expected discriminative features for this task include the commitment count (low in gamed calls), the wrap ratio (low in gamed calls), the sentiment trend (may be positive in gamed calls despite false resolution), the repeat_contact_31_60d label on linked follow-up calls, and the representative's gaming propensity at time of call. A gradient-boosted classifier trained on these features would be expected to achieve strong discrimination given the scenario-specific feature distributions.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Anomaly Detection: Identifying Drifting Representatives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representative state drift model produces individual trajectories that enable anomaly detection at the representative level. A representative whose gaming propensity has drifted substantially from their initial value — or whose calls show a systematic pattern of high proxy resolution, low commitment language, and elevated 31-to-60-day repeat contacts — is a candidate for audit review.</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Control chart approaches (Shewhart, 1931) can be applied to representative-level time series of the gap between resolution_flag and true_resolution estimated from repeat contact patterns. Isolation forests (Liu et al., 2008) can be applied to the full feature vector at the representative level to identify outliers in behavioral space. The dataset's longitudinal structure — with representative state recorded at each call — makes both approaches directly applicable.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Governance Analysis: Measuring KPI Integrity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dataset supports macro-level governance analysis of KPI integrity. The proxy-to-ground-truth gap can be measured over time, across sites, across scenario mixes, and as a function of representative state distributions. The 30-to-60-day repeat contact pattern provides an observable proxy for true resolution rate that does not require ground-truth labels — making it applicable to real operational data without modification.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Causal analysis of the relationship between KPI pressure (operationalized through friction tier and scenario mix) and gaming behavior is also feasible within the simulation framework. By varying scenario mix parameters and re-running the generator with fixed seeds, researchers can conduct controlled experiments on the relationship between measurement pressure and gaming rates — a form of in-silico organizational experiment.</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Transcript Research: NLP Validation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transcript dataset provides a controlled evaluation environment for NLP models applied to customer service dialogue. Because scenario labels are known and feature expectations are explicit, researchers can validate whether NLP models recover the expected signal structure from language alone. A model that cannot distinguish gamed from genuine resolutions using transcript features alone — despite the systematic language differences built into the templates — would indicate inadequate feature engineering or modeling approach.</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dataset could also serve as a pre-training or fine-tuning resource for task-oriented dialogue models in the telecommunications domain, providing scenario-diverse, structurally consistent dialogues that cover billing, device, network, and fraud-related interactions.</w:t>
      </w:r>
    </w:p>
    <w:p>
      <w:r>
        <w:br/>
      </w:r>
    </w:p>
    <w:p>
      <w:pPr>
        <w:spacing w:line="480" w:before="0" w:after="0"/>
        <w:jc w:val="center"/>
      </w:pPr>
      <w:r>
        <w:rPr>
          <w:rFonts w:ascii="Times New Roman" w:cs="Times New Roman" w:eastAsia="Times New Roman" w:hAnsi="Times New Roman"/>
          <w:b/>
          <w:bCs/>
          <w:sz w:val="24"/>
          <w:szCs w:val="24"/>
        </w:rPr>
        <w:t xml:space="preserve">Limitations and Future Directions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Template-Driven Language Limitations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most significant limitation of the current framework is the template-driven nature of transcript generation. While templates produce scenario-consistent language with controllable feature distributions, they do not capture the full variability of real call center dialogue. Real conversations exhibit interruptions, topic shifts, cross-talk, and idiosyncratic language patterns that template generation cannot reproduce. A model trained exclusively on this synthetic data would be expected to show degraded performance on real transcripts without domain adaptation.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 planned extension of the framework is a post-processing step that passes template-generated transcripts through a large language model API to introduce natural linguistic variation while preserving the underlying scenario structure. This approach would combine the controllability of template generation with the linguistic realism of generative language models, producing transcripts suitable for more rigorous NLP evaluation.</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Behavioral Model Simplifications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representative behavioral state model makes several simplifying assumptions. Gaming propensity, burnout, and policy skill are treated as independent scalar variables, whereas real behavioral states are multidimensional and correlated. The update rules are linear and symmetric, whereas real behavioral change likely exhibits hysteresis, threshold effects, and social contagion dynamics. Team-level and site-level effects — in which gaming norms propagate through peer influence — are not modeled.</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Future work should explore richer behavioral models that incorporate social influence, managerial intervention dynamics, and the effect of detection events on gaming behavior. Agent-based modeling frameworks such as Mesa (Masad &amp; Kazil, 2015) could provide a more expressive foundation for this extension.</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External Validity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dataset's scenario distribution, KPI parameters, and behavioral dynamics are calibrated to reflect a plausible wireless carrier call center, but they do not represent any specific organization. Researchers applying models trained on this data to real operational data should expect distribution shift and should treat this dataset as a development and proof-of-concept resource rather than a direct training set for production deployment.</w:t>
      </w:r>
    </w:p>
    <w:p>
      <w:r>
        <w:br/>
      </w:r>
    </w:p>
    <w:p>
      <w:pPr>
        <w:spacing w:line="480" w:before="0" w:after="0"/>
        <w:jc w:val="center"/>
      </w:pPr>
      <w:r>
        <w:rPr>
          <w:rFonts w:ascii="Times New Roman" w:cs="Times New Roman" w:eastAsia="Times New Roman" w:hAnsi="Times New Roman"/>
          <w:b/>
          <w:bCs/>
          <w:sz w:val="24"/>
          <w:szCs w:val="24"/>
        </w:rPr>
        <w:t xml:space="preserve">Conclusion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This paper has presented the NovaWireless Synthetic Call Generator, a reproducible Python framework for generating synthetic call center datasets grounded in Goodhart's Law dynamics. The framework produces structured call metadata with explicit proxy and ground-truth resolution labels, dynamic representative behavioral state, customer trust and churn risk trajectories, repeat contact records with temporal signature, and NLP features extracted from scenario-specific transcripts — all joined into a single analysis-ready dataset.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central contribution of the framework is the explicit modeling of the gap between what is measured and what is true. By designing a scenario taxonomy in which proxy KPIs are systematically decoupled from true outcomes in fraud and gaming scenarios, the dataset provides a controlled environment for developing and evaluating the detection methods that governance systems require. The 30-to-60-day repeat contact signal, the representative state drift model, and the NLP commitment and hedge features collectively constitute a detection framework that can be validated against ground truth in simulation before deployment against real operational data.</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framework is fully open-source, requires no proprietary dependencies, and is designed for reproducibility. It is intended as a portfolio demonstration of competencies in behavioral simulation, synthetic data generation, NLP feature engineering, and KPI integrity analysis — and as a practical research resource for the broader community working on measurement, accountability, and fraud detection in service environments.</w:t>
      </w:r>
    </w:p>
    <w:p>
      <w:r>
        <w:br/>
      </w:r>
    </w:p>
    <w:p>
      <w:pPr>
        <w:spacing w:line="480" w:before="0" w:after="0"/>
        <w:jc w:val="center"/>
      </w:pPr>
      <w:r>
        <w:rPr>
          <w:rFonts w:ascii="Times New Roman" w:cs="Times New Roman" w:eastAsia="Times New Roman" w:hAnsi="Times New Roman"/>
          <w:b/>
          <w:bCs/>
          <w:sz w:val="24"/>
          <w:szCs w:val="24"/>
        </w:rPr>
        <w:t xml:space="preserve">References</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Ahmadzade Jahromi, M. (n.d.). Call center data (Call center daily performance)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https://www.kaggle.com/datasets/satvicoder/call-center-data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Austin, R. D. (1996). Measuring and managing performance in organizations. Dorset House.</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Avery, C. N., &amp; Zemsky, P. (1998). Multidimensional uncertainty and herd behavior in financial markets. </w:t>
      </w:r>
      <w:r>
        <w:rPr>
          <w:rFonts w:ascii="Times New Roman" w:cs="Times New Roman" w:eastAsia="Times New Roman" w:hAnsi="Times New Roman"/>
          <w:i/>
          <w:iCs/>
          <w:sz w:val="24"/>
          <w:szCs w:val="24"/>
        </w:rPr>
        <w:t xml:space="preserve">American Economic Review, 88</w:t>
      </w:r>
      <w:r>
        <w:rPr>
          <w:rFonts w:ascii="Times New Roman" w:cs="Times New Roman" w:eastAsia="Times New Roman" w:hAnsi="Times New Roman"/>
          <w:sz w:val="24"/>
          <w:szCs w:val="24"/>
        </w:rPr>
        <w:t xml:space="preserve">(4), 724–748.</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Bain, P., &amp; Taylor, P. (2000). Entrapped by the 'electronic Panopticon'? Worker resistance in the call centre. </w:t>
      </w:r>
      <w:r>
        <w:rPr>
          <w:rFonts w:ascii="Times New Roman" w:cs="Times New Roman" w:eastAsia="Times New Roman" w:hAnsi="Times New Roman"/>
          <w:i/>
          <w:iCs/>
          <w:sz w:val="24"/>
          <w:szCs w:val="24"/>
        </w:rPr>
        <w:t xml:space="preserve">New Technology, Work and Employment, 15</w:t>
      </w:r>
      <w:r>
        <w:rPr>
          <w:rFonts w:ascii="Times New Roman" w:cs="Times New Roman" w:eastAsia="Times New Roman" w:hAnsi="Times New Roman"/>
          <w:sz w:val="24"/>
          <w:szCs w:val="24"/>
        </w:rPr>
        <w:t xml:space="preserve">(1), 2–18. https://doi.org/10.1111/1468-005X.00061</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 https://doi.org/10.1108/02683940710733115</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Bevan, G., &amp; Hood, C. (2006). What's measured is what matters: Targets and gaming in the English public health care system. </w:t>
      </w:r>
      <w:r>
        <w:rPr>
          <w:rFonts w:ascii="Times New Roman" w:cs="Times New Roman" w:eastAsia="Times New Roman" w:hAnsi="Times New Roman"/>
          <w:i/>
          <w:iCs/>
          <w:sz w:val="24"/>
          <w:szCs w:val="24"/>
        </w:rPr>
        <w:t xml:space="preserve">Public Administration, 84</w:t>
      </w:r>
      <w:r>
        <w:rPr>
          <w:rFonts w:ascii="Times New Roman" w:cs="Times New Roman" w:eastAsia="Times New Roman" w:hAnsi="Times New Roman"/>
          <w:sz w:val="24"/>
          <w:szCs w:val="24"/>
        </w:rPr>
        <w:t xml:space="preserve">(3), 517–538. https://doi.org/10.1111/j.1467-9299.2006.00600.x</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Brockett, P. L., Xia, X., &amp; Derrig, R. A. (2002). Using Kohonen's self-organizing feature map to uncover automobile bodily injury claims fraud. </w:t>
      </w:r>
      <w:r>
        <w:rPr>
          <w:rFonts w:ascii="Times New Roman" w:cs="Times New Roman" w:eastAsia="Times New Roman" w:hAnsi="Times New Roman"/>
          <w:i/>
          <w:iCs/>
          <w:sz w:val="24"/>
          <w:szCs w:val="24"/>
        </w:rPr>
        <w:t xml:space="preserve">Journal of Risk and Insurance, 65</w:t>
      </w:r>
      <w:r>
        <w:rPr>
          <w:rFonts w:ascii="Times New Roman" w:cs="Times New Roman" w:eastAsia="Times New Roman" w:hAnsi="Times New Roman"/>
          <w:sz w:val="24"/>
          <w:szCs w:val="24"/>
        </w:rPr>
        <w:t xml:space="preserve">(2), 245–274.</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Budzianowski, P., Wen, T. H., Tseng, B. H., Casanueva, I., Ultes, S., Ramadan, O., &amp; Gasic, M. (2019). MultiWOZ — A large-scale multi-domain Wizard-of-Oz dataset for task-oriented dialogue modelling. Proceedings of EMNLP 2018. https://doi.org/10.18653/v1/D18-1547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Campbell, D. T. (1979). Assessing the impact of planned social change. </w:t>
      </w:r>
      <w:r>
        <w:rPr>
          <w:rFonts w:ascii="Times New Roman" w:cs="Times New Roman" w:eastAsia="Times New Roman" w:hAnsi="Times New Roman"/>
          <w:i/>
          <w:iCs/>
          <w:sz w:val="24"/>
          <w:szCs w:val="24"/>
        </w:rPr>
        <w:t xml:space="preserve">Evaluation and Program Planning, 2</w:t>
      </w:r>
      <w:r>
        <w:rPr>
          <w:rFonts w:ascii="Times New Roman" w:cs="Times New Roman" w:eastAsia="Times New Roman" w:hAnsi="Times New Roman"/>
          <w:sz w:val="24"/>
          <w:szCs w:val="24"/>
        </w:rPr>
        <w:t xml:space="preserve">(1), 67–90. https://doi.org/10.1016/0149-7189(79)90048-X</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City of San Francisco. (n.d.). Call center metrics for the Health Service System [Data set]. Data.gov.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https://catalog.data.gov/dataset/call-center-metrics-for-the-health-service-system</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Communications Fraud Control Association. (2023). 2023 global telecom fraud loss survey. CFCA.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Farmer, J. D., &amp; Foley, D. (2009). The economy needs agent-based modelling. </w:t>
      </w:r>
      <w:r>
        <w:rPr>
          <w:rFonts w:ascii="Times New Roman" w:cs="Times New Roman" w:eastAsia="Times New Roman" w:hAnsi="Times New Roman"/>
          <w:i/>
          <w:iCs/>
          <w:sz w:val="24"/>
          <w:szCs w:val="24"/>
        </w:rPr>
        <w:t xml:space="preserve">Nature, 460</w:t>
      </w:r>
      <w:r>
        <w:rPr>
          <w:rFonts w:ascii="Times New Roman" w:cs="Times New Roman" w:eastAsia="Times New Roman" w:hAnsi="Times New Roman"/>
          <w:sz w:val="24"/>
          <w:szCs w:val="24"/>
        </w:rPr>
        <w:t xml:space="preserve">, 685–686. https://doi.org/10.1038/460685a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Federal Communications Commission. (n.d.). CGB consumer complaints data [Data set]. FCC Open Data. </w:t>
      </w:r>
      <w:r>
        <w:rPr>
          <w:rFonts w:ascii="Times New Roman" w:cs="Times New Roman" w:eastAsia="Times New Roman" w:hAnsi="Times New Roman"/>
          <w:i/>
          <w:iCs/>
          <w:sz w:val="24"/>
          <w:szCs w:val="24"/>
        </w:rPr>
        <w:t xml:space="preserve">Retrieved February 16, 2026</w:t>
      </w:r>
      <w:r>
        <w:rPr>
          <w:rFonts w:ascii="Times New Roman" w:cs="Times New Roman" w:eastAsia="Times New Roman" w:hAnsi="Times New Roman"/>
          <w:sz w:val="24"/>
          <w:szCs w:val="24"/>
        </w:rPr>
        <w:t xml:space="preserve">, from https://opendata.fcc.gov/Consumer/CGB-Consumer-Complaints-Data/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Ferreira, A., &amp; Cavalcante, T. (2017). SIM swap fraud detection using machine learning. IEEE International Conference on Communications. https://doi.org/10.1109/ICC.2017.7996912</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Goodhart, C. A. E. (1975). Problems of monetary management: The UK experience. Papers in Monetary Economics (Vol. 1). Reserve Bank of Australia.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Hollmen, J., &amp; Tresp, V. (2000). Call-based fraud detection in mobile communication networks using a hierarchical regime-switching model. </w:t>
      </w:r>
      <w:r>
        <w:rPr>
          <w:rFonts w:ascii="Times New Roman" w:cs="Times New Roman" w:eastAsia="Times New Roman" w:hAnsi="Times New Roman"/>
          <w:i/>
          <w:iCs/>
          <w:sz w:val="24"/>
          <w:szCs w:val="24"/>
        </w:rPr>
        <w:t xml:space="preserve">Advances in Neural Information Processing Systems, 12</w:t>
      </w:r>
      <w:r>
        <w:rPr>
          <w:rFonts w:ascii="Times New Roman" w:cs="Times New Roman" w:eastAsia="Times New Roman" w:hAnsi="Times New Roman"/>
          <w:sz w:val="24"/>
          <w:szCs w:val="24"/>
        </w:rPr>
        <w:t xml:space="preserve">, 889–895.</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IBM. (n.d.). Telco customer churn [Data set].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https://raw.githubusercontent.com/IBM/telco-customer-churn-on-icp4d/master/data/Telco-Customer-Churn.csv</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Kc, D. S., &amp; Terwiesch, C. (2009). Impact of workload on service time and patient safety: An econometric analysis of hospital operations. </w:t>
      </w:r>
      <w:r>
        <w:rPr>
          <w:rFonts w:ascii="Times New Roman" w:cs="Times New Roman" w:eastAsia="Times New Roman" w:hAnsi="Times New Roman"/>
          <w:i/>
          <w:iCs/>
          <w:sz w:val="24"/>
          <w:szCs w:val="24"/>
        </w:rPr>
        <w:t xml:space="preserve">Management Science, 55</w:t>
      </w:r>
      <w:r>
        <w:rPr>
          <w:rFonts w:ascii="Times New Roman" w:cs="Times New Roman" w:eastAsia="Times New Roman" w:hAnsi="Times New Roman"/>
          <w:sz w:val="24"/>
          <w:szCs w:val="24"/>
        </w:rPr>
        <w:t xml:space="preserve">(9), 1486–1498. https://doi.org/10.1287/mnsc.1090.1037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Liu, F. T., Ting, K. M., &amp; Zhou, Z. H. (2008). Isolation forest. </w:t>
      </w:r>
      <w:r>
        <w:rPr>
          <w:rFonts w:ascii="Times New Roman" w:cs="Times New Roman" w:eastAsia="Times New Roman" w:hAnsi="Times New Roman"/>
          <w:i/>
          <w:iCs/>
          <w:sz w:val="24"/>
          <w:szCs w:val="24"/>
        </w:rPr>
        <w:t xml:space="preserve">Proceedings of the 8th IEEE International Conference on Data Mining, 413</w:t>
      </w:r>
      <w:r>
        <w:rPr>
          <w:rFonts w:ascii="Times New Roman" w:cs="Times New Roman" w:eastAsia="Times New Roman" w:hAnsi="Times New Roman"/>
          <w:sz w:val="24"/>
          <w:szCs w:val="24"/>
        </w:rPr>
        <w:t xml:space="preserve">–422. https://doi.org/10.1109/ICDM.2008.17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Macy, M. W., &amp; Willer, R. (2002). From factors to actors: Computational sociology and agent-based modeling. </w:t>
      </w:r>
      <w:r>
        <w:rPr>
          <w:rFonts w:ascii="Times New Roman" w:cs="Times New Roman" w:eastAsia="Times New Roman" w:hAnsi="Times New Roman"/>
          <w:i/>
          <w:iCs/>
          <w:sz w:val="24"/>
          <w:szCs w:val="24"/>
        </w:rPr>
        <w:t xml:space="preserve">Annual Review of Sociology, 28</w:t>
      </w:r>
      <w:r>
        <w:rPr>
          <w:rFonts w:ascii="Times New Roman" w:cs="Times New Roman" w:eastAsia="Times New Roman" w:hAnsi="Times New Roman"/>
          <w:sz w:val="24"/>
          <w:szCs w:val="24"/>
        </w:rPr>
        <w:t xml:space="preserve">, 143–166. https://doi.org/10.1146/annurev.soc.28.110601.141117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Masad, D., &amp; Kazil, J. (2015). Mesa: An agent-based modeling framework. </w:t>
      </w:r>
      <w:r>
        <w:rPr>
          <w:rFonts w:ascii="Times New Roman" w:cs="Times New Roman" w:eastAsia="Times New Roman" w:hAnsi="Times New Roman"/>
          <w:i/>
          <w:iCs/>
          <w:sz w:val="24"/>
          <w:szCs w:val="24"/>
        </w:rPr>
        <w:t xml:space="preserve">Proceedings of the 14th Python in Science Conference, 53</w:t>
      </w:r>
      <w:r>
        <w:rPr>
          <w:rFonts w:ascii="Times New Roman" w:cs="Times New Roman" w:eastAsia="Times New Roman" w:hAnsi="Times New Roman"/>
          <w:sz w:val="24"/>
          <w:szCs w:val="24"/>
        </w:rPr>
        <w:t xml:space="preserve">–60. https://doi.org/10.25080/Majora-7b98e3ed-009</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mexwell. (n.d.). Employee performance and productivity data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https://www.kaggle.com/datasets/mexwell/employee-performance-and-productivity-data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Metropolitan Transportation Authority. (n.d.). MTA NYCT customer engagement statistics: 2017–2022 [Data set]. Data.gov.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https://catalog.data.gov/dataset/mta-customer-engagement-statistics-beginning-may-2017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Metropolitan Transportation Authority. (n.d.). MTA NYCT paratransit call center performance: Beginning 2016 [Data set]. Data.gov.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https://catalog.data.gov/dataset/mta-access-a-ride-call-center-performance-beginning-2016</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Muller, J. Z. (2018). The tyranny of metrics. Princeton University Press.</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Piercy, N. F., &amp; Rich, N. (2009). The implications of lean operations for sales strategy: From sales-force to marketing-force. </w:t>
      </w:r>
      <w:r>
        <w:rPr>
          <w:rFonts w:ascii="Times New Roman" w:cs="Times New Roman" w:eastAsia="Times New Roman" w:hAnsi="Times New Roman"/>
          <w:i/>
          <w:iCs/>
          <w:sz w:val="24"/>
          <w:szCs w:val="24"/>
        </w:rPr>
        <w:t xml:space="preserve">Journal of Strategic Marketing, 17</w:t>
      </w:r>
      <w:r>
        <w:rPr>
          <w:rFonts w:ascii="Times New Roman" w:cs="Times New Roman" w:eastAsia="Times New Roman" w:hAnsi="Times New Roman"/>
          <w:sz w:val="24"/>
          <w:szCs w:val="24"/>
        </w:rPr>
        <w:t xml:space="preserve">(3–4), 237–255.</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Rastogi, A., Zang, X., Sunkara, S., Gupta, R., &amp; Khaitan, P. (2020). Towards scalable multi-domain conversational agents: The schema-guided dialogue dataset. Proceedings of AAAI 2020. https://doi.org/10.1609/aaai.v34i05.6394</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Shewhart, W. A. (1931). Economic control of quality of manufactured product. Van Nostrand.</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Strathern, M. (1997). 'Improving ratings': Audit in the British university system. </w:t>
      </w:r>
      <w:r>
        <w:rPr>
          <w:rFonts w:ascii="Times New Roman" w:cs="Times New Roman" w:eastAsia="Times New Roman" w:hAnsi="Times New Roman"/>
          <w:i/>
          <w:iCs/>
          <w:sz w:val="24"/>
          <w:szCs w:val="24"/>
        </w:rPr>
        <w:t xml:space="preserve">European Review, 5</w:t>
      </w:r>
      <w:r>
        <w:rPr>
          <w:rFonts w:ascii="Times New Roman" w:cs="Times New Roman" w:eastAsia="Times New Roman" w:hAnsi="Times New Roman"/>
          <w:sz w:val="24"/>
          <w:szCs w:val="24"/>
        </w:rPr>
        <w:t xml:space="preserve">(3), 305–321. https://doi.org/10.1002/(SICI)1234-981X(199707)5:3&lt;305::AID-EURO184&gt;3.0.CO;2-4</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Tank, P. (n.d.). Employee HR dataset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https://www.kaggle.com/datasets/prishatank/employee-hr-dataset</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Taylor, P., &amp; Bain, P. (1999). 'An assembly line in the head': Work and employee relations in the call centre. </w:t>
      </w:r>
      <w:r>
        <w:rPr>
          <w:rFonts w:ascii="Times New Roman" w:cs="Times New Roman" w:eastAsia="Times New Roman" w:hAnsi="Times New Roman"/>
          <w:i/>
          <w:iCs/>
          <w:sz w:val="24"/>
          <w:szCs w:val="24"/>
        </w:rPr>
        <w:t xml:space="preserve">Industrial Relations Journal, 30</w:t>
      </w:r>
      <w:r>
        <w:rPr>
          <w:rFonts w:ascii="Times New Roman" w:cs="Times New Roman" w:eastAsia="Times New Roman" w:hAnsi="Times New Roman"/>
          <w:sz w:val="24"/>
          <w:szCs w:val="24"/>
        </w:rPr>
        <w:t xml:space="preserve">(2), 101–117. https://doi.org/10.1111/1468-2338.00113</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van den Broek, D. (2004). 'We have the values': Customers, control and corporate ideology in call centre operations. </w:t>
      </w:r>
      <w:r>
        <w:rPr>
          <w:rFonts w:ascii="Times New Roman" w:cs="Times New Roman" w:eastAsia="Times New Roman" w:hAnsi="Times New Roman"/>
          <w:i/>
          <w:iCs/>
          <w:sz w:val="24"/>
          <w:szCs w:val="24"/>
        </w:rPr>
        <w:t xml:space="preserve">New Technology, Work and Employment, 19</w:t>
      </w:r>
      <w:r>
        <w:rPr>
          <w:rFonts w:ascii="Times New Roman" w:cs="Times New Roman" w:eastAsia="Times New Roman" w:hAnsi="Times New Roman"/>
          <w:sz w:val="24"/>
          <w:szCs w:val="24"/>
        </w:rPr>
        <w:t xml:space="preserve">(1), 2–13. https://doi.org/10.1111/j.1468-005X.2004.00125.x</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Verizon. (2023). 2023 data breach investigations report. Verizon Business. https://www.verizon.com/business/resources/reports/dbir/</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Walonoski, J., Kramer, M., Nichols, J., Quina, A., Moesel, C., Hall, D., Duffett, C., Dube, K., Gallagher, T., &amp; McLachlan, S. (2018). Synthea: An approach, method, and software mechanism for generating synthetic patients and the synthetic electronic health care record. </w:t>
      </w:r>
      <w:r>
        <w:rPr>
          <w:rFonts w:ascii="Times New Roman" w:cs="Times New Roman" w:eastAsia="Times New Roman" w:hAnsi="Times New Roman"/>
          <w:i/>
          <w:iCs/>
          <w:sz w:val="24"/>
          <w:szCs w:val="24"/>
        </w:rPr>
        <w:t xml:space="preserve">Journal of the American Medical Informatics Association, 25</w:t>
      </w:r>
      <w:r>
        <w:rPr>
          <w:rFonts w:ascii="Times New Roman" w:cs="Times New Roman" w:eastAsia="Times New Roman" w:hAnsi="Times New Roman"/>
          <w:sz w:val="24"/>
          <w:szCs w:val="24"/>
        </w:rPr>
        <w:t xml:space="preserve">(3), 230–238. https://doi.org/10.1093/jamia/ocx079</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Winiecki, D. J. (2009). The expert gaze and the panopticon: Reflections on call centre work. </w:t>
      </w:r>
      <w:r>
        <w:rPr>
          <w:rFonts w:ascii="Times New Roman" w:cs="Times New Roman" w:eastAsia="Times New Roman" w:hAnsi="Times New Roman"/>
          <w:i/>
          <w:iCs/>
          <w:sz w:val="24"/>
          <w:szCs w:val="24"/>
        </w:rPr>
        <w:t xml:space="preserve">New Technology, Work and Employment, 24</w:t>
      </w:r>
      <w:r>
        <w:rPr>
          <w:rFonts w:ascii="Times New Roman" w:cs="Times New Roman" w:eastAsia="Times New Roman" w:hAnsi="Times New Roman"/>
          <w:sz w:val="24"/>
          <w:szCs w:val="24"/>
        </w:rPr>
        <w:t xml:space="preserve">(3), 222–234.</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ziya07. (n.d.). Employee churn data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https://www.kaggle.com/datasets/ziya07/employee-churn-data</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caps/>
        <w:sz w:val="24"/>
        <w:szCs w:val="24"/>
      </w:rPr>
      <w:t xml:space="preserve">SYNTHETIC CALL CENTER DATASET</w:t>
    </w:r>
    <w:r>
      <w:tab/>
    </w:r>
    <w:fldSimple w:instr="PAGE">
      <w:r>
        <w:rPr>
          <w:rFonts w:ascii="Times New Roman" w:cs="Times New Roman" w:eastAsia="Times New Roman" w:hAnsi="Times New Roman"/>
          <w:sz w:val="24"/>
          <w:szCs w:val="24"/>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2d0c3e0bc3880eaf9457381e011e577b5c6c2eb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2026-02-26T18:47:54.445Z</dcterms:created>
  <dcterms:modified xsi:type="dcterms:W3CDTF">2026-02-26T18:47:54.446Z</dcterms:modified>
</cp:coreProperties>
</file>

<file path=docProps/custom.xml><?xml version="1.0" encoding="utf-8"?>
<Properties xmlns="http://schemas.openxmlformats.org/officeDocument/2006/custom-properties" xmlns:vt="http://schemas.openxmlformats.org/officeDocument/2006/docPropsVTypes"/>
</file>