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pPr>
      <w:r>
        <w:t xml:space="preserve"/>
      </w:r>
    </w:p>
    <w:p>
      <w:pPr>
        <w:spacing w:line="480"/>
        <w:jc w:val="center"/>
      </w:pPr>
      <w:r>
        <w:rPr>
          <w:rFonts w:ascii="Times New Roman" w:cs="Times New Roman" w:eastAsia="Times New Roman" w:hAnsi="Times New Roman"/>
          <w:b/>
          <w:bCs/>
          <w:sz w:val="24"/>
          <w:szCs w:val="24"/>
        </w:rPr>
        <w:t xml:space="preserve">Simulating the Front Line: A Behaviorally-Grounded Synthetic</w:t>
      </w:r>
    </w:p>
    <w:p>
      <w:pPr>
        <w:spacing w:line="480"/>
        <w:jc w:val="center"/>
      </w:pPr>
      <w:r>
        <w:rPr>
          <w:rFonts w:ascii="Times New Roman" w:cs="Times New Roman" w:eastAsia="Times New Roman" w:hAnsi="Times New Roman"/>
          <w:b/>
          <w:bCs/>
          <w:sz w:val="24"/>
          <w:szCs w:val="24"/>
        </w:rPr>
        <w:t xml:space="preserve">Representative Generator for Wireless Call Center Research</w:t>
      </w:r>
    </w:p>
    <w:p>
      <w:pPr>
        <w:spacing w:line="480"/>
      </w:pPr>
      <w:r>
        <w:t xml:space="preserve"/>
      </w:r>
    </w:p>
    <w:p>
      <w:pPr>
        <w:spacing w:line="480"/>
        <w:jc w:val="center"/>
      </w:pPr>
      <w:r>
        <w:rPr>
          <w:rFonts w:ascii="Times New Roman" w:cs="Times New Roman" w:eastAsia="Times New Roman" w:hAnsi="Times New Roman"/>
          <w:sz w:val="24"/>
          <w:szCs w:val="24"/>
        </w:rPr>
        <w:t xml:space="preserve">Author</w:t>
      </w:r>
    </w:p>
    <w:p>
      <w:pPr>
        <w:spacing w:line="480"/>
        <w:jc w:val="center"/>
      </w:pPr>
      <w:r>
        <w:rPr>
          <w:rFonts w:ascii="Times New Roman" w:cs="Times New Roman" w:eastAsia="Times New Roman" w:hAnsi="Times New Roman"/>
          <w:sz w:val="24"/>
          <w:szCs w:val="24"/>
        </w:rPr>
        <w:t xml:space="preserve">NovaWireless Applied Research</w:t>
      </w:r>
    </w:p>
    <w:p>
      <w:pPr>
        <w:spacing w:line="480"/>
      </w:pPr>
      <w:r>
        <w:t xml:space="preserve"/>
      </w:r>
    </w:p>
    <w:p>
      <w:pPr>
        <w:spacing w:line="480"/>
        <w:jc w:val="center"/>
      </w:pPr>
      <w:r>
        <w:rPr>
          <w:rFonts w:ascii="Times New Roman" w:cs="Times New Roman" w:eastAsia="Times New Roman" w:hAnsi="Times New Roman"/>
          <w:sz w:val="24"/>
          <w:szCs w:val="24"/>
        </w:rPr>
        <w:t xml:space="preserve">February 2026</w:t>
      </w:r>
    </w:p>
    <w:p>
      <w:pPr>
        <w:spacing w:line="480"/>
      </w:pPr>
      <w:r>
        <w:t xml:space="preserve"/>
      </w:r>
    </w:p>
    <w:p>
      <w:pPr>
        <w:spacing w:line="480"/>
        <w:jc w:val="center"/>
      </w:pPr>
      <w:r>
        <w:rPr>
          <w:rFonts w:ascii="Times New Roman" w:cs="Times New Roman" w:eastAsia="Times New Roman" w:hAnsi="Times New Roman"/>
          <w:sz w:val="24"/>
          <w:szCs w:val="24"/>
        </w:rPr>
        <w:t xml:space="preserve">Author Note</w:t>
      </w:r>
    </w:p>
    <w:p>
      <w:pPr>
        <w:spacing w:line="480" w:before="0" w:after="0"/>
        <w:ind w:firstLine="720"/>
        <w:jc w:val="both"/>
      </w:pPr>
      <w:r>
        <w:rPr>
          <w:rFonts w:ascii="Times New Roman" w:cs="Times New Roman" w:eastAsia="Times New Roman" w:hAnsi="Times New Roman"/>
          <w:sz w:val="24"/>
          <w:szCs w:val="24"/>
        </w:rPr>
        <w:t xml:space="preserve">This paper describes a synthetic dataset and simulation framework developed for portfolio and research purposes. All representative records, persona attributes, KPI values, and skill assignments are fully synthetic. No real employee data was used at any stage. All external datasets used to derive statistical priors are publicly available and cited accordingly.</w:t>
      </w:r>
    </w:p>
    <w:p>
      <w:r>
        <w:br/>
      </w:r>
    </w:p>
    <w:p>
      <w:pPr>
        <w:spacing w:line="480" w:before="0" w:after="0"/>
        <w:jc w:val="center"/>
      </w:pPr>
      <w:r>
        <w:rPr>
          <w:rFonts w:ascii="Times New Roman" w:cs="Times New Roman" w:eastAsia="Times New Roman" w:hAnsi="Times New Roman"/>
          <w:b/>
          <w:bCs/>
          <w:sz w:val="24"/>
          <w:szCs w:val="24"/>
        </w:rPr>
        <w:t xml:space="preserve">Abstract</w:t>
      </w:r>
    </w:p>
    <w:p>
      <w:pPr>
        <w:spacing w:line="480"/>
      </w:pPr>
      <w:r>
        <w:t xml:space="preserve"/>
      </w:r>
    </w:p>
    <w:p>
      <w:pPr>
        <w:spacing w:line="480" w:before="0" w:after="0"/>
        <w:ind/>
        <w:jc w:val="both"/>
      </w:pPr>
      <w:r>
        <w:rPr>
          <w:rFonts w:ascii="Times New Roman" w:cs="Times New Roman" w:eastAsia="Times New Roman" w:hAnsi="Times New Roman"/>
          <w:sz w:val="24"/>
          <w:szCs w:val="24"/>
        </w:rPr>
        <w:t xml:space="preserve">This paper presents the NovaWireless Synthetic Representative Generator, a reproducible Python-based framework for generating realistic call center customer service representative (CSR) populations with behaviorally grounded performance profiles. The framework produces a single output table — the representative roster — populated from statistical priors derived from three publicly available sources: Kaggle employee performance datasets, FCC Consumer Complaint Bureau (CGB) data, and IBM Telco customer segmentation data. A four-script pipeline handles call taxonomy derivation from FCC complaints, call subreason prior construction, representative roster generation, and post-hoc persona enrichment. Each representative is characterized by 12 KPI fields synthesized through an interconnected behavioral model that links persona traits (patience, empathy, escalation proneness, burnout risk) to performance outcomes (first contact resolution, average handle time, CSAT, compliance risk, productivity index) via a parameterized equation system. Eight derived persona traits are computed in a separate enrichment pass, producing transcript-ready behavioral profiles consumed by the NovaWireless Call Generator. The framework implements a two-layer skill assignment system grounded in FCC complaint volume distributions, a unique name collision guard using cryptographic uniqueness checking, and a stable run identifier linking each output to its exact input file state. A controlled validation compares generated skill distributions against FCC source priors and KPI means against Kaggle persona baselines.</w:t>
      </w:r>
    </w:p>
    <w:p>
      <w:pPr>
        <w:spacing w:line="480"/>
      </w:pPr>
      <w:r>
        <w:t xml:space="preserve"/>
      </w:r>
    </w:p>
    <w:p>
      <w:pPr>
        <w:spacing w:line="480" w:before="0" w:after="0"/>
        <w:ind/>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synthetic data, call center simulation, customer service representative, behavioral modeling, KPI synthesis, workforce analytics, persona generation, FCC complaints, fraud detection</w:t>
      </w:r>
    </w:p>
    <w:p>
      <w:r>
        <w:br/>
      </w:r>
    </w:p>
    <w:p>
      <w:pPr>
        <w:spacing w:line="480" w:before="0" w:after="0"/>
        <w:jc w:val="center"/>
      </w:pPr>
      <w:r>
        <w:rPr>
          <w:rFonts w:ascii="Times New Roman" w:cs="Times New Roman" w:eastAsia="Times New Roman" w:hAnsi="Times New Roman"/>
          <w:b/>
          <w:bCs/>
          <w:sz w:val="24"/>
          <w:szCs w:val="24"/>
        </w:rPr>
        <w:t xml:space="preserve">Simulating the Front Line: A Behaviorally-Grounded Synthetic</w:t>
      </w:r>
    </w:p>
    <w:p>
      <w:pPr>
        <w:spacing w:line="480"/>
        <w:jc w:val="center"/>
      </w:pPr>
      <w:r>
        <w:rPr>
          <w:rFonts w:ascii="Times New Roman" w:cs="Times New Roman" w:eastAsia="Times New Roman" w:hAnsi="Times New Roman"/>
          <w:b/>
          <w:bCs/>
          <w:sz w:val="24"/>
          <w:szCs w:val="24"/>
        </w:rPr>
        <w:t xml:space="preserve">Representative Generator for Wireless Call Center Research</w:t>
      </w:r>
    </w:p>
    <w:p>
      <w:pPr>
        <w:spacing w:line="480"/>
      </w:pPr>
      <w:r>
        <w:t xml:space="preserve"/>
      </w:r>
    </w:p>
    <w:p>
      <w:pPr>
        <w:spacing w:line="480" w:before="0" w:after="0"/>
        <w:jc w:val="center"/>
      </w:pPr>
      <w:r>
        <w:rPr>
          <w:rFonts w:ascii="Times New Roman" w:cs="Times New Roman" w:eastAsia="Times New Roman" w:hAnsi="Times New Roman"/>
          <w:b/>
          <w:bCs/>
          <w:sz w:val="24"/>
          <w:szCs w:val="24"/>
        </w:rPr>
        <w:t xml:space="preserve">Introduction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Fraud detection and governance analytics research in call center environments requires not only realistic customer and account data, but realistic representations of the human agents who interact with customers. A call record is not a standalone transaction — it is a behavioral artifact produced by the interaction between a specific customer (with a trust level, churn risk, and patience disposition) and a specific representative (with a skill profile, burnout level, and policy knowledge). The detectability of gaming, fraud, or metric manipulation depends critically on the distribution of representative behavioral traits, because gaming behavior is heterogeneous: it is concentrated among a subset of representatives whose burnout, incentive pressure, and policy discretion make them more susceptible to gaming, while most representatives operate within normal performance bounds.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Real representative data — employee records, KPI histories, performance review outcomes — is among the most restricted data within any organization. Employment law, labor agreements, and basic ethical obligations preclude sharing individual performance records in any research context. The result is a near-total absence of representative-level data in published call center research, which limits the field's ability to develop and validate models that require population-level heterogeneity in representative behavior.</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NovaWireless Synthetic Representative Generator addresses this gap by producing a synthetic representative population grounded in publicly available workforce analytics data. Rather than generating representative records with arbitrary or manually tuned parameters, the framework derives its behavioral distributions from three sources: Kaggle employee performance datasets that provide persona trait distributions by department and role, FCC consumer complaint data that provides call type specialization priors reflecting real complaint volume patterns, and IBM Telco customer segmentation data that provides pressure index calibration for the high-churn customer segments most likely to generate difficult calls.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resulting representative population has three properties that make it suitable for call center governance research. First, it is behaviorally heterogeneous — representatives vary in burnout, patience, skill, and compliance risk in ways that produce realistic performance distributions rather than a uniform agent pool. Second, it is structurally consistent with the downstream Call Generator, providing exactly the persona fields and skill tags that the scenario router uses to assign calls and modulate outcomes. Third, it is fully reproducible — given the same seed and input priors, the same roster is generated every time, enabling controlled experiments that vary population characteristics systematically.</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Three research questions motivate the design: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RQ1: Can a rule-based behavioral model produce a representative population whose KPI distribution properties are consistent with empirically grounded persona trait baselines from public workforce data?</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RQ2: Does grounding skill assignment priors in FCC complaint volume distributions produce a representative specialization mix that reflects the real distribution of call types in wireless customer care?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RQ3: Do the derived persona traits produced by the enrichment pass provide sufficient behavioral differentiation to support scenario-specific outcome modulation in the downstream Call Generator?</w:t>
      </w:r>
    </w:p>
    <w:p>
      <w:r>
        <w:br/>
      </w:r>
    </w:p>
    <w:p>
      <w:pPr>
        <w:spacing w:line="480" w:before="0" w:after="0"/>
        <w:jc w:val="center"/>
      </w:pPr>
      <w:r>
        <w:rPr>
          <w:rFonts w:ascii="Times New Roman" w:cs="Times New Roman" w:eastAsia="Times New Roman" w:hAnsi="Times New Roman"/>
          <w:b/>
          <w:bCs/>
          <w:sz w:val="24"/>
          <w:szCs w:val="24"/>
        </w:rPr>
        <w:t xml:space="preserve">Literature Review</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Workforce Analytics and KPI Modeling</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Call center performance has been extensively studied as a setting for operations research and human factors research. The job demands-resources model (Bakker &amp; Demerouti, 2007) provides the foundational theoretical framework: representative performance is a function of the balance between job demands (call volume, call complexity, customer frustration) and job resources (training, social support, skill match). Burnout is the primary outcome of sustained demand-resource imbalance and is a well-documented predictor of reduced first contact resolution, increased escalation rates, and elevated compliance risk (Maslach &amp; Leiter, 2016).</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AHT modeling has been studied as a deterministic performance signal that encodes information about both representative capability and gaming propensity. Kc and Terwiesch (2009) demonstrated that call center representatives operating under high workload pressure systematically reduce handle time in ways that degrade quality outcomes, providing empirical grounding for the relationship between pressure and AHT in the present model. The inverse relationship between AHT and FCR — shorter calls tend to produce lower first contact resolution — is a central feature of the KPI synthesis model.</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Compliance risk as a call center construct has received less attention in academic literature than in industry practice. Piercy and Rich (2009) document the prevalence of metric gaming in call center environments and its relationship to compliance failures, providing the theoretical basis for including compliance_risk as a KPI that co-varies with burnout and QA score in the present framework.</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Agent-Based and Rule-Based Simulation of Workforce Populations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Synthetic workforce simulation has been applied in a variety of organizational research contexts. Banks et al. (2005) provide a comprehensive treatment of discrete-event simulation approaches that model service systems with heterogeneous agent populations, including approaches for generating agent attribute distributions from empirical data. The present framework follows this tradition of rule-based simulation with empirically calibrated parameters, rather than machine learning-based approaches that require large training datasets of real representative records.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Kaggle employee performance and productivity dataset (mexwell, n.d.) has been used as a prior source for workforce simulation research. Its 100,000-record panel provides department-role-stratified distributions of performance, satisfaction, burnout, and strain that serve as the persona prior backbone of the present framework. The dataset's multi-department structure — spanning HR, IT, Engineering, Marketing, Finance, and Operations — provides enough variation to calibrate a single-queue CSR model that captures the range of behavioral dispositions present in a realistic call center workforce.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FCC Consumer Complaints as a Behavioral Prior Source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FCC Consumer Complaint Bureau dataset documents consumer complaints filed against telecommunications carriers, including the issue type, service type, and method of complaint. As a behavioral record of the issues that drive customers to escalate beyond their carrier's customer service channel, it provides an externally valid prior for the distribution of call types in wireless customer care. Complaints that reach the FCC represent the tail of the resolution failure distribution — issues that were not resolved satisfactorily — and are therefore enriched for the high-friction call types (billing disputes, fraud and security, network coverage failures) that are most likely to produce gaming behavior or compliance risk in the representative.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Using FCC complaint issue distributions as the basis for representative skill specialization priors produces a population where the most common complaint categories — billing resolution and fraud/unwanted calls, which together account for 56% of FCC complaint volume — are also the most represented specializations in the generated workforce. This alignment reflects the operational reality that carriers staff to their complaint patterns, producing a workforce whose skill mix mirrors the issue distribution customers actually experience.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Goodhart Dynamics and Representative Behavioral Drift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theoretical connection between representative behavioral heterogeneity and Goodhart's Law has been established in the call center literature. Bain and Taylor (2000) and Taylor and Bain (1999) document the systematic behavioral adaptations representatives develop under metric pressure, including strategic AHT management, selective escalation, and resolution flag manipulation. These behaviors are not uniformly distributed across the workforce — they are concentrated among representatives with specific combinations of high burnout, high workload pressure, and sufficient policy discretion to execute them without immediate detection.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present framework is explicitly designed to produce this heterogeneous distribution. The KPI synthesis model produces a compliance_risk variable that co-varies with burnout and inversely with QA score, and the persona enrichment pass tags representatives with specific behavioral weaknesses — credit_leak_risk, speed_over_accuracy, reactive_under_stress — that the downstream Call Generator uses to weight scenario routing toward gaming-susceptible representatives.</w:t>
      </w:r>
    </w:p>
    <w:p>
      <w:r>
        <w:br/>
      </w:r>
    </w:p>
    <w:p>
      <w:pPr>
        <w:spacing w:line="480" w:before="0" w:after="0"/>
        <w:jc w:val="center"/>
      </w:pPr>
      <w:r>
        <w:rPr>
          <w:rFonts w:ascii="Times New Roman" w:cs="Times New Roman" w:eastAsia="Times New Roman" w:hAnsi="Times New Roman"/>
          <w:b/>
          <w:bCs/>
          <w:sz w:val="24"/>
          <w:szCs w:val="24"/>
        </w:rPr>
        <w:t xml:space="preserve">System Design</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Architecture Overview</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Representative Generator consists of four scripts executed sequentially by a run_all.py orchestrator. Table 1 describes each script, its inputs, and its outputs.</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1</w:t>
      </w:r>
    </w:p>
    <w:p>
      <w:pPr>
        <w:spacing w:line="480"/>
        <w:jc w:val="center"/>
      </w:pPr>
      <w:r>
        <w:rPr>
          <w:rFonts w:ascii="Times New Roman" w:cs="Times New Roman" w:eastAsia="Times New Roman" w:hAnsi="Times New Roman"/>
          <w:sz w:val="24"/>
          <w:szCs w:val="24"/>
        </w:rPr>
        <w:t xml:space="preserve">Representative Generator Pipeline Scripts</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2600"/>
        <w:gridCol w:w="3060"/>
      </w:tblGrid>
      <w:tr>
        <w:trPr>
          <w:tblHeader/>
        </w:trPr>
        <w:tc>
          <w:tcPr>
            <w:tcW w:type="dxa" w:w="3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Script</w:t>
            </w:r>
          </w:p>
        </w:tc>
        <w:tc>
          <w:tcPr>
            <w:tcW w:type="dxa" w:w="5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Step</w:t>
            </w:r>
          </w:p>
        </w:tc>
        <w:tc>
          <w:tcPr>
            <w:tcW w:type="dxa" w:w="2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Inputs</w:t>
            </w:r>
          </w:p>
        </w:tc>
        <w:tc>
          <w:tcPr>
            <w:tcW w:type="dxa" w:w="30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Primary Outputs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02_build_call_taxonomy_from_fcc.py</w:t>
            </w:r>
          </w:p>
        </w:tc>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fcc_cgb_consumer_complaints__issue_priors.csv</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call_type_priors__from_fcc.csv, fcc_issue_to_call_type_map.csv</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03_build_call_subreason_priors.py</w:t>
            </w:r>
          </w:p>
        </w:tc>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fcc_cgb_consumer_complaints__issue_priors.csv</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call_subreason_priors__v1.csv, call_type_subreason_catalog__v1.csv</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generate_employees_call_center_one_queue.py</w:t>
            </w:r>
          </w:p>
        </w:tc>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4 prior CSVs from employee_generation_inputs/</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novawireless_employee_database.csv</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04_rep_persona_compiler.py</w:t>
            </w:r>
          </w:p>
        </w:tc>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novawireless_employee_database.csv</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novawireless_employee_database.csv (enriched), rep_persona_profiles__v1.csv</w:t>
            </w:r>
          </w:p>
        </w:tc>
      </w:tr>
    </w:tbl>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Steps 2 and 3 run before the employee generation step because their outputs — call type priors and subreason priors — are not consumed by the representative generator itself but by the downstream Call Generator. They are placed in the representative generator pipeline because the FCC complaint data used as their input is maintained in this repo's data directory, and their outputs are supplier artifacts delivered alongside the representative roster. The final output of the full pipeline — novawireless_employee_database.csv enriched by Step 5 — constitutes the behavioral state vector consumed by the Call Generator's scenario router and transcript builder.</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Step 2: Call Taxonomy Derivation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call taxonomy derivation step reads FCC issue-level complaint probabilities and maps them to NovaWireless call types through an explicit many-to-many mapping table hardcoded in the script. Each FCC issue category (e.g., 'Billing', 'Cramming', 'Robocalls') is mapped to one or more NovaWireless call types with specified within-issue weights. The contribution of each FCC issue to each call type is computed as the product of the issue's base probability and its within-issue weight, and these contributions are summed across all issues to produce a call-type-level prior probability distribution.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resulting call_type_priors__from_fcc.csv contains seven call types: Billing Dispute (approximately 35%), Account Inquiry (approximately 25%), Network Coverage (approximately 18%), Fraud/Security (approximately 12%), Device Issue (approximately 7%), Payment Arrangement (approximately 2%), and Promotion Inquiry (approximately 1%). These proportions reflect the FCC complaint distribution's heavy concentration in billing and account inquiry categories, with fraud and security complaints representing a substantial minority share consistent with CFCA (2023) estimates of telecom fraud complaint prevalence.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Step 3: Call Subreason Prior Construction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subreason prior construction step builds a two-level taxonomy by assigning subreason distributions within each call type. The subreason mapping is explicitly defined in the script as a dictionary of call type to subreason weight dictionaries, covering nine call types and 36 subreasons. Weights are normalized within each call type to sum to 1.0, and a QA output file verifies normalization for every call type.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subreason taxonomy is designed to reflect the specific call patterns relevant to wireless carrier fraud research. The Fraud/Security call type's subreasons include SIM swap concern (45%), unauthorized access (25%), account takeover (20%), and line added without consent (10%) — directly mapping to the four primary retail and care fraud patterns documented in the NovaWireless account graph framework. The Device Issue call type includes IMEI mismatch as a subreason (15%), creating a call pathway for the account-graph-level anomalies injected by the Customer Generator's anomaly injection step.</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Step 4: Representative Roster Generation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representative roster generation step is the core of the framework. It reads four prior CSV files from the employee_generation_inputs directory — persona priors from Kaggle, FCC specialization priors, weekday pressure priors from Kaggle call center data, and IBM telco segment pressure priors — and synthesizes a roster of N representatives (default 250) with unique identities, skill assignments, and KPI profiles.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generation process for each representative proceeds in four stages. First, a unique first-and-last name pair is drawn from built-in pools of 160 first names and 100 last names, with collision checking enforced via a set of previously used pairs. Second, a persona profile is sampled by selecting a weighted row from the Kaggle persona priors table, where row weights are proportional to the employee count column. Third, a primary and secondary skill pair is assigned by sampling from the FCC specialization prior distribution, with the secondary skill downweighted away from the primary skill to enforce meaningful differentiation. Fourth, KPI values are synthesized through the behavioral model described below.</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The KPI Synthesis Model</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KPI synthesis model produces 12 performance metrics per representative through a system of parametric equations that connect persona traits and environmental pressure to behavioral outcomes. The model encodes a directed acyclic causal graph, not a simultaneous equation system: each variable is computed in a fixed topological order from its upstream inputs, with no feedback loops or mutual dependencies among endogenous variables. This structure is intentional — it avoids the identification problems inherent in simultaneous equation systems and ensures that the causal interpretation of each variable is unambiguous. The model is also intentionally transparent — all equations are explicit and all parameters are documented in the source code — rather than a fitted statistical model. This transparency is a design choice that prioritizes auditability over statistical fit.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model computes metrics in a specific causal order. Burnout is computed first as a weighted combination of persona burnout risk (weight 0.55), base strain (0.30), and pressure deviation from baseline (0.15), offset by patience (0.10). Resilience and volatility are computed from burnout with noise. QA score is computed from patience, training, and burnout. First contact resolution (FCR) is computed from QA, patience, skill bonus, burnout, and pressure. AHT is computed as a multiplicative transformation of a 560-second base, scaled by burnout and pressure and reduced by training and QA. Escalation rate, transfer rate, and repeat contact rate are computed from FCR, QA, burnout, and escalation proneness. CSAT is computed from empathy, QA, burnout, and escalation. Compliance risk is computed from burnout, QA, and escalation rate. Productivity index is a weighted composite of FCR, QA, and AHT normalized to a 0-to-1 scale.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model includes Gaussian noise at every equation to prevent the generated distribution from collapsing to a deterministic function of the persona priors. Noise sigmas are calibrated to produce realistic within-tier variance while preserving the ordinal relationships between persona trait levels and KPI outcomes.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Table 2 documents the KPI equation inputs and their behavioral interpretation.</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2</w:t>
      </w:r>
    </w:p>
    <w:p>
      <w:pPr>
        <w:spacing w:line="480"/>
        <w:jc w:val="center"/>
      </w:pPr>
      <w:r>
        <w:rPr>
          <w:rFonts w:ascii="Times New Roman" w:cs="Times New Roman" w:eastAsia="Times New Roman" w:hAnsi="Times New Roman"/>
          <w:sz w:val="24"/>
          <w:szCs w:val="24"/>
        </w:rPr>
        <w:t xml:space="preserve">KPI Synthesis Model — Variable Inputs and Behavioral Interpretation</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KPI Output</w:t>
            </w:r>
          </w:p>
        </w:tc>
        <w:tc>
          <w:tcPr>
            <w:tcW w:type="dxa" w:w="2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Primary Drivers</w:t>
            </w:r>
          </w:p>
        </w:tc>
        <w:tc>
          <w:tcPr>
            <w:tcW w:type="dxa" w:w="47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Behavioral Interpretation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burnout_index</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burnout_risk, strain, pressure, patience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Core state variable; drives most downstream KPIs. High burnout → lower quality, higher risk.</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qa_score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patience, training, burnout</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Policy and process accuracy proxy. Predicts FCR and compliance risk.</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fcr_30d</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qa_score, patience, skill_bonus, burnout, pressure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Proportion of calls resolved without 30-day repeat contact.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aht_secs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 pressure, training, qa_score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Average handle time in seconds. Burnout and pressure inflate; training and QA reduce.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csat_proxy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empathy, qa_score, burnout, escalation_rate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Customer satisfaction proxy. Empathy and QA drive it up; burnout and escalations drive it down.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escalation_rate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escalation_proneness, burnout, qa_score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Rate of calls escalated to supervisor or dispute team.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transfer_rate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qa_score, burnout, patience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Rate of calls transferred to another queue or department.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repeat_contact_rate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fcr_30d, pressure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Rate of customers calling back within 30 days. Derived from FCR failure.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compliance_risk</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 qa_score, escalation_rate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Probability of a compliance-relevant behavior (e.g., unauthorized credit, policy bypass).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productivity_index</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fcr_30d, qa_score, aht_secs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Composite efficiency-quality score normalized 0–1.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resilience_index</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 training</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Capacity to maintain performance under sustained pressure.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volatility_index</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Performance variability; high burnout → high volatility → unpredictable outcomes.</w:t>
            </w:r>
          </w:p>
        </w:tc>
      </w:tr>
    </w:tbl>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Figure 2 illustrates the directed acyclic causal structure of the KPI synthesis model, showing the flow from exogenous inputs through core state variables, quality signal, outcome KPIs, and risk composite outputs.</w:t>
      </w:r>
    </w:p>
    <w:p>
      <w:pPr>
        <w:spacing w:line="480"/>
      </w:pPr>
      <w:r>
        <w:t xml:space="preserve"/>
      </w:r>
    </w:p>
    <w:p>
      <w:pPr>
        <w:spacing w:line="480"/>
        <w:jc w:val="center"/>
      </w:pPr>
      <w:r>
        <w:rPr>
          <w:rFonts w:ascii="Times New Roman" w:cs="Times New Roman" w:eastAsia="Times New Roman" w:hAnsi="Times New Roman"/>
          <w:i/>
          <w:iCs/>
          <w:sz w:val="24"/>
          <w:szCs w:val="24"/>
        </w:rPr>
        <w:t xml:space="preserve">Figure 2</w:t>
      </w:r>
    </w:p>
    <w:p>
      <w:pPr>
        <w:spacing w:line="480"/>
        <w:jc w:val="center"/>
      </w:pPr>
      <w:r>
        <w:rPr>
          <w:rFonts w:ascii="Times New Roman" w:cs="Times New Roman" w:eastAsia="Times New Roman" w:hAnsi="Times New Roman"/>
          <w:sz w:val="24"/>
          <w:szCs w:val="24"/>
        </w:rPr>
        <w:t xml:space="preserve">KPI Synthesis Model — Directed Acyclic Causal Graph</w:t>
      </w:r>
    </w:p>
    <w:p>
      <w:pPr>
        <w:spacing w:line="480"/>
      </w:pPr>
      <w:r>
        <w:t xml:space="preserve"/>
      </w:r>
    </w:p>
    <w:p>
      <w:pPr>
        <w:spacing w:line="24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19400"/>
                    </a:xfrm>
                    <a:prstGeom prst="rect">
                      <a:avLst/>
                    </a:prstGeom>
                  </pic:spPr>
                </pic:pic>
              </a:graphicData>
            </a:graphic>
          </wp:inline>
        </w:drawing>
      </w:r>
    </w:p>
    <w:p>
      <w:pPr>
        <w:spacing w:line="480"/>
      </w:pPr>
      <w:r>
        <w:t xml:space="preserve"/>
      </w:r>
    </w:p>
    <w:p>
      <w:pPr>
        <w:spacing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Arrows indicate direct causal dependencies in the topological computation order. All variables are computed left-to-right; no feedback loops exist. Color coding: blue = exogenous inputs (persona traits and environmental parameters); orange = core state variables (burnout, resilience, volatility); teal = quality signal (QA score); purple = outcome KPIs; dark red = risk and composite outputs. Noise terms (σ = 0.04–0.20) are added at each equation but are omitted from the diagram for clarity.</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Step 5: Persona Enrichment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persona enrichment step runs after roster generation and adds eight derived behavioral trait columns to the employee database. These traits are computed deterministically from the KPI values — no additional randomness is introduced — by normalizing each KPI within the population and applying threshold-based derivation rules.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eight traits and their derivation logic are: policy_accuracy (normalized QA score), discovery_skill (inverse of normalized repeat contact rate), conflict_tolerance (inverse of normalized escalation rate), technical_skill (mean of normalized QA and FCR), credit_discipline (inverse of normalized compliance risk), ownership_bias (mean of normalized CSAT and resilience), emotional_regulation (inverse of normalized volatility), and aht_pressure_bias (mean of normalized productivity and inverse FCR).</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Weakness tags are assigned based on threshold rules applied to the derived traits: representatives with discovery_skill below 0.35 receive a discovery_gap tag, policy_accuracy below 0.35 receives policy_confusion, conflict_tolerance below 0.35 receives escalation_prone, aht_pressure_bias above 0.65 receives speed_over_accuracy, credit_discipline below 0.35 receives credit_leak_risk, and emotional_regulation below 0.35 receives reactive_under_stress. Strength tags are assigned by symmetric upper-threshold rules. A separate slim output file, rep_persona_profiles__v1.csv, contains only the persona columns required by the Call Generator transcript builder.</w:t>
      </w:r>
    </w:p>
    <w:p>
      <w:r>
        <w:br/>
      </w:r>
    </w:p>
    <w:p>
      <w:pPr>
        <w:spacing w:line="480" w:before="0" w:after="0"/>
        <w:jc w:val="center"/>
      </w:pPr>
      <w:r>
        <w:rPr>
          <w:rFonts w:ascii="Times New Roman" w:cs="Times New Roman" w:eastAsia="Times New Roman" w:hAnsi="Times New Roman"/>
          <w:b/>
          <w:bCs/>
          <w:sz w:val="24"/>
          <w:szCs w:val="24"/>
        </w:rPr>
        <w:t xml:space="preserve">Output Schema and Population Characteristics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All statistics in this section reflect a default 250-representative simulation run with seed=1337. All differences are descriptive and reflect deterministic simulation outputs under fixed seed; inferential testing is not applicable within a deterministic synthetic framework.</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generator produces 41 columns per representative, covering identity fields, organizational metadata, skill tags, 12 KPI fields, 8 persona trait fields, strain tier and score, and weakness and strength tag lists. The full schema is documented in the repository README. The primary consumer-facing output is novawireless_employee_database.csv; the slim rep_persona_profiles__v1.csv is consumed by the Call Generator.</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Micro Validation: Skill Distribution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Table 3 compares the generated primary skill distribution against the FCC source priors. The FCC complaint volume distribution is used directly as the skill assignment prior, so the generated distribution is expected to approximate the FCC source within sampling variation. Deviations at N=250 are larger than those expected at N=10,000, reflecting the smaller sample size.</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3</w:t>
      </w:r>
    </w:p>
    <w:p>
      <w:pPr>
        <w:spacing w:line="480"/>
        <w:jc w:val="center"/>
      </w:pPr>
      <w:r>
        <w:rPr>
          <w:rFonts w:ascii="Times New Roman" w:cs="Times New Roman" w:eastAsia="Times New Roman" w:hAnsi="Times New Roman"/>
          <w:sz w:val="24"/>
          <w:szCs w:val="24"/>
        </w:rPr>
        <w:t xml:space="preserve">Generated Skill Distribution vs. FCC Source Priors (seed=1337, N=250)</w:t>
      </w:r>
    </w:p>
    <w:p>
      <w:pPr>
        <w:spacing w:line="4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460"/>
      </w:tblGrid>
      <w:tr>
        <w:trPr>
          <w:tblHeader/>
        </w:trPr>
        <w:tc>
          <w:tcPr>
            <w:tcW w:type="dxa" w:w="2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Skill Tag</w:t>
            </w:r>
          </w:p>
        </w:tc>
        <w:tc>
          <w:tcPr>
            <w:tcW w:type="dxa" w:w="1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FCC Source Prior</w:t>
            </w:r>
          </w:p>
        </w:tc>
        <w:tc>
          <w:tcPr>
            <w:tcW w:type="dxa" w:w="2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Generated (seed=1337)</w:t>
            </w:r>
          </w:p>
        </w:tc>
        <w:tc>
          <w:tcPr>
            <w:tcW w:type="dxa" w:w="14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Delta</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billing_resolution</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30.6%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32.4%</w:t>
            </w:r>
          </w:p>
        </w:tc>
        <w:tc>
          <w:tcPr>
            <w:tcW w:type="dxa" w:w="1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+1.8pp</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fraud_unwanted_calls</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25.1%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23.2%</w:t>
            </w:r>
          </w:p>
        </w:tc>
        <w:tc>
          <w:tcPr>
            <w:tcW w:type="dxa" w:w="1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-1.9pp</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network_service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18.3%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18.4%</w:t>
            </w:r>
          </w:p>
        </w:tc>
        <w:tc>
          <w:tcPr>
            <w:tcW w:type="dxa" w:w="1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+0.1pp</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device_support</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12.3%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14.0%</w:t>
            </w:r>
          </w:p>
        </w:tc>
        <w:tc>
          <w:tcPr>
            <w:tcW w:type="dxa" w:w="1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+1.7pp</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general_support</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6.8%</w:t>
            </w:r>
          </w:p>
        </w:tc>
        <w:tc>
          <w:tcPr>
            <w:tcW w:type="dxa" w:w="1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-1.8pp</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porting_transfer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5.2%</w:t>
            </w:r>
          </w:p>
        </w:tc>
        <w:tc>
          <w:tcPr>
            <w:tcW w:type="dxa" w:w="1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+0.1pp</w:t>
            </w:r>
          </w:p>
        </w:tc>
      </w:tr>
    </w:tbl>
    <w:p>
      <w:pPr>
        <w:spacing w:line="480"/>
      </w:pPr>
      <w:r>
        <w:t xml:space="preserve"/>
      </w:r>
    </w:p>
    <w:p>
      <w:pPr>
        <w:spacing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FCC source priors are derived from complaint volume counts in the FCC CGB consumer complaints dataset. Generated distribution reflects primary skill assignments only. All deviations are within expected sampling range for N=250. pp = percentage points.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Micro Validation: KPI Distributions vs. Persona Baselines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Table 4 compares key KPI means from the generated population against the corresponding persona baseline values from the Kaggle employee persona priors. The Kaggle source provides population-weighted means for burnout risk, patience, empathy, and escalation proneness across 16 department-role cells. The generated KPI values are not expected to match the Kaggle source exactly — they are downstream transformations of the persona traits through the behavioral model — but they should be directionally consistent.</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4</w:t>
      </w:r>
    </w:p>
    <w:p>
      <w:pPr>
        <w:spacing w:line="480"/>
        <w:jc w:val="center"/>
      </w:pPr>
      <w:r>
        <w:rPr>
          <w:rFonts w:ascii="Times New Roman" w:cs="Times New Roman" w:eastAsia="Times New Roman" w:hAnsi="Times New Roman"/>
          <w:sz w:val="24"/>
          <w:szCs w:val="24"/>
        </w:rPr>
        <w:t xml:space="preserve">Generated KPI Means vs. Kaggle Persona Prior Baselines (seed=1337, N=250)</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960"/>
      </w:tblGrid>
      <w:tr>
        <w:trPr>
          <w:tblHeader/>
        </w:trPr>
        <w:tc>
          <w:tcPr>
            <w:tcW w:type="dxa" w:w="2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Measure</w:t>
            </w:r>
          </w:p>
        </w:tc>
        <w:tc>
          <w:tcPr>
            <w:tcW w:type="dxa" w:w="2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Kaggle Source Baseline</w:t>
            </w:r>
          </w:p>
        </w:tc>
        <w:tc>
          <w:tcPr>
            <w:tcW w:type="dxa" w:w="1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Generated Mean</w:t>
            </w:r>
          </w:p>
        </w:tc>
        <w:tc>
          <w:tcPr>
            <w:tcW w:type="dxa" w:w="29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Relationship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Burnout risk / burnout_index</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0.481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0.420</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Generated lower: base strain (0.52) partially offset by patience and training in model</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Patience mean / CSAT proxy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0.505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0.673</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CSAT is an amplified downstream transform of patience + empathy + QA — not a direct mapping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FCR 30d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0.704</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No direct Kaggle analog; consistent with industry benchmarks of 70–80% FCR in wireless care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AHT (seconds)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538</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Consistent with Kaggle call center source mean of ~560s; slight reduction from training and QA effects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Escalation proneness / escalation rate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0.512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0.099</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Escalation rate is a small-scale behavioral frequency, not a 0-1 propensity score — not directly comparable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Strain tier: low / medium / high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36% / 59% / 6%</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Right-skewed toward medium strain; consistent with a functioning workforce under moderate pressure</w:t>
            </w:r>
          </w:p>
        </w:tc>
      </w:tr>
    </w:tbl>
    <w:p>
      <w:pPr>
        <w:spacing w:line="480"/>
      </w:pPr>
      <w:r>
        <w:t xml:space="preserve"/>
      </w:r>
    </w:p>
    <w:p>
      <w:pPr>
        <w:spacing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Kaggle source baseline values are population-weighted means across 16 department-role cells from the Kaggle Employee HR dataset (Tank, n.d.) and Extended Employee Performance dataset (mexwell, n.d.). Dashes indicate no direct Kaggle analog. FCR industry benchmark from CFCA (2023) and Kc and Terwiesch (2009).</w:t>
      </w:r>
    </w:p>
    <w:p>
      <w:r>
        <w:br/>
      </w:r>
    </w:p>
    <w:p>
      <w:pPr>
        <w:spacing w:line="480" w:before="0" w:after="0"/>
        <w:jc w:val="center"/>
      </w:pPr>
      <w:r>
        <w:rPr>
          <w:rFonts w:ascii="Times New Roman" w:cs="Times New Roman" w:eastAsia="Times New Roman" w:hAnsi="Times New Roman"/>
          <w:b/>
          <w:bCs/>
          <w:sz w:val="24"/>
          <w:szCs w:val="24"/>
        </w:rPr>
        <w:t xml:space="preserve">Prior Derivation and Data Provenance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All statistical distributions in the framework are derived from publicly available external datasets. No external datasets are redistributed. Table 5 documents each source and its specific contribution.</w:t>
      </w:r>
    </w:p>
    <w:p>
      <w:pPr>
        <w:spacing w:line="480"/>
      </w:pPr>
      <w:r>
        <w:t xml:space="preserve"/>
      </w:r>
    </w:p>
    <w:p>
      <w:pPr>
        <w:spacing w:line="480"/>
        <w:jc w:val="center"/>
      </w:pPr>
      <w:r>
        <w:rPr>
          <w:rFonts w:ascii="Times New Roman" w:cs="Times New Roman" w:eastAsia="Times New Roman" w:hAnsi="Times New Roman"/>
          <w:i/>
          <w:iCs/>
          <w:sz w:val="24"/>
          <w:szCs w:val="24"/>
        </w:rPr>
        <w:t xml:space="preserve">Table 5</w:t>
      </w:r>
    </w:p>
    <w:p>
      <w:pPr>
        <w:spacing w:line="480"/>
        <w:jc w:val="center"/>
      </w:pPr>
      <w:r>
        <w:rPr>
          <w:rFonts w:ascii="Times New Roman" w:cs="Times New Roman" w:eastAsia="Times New Roman" w:hAnsi="Times New Roman"/>
          <w:sz w:val="24"/>
          <w:szCs w:val="24"/>
        </w:rPr>
        <w:t xml:space="preserve">External Data Sources and Prior Contributions</w:t>
      </w:r>
    </w:p>
    <w:p>
      <w:pPr>
        <w:spacing w:lin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Source</w:t>
            </w:r>
          </w:p>
        </w:tc>
        <w:tc>
          <w:tcPr>
            <w:tcW w:type="dxa" w:w="59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Contribution</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Kaggle Employee HR Dataset (Tank, n.d.)</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Persona trait means (patience, empathy, burnout_risk, escalation_proneness) stratified by department and job role. Used to construct the persona prior table.</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Kaggle Extended Employee Performance &amp; Productivity (mexwell, n.d.)</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Strain tier distributions (resigned rate, satisfaction, hours, overtime, projects per tier). Validates strain tier assignment logic.</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Kaggle Employee Churn Dataset (ziya07, n.d.)</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Friction tier multipliers (AHT, escalation, transfer, repeat contact scaling by friction tier). Validates KPI scaling behavior.</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Kaggle Call Center Daily Performance (Ahmadzade Jahromi, n.d.)</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Weekday pressure index and AHT baseline (mean ~560 seconds). Provides the pressure_index_baseline and AHT anchor.</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IBM Telco Customer Churn — Segment Pressure (IBM, n.d.)</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Segment-level pressure index by contract type and internet service. Calibrates the pressure adjustment applied to representatives serving high-churn customer segments.</w:t>
            </w:r>
          </w:p>
        </w:tc>
      </w:tr>
      <w:t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FCC CGB Consumer Complaints (FCC, n.d.)</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Issue-level complaint probability distribution. Drives call taxonomy derivation (Step 2), subreason prior construction (Step 3), and skill specialization prior assignment (Step 4).</w:t>
            </w:r>
          </w:p>
        </w:tc>
      </w:tr>
    </w:tbl>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All prior derivation scripts are included in the repository and produce their output files from the raw source CSVs. Every parameter used in the KPI synthesis model is traceable to either a documented source prior or an explicitly stated modeling assumption in the source code. This transparency enables independent reproduction and critique of the prior derivation process.</w:t>
      </w:r>
    </w:p>
    <w:p>
      <w:r>
        <w:br/>
      </w:r>
    </w:p>
    <w:p>
      <w:pPr>
        <w:spacing w:line="480" w:before="0" w:after="0"/>
        <w:jc w:val="center"/>
      </w:pPr>
      <w:r>
        <w:rPr>
          <w:rFonts w:ascii="Times New Roman" w:cs="Times New Roman" w:eastAsia="Times New Roman" w:hAnsi="Times New Roman"/>
          <w:b/>
          <w:bCs/>
          <w:sz w:val="24"/>
          <w:szCs w:val="24"/>
        </w:rPr>
        <w:t xml:space="preserve">Design Rationale</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Why Rule-Based Rather Than Statistical</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KPI synthesis model uses explicit parametric equations rather than a fitted statistical model because the latter would require a large training dataset of real representative records — exactly the kind of data that is unavailable for research purposes. The rule-based approach makes all modeling assumptions explicit and auditable: every coefficient, every noise sigma, and every causal link is documented in the source code and described in this paper. A researcher who disagrees with a specific parameter can modify it, re-run the generator, and observe the effect on the output distribution.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tradeoff is that the model does not capture all correlational structure in real call center data. In particular, it does not model skill-specific KPI variation beyond the small skill bonus applied to FCR, and it does not model team-level or supervisor-level effects on individual performance. These are known simplifications, not unknown errors.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Why FCC Complaints as a Skill Prior</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FCC complaint issue distributions were chosen as the skill specialization prior rather than internal routing data because they are publicly available, externally validated, and updated regularly. More importantly, they measure the right thing: they reflect the call types that are difficult enough to resolve that customers escalated beyond the carrier's own resolution channels. This is a better proxy for the distribution of challenging calls — the calls where representative skill matters most — than an internal routing distribution that includes a large share of simple transactional inquiries.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resulting skill mix — with billing resolution and fraud/unwanted calls as the two largest specializations — is consistent with industry descriptions of call center workforce composition in wireless retail, where billing complexity and fraud volume drive specialized training investment.</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Why Separate Generation and Enrichment Steps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persona enrichment step runs as a separate script after roster generation rather than being integrated into the generation step. This design choice reflects the different computational character of the two operations: roster generation involves stochastic sampling and sequential record creation, while persona enrichment involves deterministic population-level normalization. Normalization requires the full population to be present before any individual can be scored, making it impossible to integrate into the per-representative generation loop.</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separation also provides a natural checkpoint: the raw generated roster can be inspected before enrichment, and the enrichment logic can be modified and re-run without regenerating the roster. This supports an iterative development workflow where trait derivation rules are tuned against the generated population without requiring full regeneration.</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Why a Single Queue Design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generator enforces a single queue, single department, and single role constraint — all generated representatives are CSRs in the same General Support queue. This simplification reflects the NovaWireless organizational model and avoids the complexity of multi-queue transfer routing in the Call Generator. It also avoids the risk of generating a workforce with artificial departmental stratification that would confound analyses of individual-level behavioral variation.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Real call centers have multi-tier structures with transfer pathways between queues. The present framework simulates all calls as single-tier interactions where the assigned representative handles the call from start to finish. This is a deliberate simplification that makes the Goodhart detection problem tractable: in a multi-tier system, responsibility for outcome quality is distributed across tiers in ways that obscure individual representative accountability.</w:t>
      </w:r>
    </w:p>
    <w:p>
      <w:r>
        <w:br/>
      </w:r>
    </w:p>
    <w:p>
      <w:pPr>
        <w:spacing w:line="480" w:before="0" w:after="0"/>
        <w:jc w:val="center"/>
      </w:pPr>
      <w:r>
        <w:rPr>
          <w:rFonts w:ascii="Times New Roman" w:cs="Times New Roman" w:eastAsia="Times New Roman" w:hAnsi="Times New Roman"/>
          <w:b/>
          <w:bCs/>
          <w:sz w:val="24"/>
          <w:szCs w:val="24"/>
        </w:rPr>
        <w:t xml:space="preserve">Applications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Representative-Level Anomaly Detection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generated representative population provides a labeled dataset for representative-level anomaly detection. The compliance_risk and burnout_index fields can serve as continuous risk scores for identifying representatives whose behavioral profile places them in the upper tail of the fraud-susceptibility distribution. The weakness tags — particularly credit_leak_risk and speed_over_accuracy — provide interpretable categorical labels for the behavioral profiles most associated with gaming behavior in the downstream Call Generator.</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A practical anomaly detection workflow would use the representative roster as a prior to generate control chart baselines for each representative's KPI time series as calls accumulate in the Call Generator output. The representative's initial KPI profile provides the expected distribution; drift away from that baseline — particularly increases in compliance_risk and decreases in FCR — is the primary governance signal for gaming detection at the individual level.</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Workforce Composition Experiments</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parameterizable nature of the generator supports controlled experiments on workforce composition effects. By varying the base_strain, base_training, and pressure parameters, a researcher can generate rosters under different organizational conditions and compare their impact on population-level KPI distributions and downstream call outcomes. For example, a stress condition that increases base_strain from 0.52 to 0.70 will produce a population with higher burnout, lower FCR, and higher compliance risk — simulating the effect of understaffing or increased call volume pressure on representative behavior.</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Integration with the NovaWireless Call Generator</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primary application of the representative roster is as the workforce input to the NovaWireless Call Generator. The Call Generator reads novawireless_employee_database.csv and joins representative attributes to each call record. The scenario router uses representative gaming_propensity (derived from compliance_risk and burnout_index at call time), policy_skill, and burnout_level to modulate scenario assignment probabilities. Representatives with high initial compliance_risk are more likely to be assigned gaming or fraud scenarios; representatives with low burnout and high QA are more likely to produce clean resolution outcomes regardless of scenario.</w:t>
      </w:r>
    </w:p>
    <w:p>
      <w:r>
        <w:br/>
      </w:r>
    </w:p>
    <w:p>
      <w:pPr>
        <w:spacing w:line="480" w:before="0" w:after="0"/>
        <w:jc w:val="center"/>
      </w:pPr>
      <w:r>
        <w:rPr>
          <w:rFonts w:ascii="Times New Roman" w:cs="Times New Roman" w:eastAsia="Times New Roman" w:hAnsi="Times New Roman"/>
          <w:b/>
          <w:bCs/>
          <w:sz w:val="24"/>
          <w:szCs w:val="24"/>
        </w:rPr>
        <w:t xml:space="preserve">Limitations and Future Directions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Flat Population Structure</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current framework generates all representatives with the same base_strain and base_training parameters, producing a population that varies in KPI values only through persona sampling variance and the Gaussian noise terms in the synthesis model. Real call center workforces have structured heterogeneity: tenure cohorts with systematically different training levels, shift assignments that produce different pressure exposure, and team-level effects from supervisor quality. Extending the framework to support cohort-level parameter variation would substantially improve population realism.</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Absence of Longitudinal Drift</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generated representative records are static snapshots. Real representative performance drifts over time — burnout accumulates, policy skill improves with tenure, and gaming propensity responds to organizational incentive changes. The NovaWireless Call Generator partially addresses this through its in-simulation state update mechanism, but the initial representative state does not capture the prior trajectory. A longitudinal generator that produces initial states consistent with a simulated prior history would improve the realism of the starting conditions.</w:t>
      </w:r>
    </w:p>
    <w:p>
      <w:pPr>
        <w:spacing w:line="480"/>
      </w:pPr>
      <w:r>
        <w:t xml:space="preserve"/>
      </w:r>
    </w:p>
    <w:p>
      <w:pPr>
        <w:spacing w:line="480" w:before="0" w:after="0"/>
        <w:ind w:firstLine="720"/>
        <w:jc w:val="left"/>
      </w:pPr>
      <w:r>
        <w:rPr>
          <w:rFonts w:ascii="Times New Roman" w:cs="Times New Roman" w:eastAsia="Times New Roman" w:hAnsi="Times New Roman"/>
          <w:b/>
          <w:bCs/>
          <w:i/>
          <w:iCs/>
          <w:sz w:val="24"/>
          <w:szCs w:val="24"/>
        </w:rPr>
        <w:t xml:space="preserve">KPI Model Validation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KPI synthesis model has not been validated against real representative performance data, because such data is not publicly available. The model's face validity — the plausibility of its causal structure — has been established by grounding its design in the call center literature cited in this paper. Quantitative validation would require access to real carrier representative data under a research data use agreement, which is a direction for future work in partnership with a carrier willing to participate in governance research.</w:t>
      </w:r>
    </w:p>
    <w:p>
      <w:r>
        <w:br/>
      </w:r>
    </w:p>
    <w:p>
      <w:pPr>
        <w:spacing w:line="480" w:before="0" w:after="0"/>
        <w:jc w:val="center"/>
      </w:pPr>
      <w:r>
        <w:rPr>
          <w:rFonts w:ascii="Times New Roman" w:cs="Times New Roman" w:eastAsia="Times New Roman" w:hAnsi="Times New Roman"/>
          <w:b/>
          <w:bCs/>
          <w:sz w:val="24"/>
          <w:szCs w:val="24"/>
        </w:rPr>
        <w:t xml:space="preserve">Conclusion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This paper has presented the NovaWireless Synthetic Representative Generator, a four-script pipeline that produces a behaviorally heterogeneous synthetic workforce population grounded in publicly available workforce analytics data. The framework generates 41-column representative records through a transparent rule-based KPI synthesis model, derives eight persona traits through a deterministic normalization-based enrichment pass, and produces the complete set of representative attributes required by the NovaWireless Call Generator for scenario-based fraud simulation.</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The framework's core contribution is the behavioral model that connects persona traits — patience, empathy, burnout risk, escalation proneness — to KPI outcomes through a system of parametric equations calibrated against Kaggle workforce priors and Kaggle call center operational data. The skill specialization system, grounded in FCC complaint volume distributions, produces a workforce whose expertise mix reflects the actual distribution of difficult call types in wireless customer care. The persona enrichment pass translates raw KPI values into the interpreted behavioral tags — credit_leak_risk, speed_over_accuracy, discovery_gap — that give the downstream scenario router the vocabulary to assign calls to representative profiles that match the fraud and gaming scenarios being simulated.</w:t>
      </w:r>
    </w:p>
    <w:p>
      <w:pPr>
        <w:spacing w:line="480"/>
      </w:pPr>
      <w:r>
        <w:t xml:space="preserve"/>
      </w:r>
    </w:p>
    <w:p>
      <w:pPr>
        <w:spacing w:line="480" w:before="0" w:after="0"/>
        <w:ind w:firstLine="720"/>
        <w:jc w:val="both"/>
      </w:pPr>
      <w:r>
        <w:rPr>
          <w:rFonts w:ascii="Times New Roman" w:cs="Times New Roman" w:eastAsia="Times New Roman" w:hAnsi="Times New Roman"/>
          <w:sz w:val="24"/>
          <w:szCs w:val="24"/>
        </w:rPr>
        <w:t xml:space="preserve">Together with the NovaWireless Customer Generator and Call Generator, the Representative Generator completes a three-component synthetic data infrastructure for call center governance research — one that is fully reproducible, fully open, and designed from the ground up to support the study of Goodhart dynamics in AI-speed organizational environments.</w:t>
      </w:r>
    </w:p>
    <w:p>
      <w:r>
        <w:br/>
      </w:r>
    </w:p>
    <w:p>
      <w:pPr>
        <w:spacing w:line="480" w:before="0" w:after="0"/>
        <w:jc w:val="center"/>
      </w:pPr>
      <w:r>
        <w:rPr>
          <w:rFonts w:ascii="Times New Roman" w:cs="Times New Roman" w:eastAsia="Times New Roman" w:hAnsi="Times New Roman"/>
          <w:b/>
          <w:bCs/>
          <w:sz w:val="24"/>
          <w:szCs w:val="24"/>
        </w:rPr>
        <w:t xml:space="preserve">References</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Ahmadzade Jahromi, M. (n.d.). Call center data (Call center daily performance)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https://www.kaggle.com/datasets/satvicoder/call-center-data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Bain, P., &amp; Taylor, P. (2000). Entrapped by the 'electronic Panopticon'? Worker resistance in the call centre. </w:t>
      </w:r>
      <w:r>
        <w:rPr>
          <w:rFonts w:ascii="Times New Roman" w:cs="Times New Roman" w:eastAsia="Times New Roman" w:hAnsi="Times New Roman"/>
          <w:i/>
          <w:iCs/>
          <w:sz w:val="24"/>
          <w:szCs w:val="24"/>
        </w:rPr>
        <w:t xml:space="preserve">New Technology, Work and Employment, 15</w:t>
      </w:r>
      <w:r>
        <w:rPr>
          <w:rFonts w:ascii="Times New Roman" w:cs="Times New Roman" w:eastAsia="Times New Roman" w:hAnsi="Times New Roman"/>
          <w:sz w:val="24"/>
          <w:szCs w:val="24"/>
        </w:rPr>
        <w:t xml:space="preserve">(1), 2–18. https://doi.org/10.1111/1468-005X.00061</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Bakker, A. B., &amp; Demerouti, E. (2007). The job demands-resources model: State of the art. </w:t>
      </w:r>
      <w:r>
        <w:rPr>
          <w:rFonts w:ascii="Times New Roman" w:cs="Times New Roman" w:eastAsia="Times New Roman" w:hAnsi="Times New Roman"/>
          <w:i/>
          <w:iCs/>
          <w:sz w:val="24"/>
          <w:szCs w:val="24"/>
        </w:rPr>
        <w:t xml:space="preserve">Journal of Managerial Psychology, 22</w:t>
      </w:r>
      <w:r>
        <w:rPr>
          <w:rFonts w:ascii="Times New Roman" w:cs="Times New Roman" w:eastAsia="Times New Roman" w:hAnsi="Times New Roman"/>
          <w:sz w:val="24"/>
          <w:szCs w:val="24"/>
        </w:rPr>
        <w:t xml:space="preserve">(3), 309–328. https://doi.org/10.1108/02683940710733115</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Banks, J., Carson, J. S., Nelson, B. L., &amp; Nicol, D. M. (2005). Discrete-event system simulation (4th ed.). Prentice Hall.</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Communications Fraud Control Association. (2023). 2023 global telecom fraud loss survey. CFCA.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Federal Communications Commission. (n.d.). CGB consumer complaints data [Data set]. FCC Open Data. </w:t>
      </w:r>
      <w:r>
        <w:rPr>
          <w:rFonts w:ascii="Times New Roman" w:cs="Times New Roman" w:eastAsia="Times New Roman" w:hAnsi="Times New Roman"/>
          <w:i/>
          <w:iCs/>
          <w:sz w:val="24"/>
          <w:szCs w:val="24"/>
        </w:rPr>
        <w:t xml:space="preserve">Retrieved February 16, 2026</w:t>
      </w:r>
      <w:r>
        <w:rPr>
          <w:rFonts w:ascii="Times New Roman" w:cs="Times New Roman" w:eastAsia="Times New Roman" w:hAnsi="Times New Roman"/>
          <w:sz w:val="24"/>
          <w:szCs w:val="24"/>
        </w:rPr>
        <w:t xml:space="preserve">, from https://opendata.fcc.gov/Consumer/CGB-Consumer-Complaints-Data/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IBM. (n.d.). Telco customer churn [Data set].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https://raw.githubusercontent.com/IBM/telco-customer-churn-on-icp4d/master/data/Telco-Customer-Churn.csv</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IBM. (n.d.). Telco customer churn [Data set]. Kaggle mirror.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International Telecommunication Union. (2026). Mobile phone subscriptions per 100 people [Data set]. Processed by Our World in Data; original data from World Bank, World Development Indicators.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https://archive.ourworldindata.org/20260202-181317/grapher/mobile-cellular-subscriptions-per-100-people.html</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Kc, D. S., &amp; Terwiesch, C. (2009). Impact of workload on service time and patient safety: An econometric analysis of hospital operations. </w:t>
      </w:r>
      <w:r>
        <w:rPr>
          <w:rFonts w:ascii="Times New Roman" w:cs="Times New Roman" w:eastAsia="Times New Roman" w:hAnsi="Times New Roman"/>
          <w:i/>
          <w:iCs/>
          <w:sz w:val="24"/>
          <w:szCs w:val="24"/>
        </w:rPr>
        <w:t xml:space="preserve">Management Science, 55</w:t>
      </w:r>
      <w:r>
        <w:rPr>
          <w:rFonts w:ascii="Times New Roman" w:cs="Times New Roman" w:eastAsia="Times New Roman" w:hAnsi="Times New Roman"/>
          <w:sz w:val="24"/>
          <w:szCs w:val="24"/>
        </w:rPr>
        <w:t xml:space="preserve">(9), 1486–1498. https://doi.org/10.1287/mnsc.1090.1037</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Maslach, C., &amp; Leiter, M. P. (2016). Understanding the burnout experience: Recent research and its implications for psychiatry. </w:t>
      </w:r>
      <w:r>
        <w:rPr>
          <w:rFonts w:ascii="Times New Roman" w:cs="Times New Roman" w:eastAsia="Times New Roman" w:hAnsi="Times New Roman"/>
          <w:i/>
          <w:iCs/>
          <w:sz w:val="24"/>
          <w:szCs w:val="24"/>
        </w:rPr>
        <w:t xml:space="preserve">World Psychiatry, 15</w:t>
      </w:r>
      <w:r>
        <w:rPr>
          <w:rFonts w:ascii="Times New Roman" w:cs="Times New Roman" w:eastAsia="Times New Roman" w:hAnsi="Times New Roman"/>
          <w:sz w:val="24"/>
          <w:szCs w:val="24"/>
        </w:rPr>
        <w:t xml:space="preserve">(2), 103–111. https://doi.org/10.1002/wps.20311</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Metropolitan Transportation Authority. (n.d.). MTA NYCT paratransit call center performance: Beginning 2016 [Data set]. Data.gov.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https://catalog.data.gov/dataset/mta-access-a-ride-call-center-performance-beginning-2016</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mexwell. (n.d.). Employee performance and productivity data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https://www.kaggle.com/datasets/mexwell/employee-performance-and-productivity-data</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Muller, J. Z. (2018). The tyranny of metrics. Princeton University Press.</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Piercy, N. F., &amp; Rich, N. (2009). The implications of lean operations for sales strategy: From sales-force to marketing-force. </w:t>
      </w:r>
      <w:r>
        <w:rPr>
          <w:rFonts w:ascii="Times New Roman" w:cs="Times New Roman" w:eastAsia="Times New Roman" w:hAnsi="Times New Roman"/>
          <w:i/>
          <w:iCs/>
          <w:sz w:val="24"/>
          <w:szCs w:val="24"/>
        </w:rPr>
        <w:t xml:space="preserve">Journal of Strategic Marketing, 17</w:t>
      </w:r>
      <w:r>
        <w:rPr>
          <w:rFonts w:ascii="Times New Roman" w:cs="Times New Roman" w:eastAsia="Times New Roman" w:hAnsi="Times New Roman"/>
          <w:sz w:val="24"/>
          <w:szCs w:val="24"/>
        </w:rPr>
        <w:t xml:space="preserve">(3–4), 237–255.</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Tank, P. (n.d.). Employee HR dataset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https://www.kaggle.com/datasets/prishatank/employee-hr-dataset</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Taylor, P., &amp; Bain, P. (1999). 'An assembly line in the head': Work and employee relations in the call centre. </w:t>
      </w:r>
      <w:r>
        <w:rPr>
          <w:rFonts w:ascii="Times New Roman" w:cs="Times New Roman" w:eastAsia="Times New Roman" w:hAnsi="Times New Roman"/>
          <w:i/>
          <w:iCs/>
          <w:sz w:val="24"/>
          <w:szCs w:val="24"/>
        </w:rPr>
        <w:t xml:space="preserve">Industrial Relations Journal, 30</w:t>
      </w:r>
      <w:r>
        <w:rPr>
          <w:rFonts w:ascii="Times New Roman" w:cs="Times New Roman" w:eastAsia="Times New Roman" w:hAnsi="Times New Roman"/>
          <w:sz w:val="24"/>
          <w:szCs w:val="24"/>
        </w:rPr>
        <w:t xml:space="preserve">(2), 101–117. https://doi.org/10.1111/1468-2338.00113</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World Bank. (2026). Mobile cellular subscriptions [Indicator: IT.CEL.SETS]. World Development Indicators.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w:t>
      </w:r>
    </w:p>
    <w:p>
      <w:pPr>
        <w:spacing w:line="480"/>
      </w:pPr>
      <w:r>
        <w:t xml:space="preserve"/>
      </w:r>
    </w:p>
    <w:p>
      <w:pPr>
        <w:spacing w:line="480" w:before="0" w:after="0"/>
        <w:ind w:left="720" w:hanging="720"/>
        <w:jc w:val="both"/>
      </w:pPr>
      <w:r>
        <w:rPr>
          <w:rFonts w:ascii="Times New Roman" w:cs="Times New Roman" w:eastAsia="Times New Roman" w:hAnsi="Times New Roman"/>
          <w:sz w:val="24"/>
          <w:szCs w:val="24"/>
        </w:rPr>
        <w:t xml:space="preserve">ziya07. (n.d.). Employee churn data [Data set]. Kaggle. </w:t>
      </w:r>
      <w:r>
        <w:rPr>
          <w:rFonts w:ascii="Times New Roman" w:cs="Times New Roman" w:eastAsia="Times New Roman" w:hAnsi="Times New Roman"/>
          <w:i/>
          <w:iCs/>
          <w:sz w:val="24"/>
          <w:szCs w:val="24"/>
        </w:rPr>
        <w:t xml:space="preserve">Retrieved February 15, 2026</w:t>
      </w:r>
      <w:r>
        <w:rPr>
          <w:rFonts w:ascii="Times New Roman" w:cs="Times New Roman" w:eastAsia="Times New Roman" w:hAnsi="Times New Roman"/>
          <w:sz w:val="24"/>
          <w:szCs w:val="24"/>
        </w:rPr>
        <w:t xml:space="preserve">, from https://www.kaggle.com/datasets/ziya07/employee-churn-data</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caps/>
        <w:sz w:val="24"/>
        <w:szCs w:val="24"/>
      </w:rPr>
      <w:t xml:space="preserve">SYNTHETIC REPRESENTATIVE GENERATOR</w:t>
    </w:r>
    <w:r>
      <w:tab/>
    </w:r>
    <w:fldSimple w:instr="PAGE">
      <w:r>
        <w:rPr>
          <w:rFonts w:ascii="Times New Roman" w:cs="Times New Roman" w:eastAsia="Times New Roman" w:hAnsi="Times New Roman"/>
          <w:sz w:val="24"/>
          <w:szCs w:val="24"/>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9ef51f95f98ca0c1910306c8e38de2e7aac7e779.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2026-02-26T19:21:31.334Z</dcterms:created>
  <dcterms:modified xsi:type="dcterms:W3CDTF">2026-02-26T19:21:31.335Z</dcterms:modified>
</cp:coreProperties>
</file>

<file path=docProps/custom.xml><?xml version="1.0" encoding="utf-8"?>
<Properties xmlns="http://schemas.openxmlformats.org/officeDocument/2006/custom-properties" xmlns:vt="http://schemas.openxmlformats.org/officeDocument/2006/docPropsVTypes"/>
</file>