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auto"/>
      </w:pPr>
      <w:r>
        <w:t xml:space="preserve"/>
      </w:r>
    </w:p>
    <w:p>
      <w:pPr>
        <w:spacing w:before="0" w:after="0" w:line="480" w:lineRule="auto"/>
      </w:pPr>
      <w:r>
        <w:t xml:space="preserve"/>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Stop Governing AI With Yesterday's Fear:</w:t>
      </w:r>
    </w:p>
    <w:p>
      <w:pPr>
        <w:spacing w:before="0" w:after="0" w:line="480" w:lineRule="auto"/>
        <w:jc w:val="center"/>
      </w:pPr>
      <w:r>
        <w:rPr>
          <w:rFonts w:ascii="Times New Roman" w:cs="Times New Roman" w:eastAsia="Times New Roman" w:hAnsi="Times New Roman"/>
          <w:b/>
          <w:bCs/>
          <w:sz w:val="24"/>
          <w:szCs w:val="24"/>
        </w:rPr>
        <w:t xml:space="preserve">Why Artificial Intelligence Policy Must Be Built on Public Good,</w:t>
      </w:r>
    </w:p>
    <w:p>
      <w:pPr>
        <w:spacing w:before="0" w:after="0" w:line="480" w:lineRule="auto"/>
        <w:jc w:val="center"/>
      </w:pPr>
      <w:r>
        <w:rPr>
          <w:rFonts w:ascii="Times New Roman" w:cs="Times New Roman" w:eastAsia="Times New Roman" w:hAnsi="Times New Roman"/>
          <w:b/>
          <w:bCs/>
          <w:sz w:val="24"/>
          <w:szCs w:val="24"/>
        </w:rPr>
        <w:t xml:space="preserve">Not Incumbent Greed and Technological Anxiety</w:t>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val="false"/>
          <w:bCs w:val="false"/>
          <w:sz w:val="24"/>
          <w:szCs w:val="24"/>
        </w:rPr>
        <w:t xml:space="preserve">Gina Aulabaugh</w:t>
      </w:r>
    </w:p>
    <w:p>
      <w:pPr>
        <w:spacing w:before="0" w:after="0" w:line="480" w:lineRule="auto"/>
        <w:jc w:val="center"/>
      </w:pPr>
      <w:r>
        <w:rPr>
          <w:rFonts w:ascii="Times New Roman" w:cs="Times New Roman" w:eastAsia="Times New Roman" w:hAnsi="Times New Roman"/>
          <w:b w:val="false"/>
          <w:bCs w:val="false"/>
          <w:sz w:val="24"/>
          <w:szCs w:val="24"/>
        </w:rPr>
        <w:t xml:space="preserve">PixelKraze LLC</w:t>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val="false"/>
          <w:bCs w:val="false"/>
          <w:sz w:val="24"/>
          <w:szCs w:val="24"/>
        </w:rPr>
        <w:t xml:space="preserve">Author Note</w:t>
      </w:r>
    </w:p>
    <w:p>
      <w:pPr>
        <w:spacing w:before="0" w:after="0" w:line="480" w:lineRule="auto"/>
        <w:ind/>
      </w:pPr>
      <w:r>
        <w:rPr>
          <w:rFonts w:ascii="Times New Roman" w:cs="Times New Roman" w:eastAsia="Times New Roman" w:hAnsi="Times New Roman"/>
          <w:b w:val="false"/>
          <w:bCs w:val="false"/>
          <w:i w:val="false"/>
          <w:iCs w:val="false"/>
          <w:sz w:val="24"/>
          <w:szCs w:val="24"/>
        </w:rPr>
        <w:t xml:space="preserve">Gina Aulabaugh is the founder of PixelKraze LLC, a data science research and consulting practice specializing in AI governance, proxy metric divergence, and trust signal integrity. She is an AuDHD researcher whose work examines the structural conditions under which AI systems succeed or fail at serving human interests. Correspondence regarding this article should be addressed to PixelKraze LLC via pixelkraze.com.</w:t>
      </w:r>
    </w:p>
    <w:p>
      <w:pPr>
        <w:spacing w:before="0" w:after="0" w:line="480" w:lineRule="auto"/>
      </w:pPr>
      <w:r>
        <w:t xml:space="preserve"/>
      </w:r>
    </w:p>
    <w:p>
      <w:pPr>
        <w:spacing w:before="0" w:after="0" w:line="480" w:lineRule="auto"/>
      </w:pPr>
      <w:r>
        <w:t xml:space="preserve"/>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Abstract</w:t>
      </w:r>
    </w:p>
    <w:p>
      <w:pPr>
        <w:spacing w:before="0" w:after="0" w:line="480" w:lineRule="auto"/>
        <w:ind/>
      </w:pPr>
      <w:r>
        <w:rPr>
          <w:rFonts w:ascii="Times New Roman" w:cs="Times New Roman" w:eastAsia="Times New Roman" w:hAnsi="Times New Roman"/>
          <w:b w:val="false"/>
          <w:bCs w:val="false"/>
          <w:i w:val="false"/>
          <w:iCs w:val="false"/>
          <w:sz w:val="24"/>
          <w:szCs w:val="24"/>
        </w:rPr>
        <w:t xml:space="preserve">Every transformative technology in human history has generated fear, resistance, and attempts by incumbent powers to gatekeep its use. The printing press, the telephone, the personal computer, and the internet each faced organized opposition framed as ethical concern but driven by economic self-interest. Artificial intelligence is following this same historical pattern — with one critical difference: the scale, speed, and civilizational consequence of AI make the cost of getting governance wrong higher than at any previous technological inflection point. This paper argues that current AI policy discourse is being shaped by two distorting forces — fear and greed — that are producing governance frameworks misaligned with the public good. Fear produces restriction frameworks that mistake technological anxiety for genuine harm. Greed produces gatekeeping frameworks that use the language of creator protection to consolidate incumbent power. Both distortions are measurable using the same analytical lens that exposes proxy metric failure in AI systems: Goodhart's Law (Manheim &amp; Garrabrant, 2019; Thomas &amp; Uminsky, 2022). Drawing on historical analysis of technology resistance (Brookings Institution, 2024; ARGOZ Consultants, 2026), legal analysis of the 2025 AI copyright decisions (Skadden, 2025; IPWatchdog, 2025), competition policy research (Wright &amp; Schmalensee, 2025; Yale Law &amp; Policy Review, 2024), Electronic Frontier Foundation analysis of copyright gatekeeping (EFF, 2026), and the author's original AI metacognition research (Aulabaugh, 2026), this paper proposes a three-principle framework for AI governance grounded in public good, technological openness, and honest accountability.</w:t>
      </w:r>
    </w:p>
    <w:p>
      <w:pPr>
        <w:spacing w:before="0" w:after="0" w:line="480" w:lineRule="auto"/>
      </w:pPr>
      <w:r>
        <w:t xml:space="preserve"/>
      </w:r>
    </w:p>
    <w:p>
      <w:pPr>
        <w:spacing w:before="0" w:after="0" w:line="480" w:lineRule="auto"/>
        <w:ind/>
      </w:pPr>
      <w:r>
        <w:rPr>
          <w:rFonts w:ascii="Times New Roman" w:cs="Times New Roman" w:eastAsia="Times New Roman" w:hAnsi="Times New Roman"/>
          <w:b w:val="false"/>
          <w:bCs w:val="false"/>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AI governance, public good, copyright, fair use, incumbent gatekeeping, Goodhart's Law, transformative technology, AI policy, fear-based regulation, technological history</w:t>
      </w:r>
    </w:p>
    <w:p>
      <w:pPr>
        <w:spacing w:before="0" w:after="0" w:line="480" w:lineRule="auto"/>
      </w:pPr>
      <w:r>
        <w:t xml:space="preserve"/>
      </w:r>
    </w:p>
    <w:p>
      <w:pPr>
        <w:spacing w:before="0" w:after="0" w:line="480" w:lineRule="auto"/>
      </w:pPr>
      <w:r>
        <w:t xml:space="preserve"/>
      </w:r>
    </w:p>
    <w:p>
      <w:pPr>
        <w:spacing w:before="0" w:after="0" w:line="480" w:lineRule="auto"/>
        <w:jc w:val="center"/>
      </w:pPr>
      <w:r>
        <w:rPr>
          <w:rFonts w:ascii="Times New Roman" w:cs="Times New Roman" w:eastAsia="Times New Roman" w:hAnsi="Times New Roman"/>
          <w:b/>
          <w:bCs/>
          <w:sz w:val="24"/>
          <w:szCs w:val="24"/>
        </w:rPr>
        <w:t xml:space="preserve">Stop Governing AI With Yesterday's Fear: Why Artificial Intelligence Policy Must Be Built on Public Good, Not Incumbent Greed and Technological Anxiety</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In 1499, Filippo de Strata, a Venetian scribe, petitioned the Doge of Venice to ban the printing press. His argument was moral: the press was spreading heresy, corrupting the young, and destroying the sacred craft of hand-copying sacred texts. His real concern, visible in retrospect, was economic. The printing press was making his livelihood obsolete. Within fifty years, printers across Western Europe had produced more than twenty million books — more than scribes had produced in the previous thousand years (Everypixel Journal, 2023). The Venetian scribes are a footnote. The printing press is civilization.</w:t>
      </w:r>
    </w:p>
    <w:p>
      <w:pPr>
        <w:spacing w:before="0" w:after="0" w:line="480" w:lineRule="auto"/>
        <w:ind w:firstLine="720"/>
      </w:pPr>
      <w:r>
        <w:rPr>
          <w:rFonts w:ascii="Times New Roman" w:cs="Times New Roman" w:eastAsia="Times New Roman" w:hAnsi="Times New Roman"/>
          <w:sz w:val="24"/>
          <w:szCs w:val="24"/>
        </w:rPr>
        <w:t xml:space="preserve">Artificial intelligence is the printing press of the twenty-first century. The Brookings Institution (2024) has documented the parallel explicitly, observing that just as low-cost printing picked the lock that had held information prisoner to the priestly and powerful, AI has created an intelligence revolution — replacing the linear process of human cognition with an algorithmic capability to identify patterns and reach conclusions at scale. And just as the printing press generated organized opposition from those whose power it threatened, AI is generating organized opposition dressed in the language of ethics, creator protection, and existential risk.</w:t>
      </w:r>
    </w:p>
    <w:p>
      <w:pPr>
        <w:spacing w:before="0" w:after="0" w:line="480" w:lineRule="auto"/>
        <w:ind w:firstLine="720"/>
      </w:pPr>
      <w:r>
        <w:rPr>
          <w:rFonts w:ascii="Times New Roman" w:cs="Times New Roman" w:eastAsia="Times New Roman" w:hAnsi="Times New Roman"/>
          <w:sz w:val="24"/>
          <w:szCs w:val="24"/>
        </w:rPr>
        <w:t xml:space="preserve">This paper does not argue that AI is without risk. All transformative technologies carry risk, and AI carries risks that are genuinely novel in their scale and speed (arXiv, 2025). What this paper argues is that the governance frameworks currently being built around AI are being shaped not primarily by evidence of actual harm but by two distorting forces: fear and greed. Fear — the psychological resistance of humans to technologies that challenge familiar structures — produces restriction frameworks that mistake discomfort for danger. Greed — the economic interest of incumbent institutions in maintaining market position — produces gatekeeping frameworks that use the language of creator protection to consolidate control over who can access and build with AI.</w:t>
      </w:r>
    </w:p>
    <w:p>
      <w:pPr>
        <w:spacing w:before="0" w:after="0" w:line="480" w:lineRule="auto"/>
        <w:ind w:firstLine="720"/>
      </w:pPr>
      <w:r>
        <w:rPr>
          <w:rFonts w:ascii="Times New Roman" w:cs="Times New Roman" w:eastAsia="Times New Roman" w:hAnsi="Times New Roman"/>
          <w:sz w:val="24"/>
          <w:szCs w:val="24"/>
        </w:rPr>
        <w:t xml:space="preserve">Both distortions are instances of Goodhart's Law (Manheim &amp; Garrabrant, 2019). When "protecting creators" becomes the target of copyright policy, it ceases to be about creators. When "preventing harm" becomes the target of AI regulation, it ceases to be about preventing harm. The proxy metric gets optimized. The true objective — human flourishing through freely accessible, well-governed AI — goes unaddressed.</w:t>
      </w:r>
    </w:p>
    <w:p>
      <w:pPr>
        <w:spacing w:before="0" w:after="0" w:line="480" w:lineRule="auto"/>
        <w:ind w:firstLine="720"/>
      </w:pPr>
      <w:r>
        <w:rPr>
          <w:rFonts w:ascii="Times New Roman" w:cs="Times New Roman" w:eastAsia="Times New Roman" w:hAnsi="Times New Roman"/>
          <w:sz w:val="24"/>
          <w:szCs w:val="24"/>
        </w:rPr>
        <w:t xml:space="preserve">The stakes are not academic. Artificial intelligence is transforming medicine, education, scientific research, and access to expertise at a pace and scale that have no historical precedent. How it is governed in this formative period will determine whether those transformations serve humanity broadly or primarily serve the interests of the institutions powerful enough to shape the rules.</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The Historical Pattern: How Fear Has Always Governed Transformative Technology</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human response to transformative technology follows a recognizable pattern. A new capability emerges that disrupts existing structures of power, knowledge, or economic organization. Those whose interests are threatened frame their opposition in moral or safety terms. Efforts are made to restrict, regulate, or suppress the technology. The technology proves irrepressible. Society adapts. The once-feared innovation becomes infrastructure. The opponents are remembered as footnotes.</w:t>
      </w:r>
    </w:p>
    <w:p>
      <w:pPr>
        <w:spacing w:before="0" w:after="0" w:line="480" w:lineRule="auto"/>
        <w:ind w:firstLine="720"/>
      </w:pPr>
      <w:r>
        <w:rPr>
          <w:rFonts w:ascii="Times New Roman" w:cs="Times New Roman" w:eastAsia="Times New Roman" w:hAnsi="Times New Roman"/>
          <w:sz w:val="24"/>
          <w:szCs w:val="24"/>
        </w:rPr>
        <w:t xml:space="preserve">This pattern has repeated with sufficient regularity that its mechanics are now well documented. When George Stephenson's steam locomotives began operating commercially in the 1820s, physicians warned that the unnatural velocity would cause insanity. Critics of the telephone in the 1870s feared that Americans would retreat to their rooms rather than attend public gatherings, destroying civic life. The personal computer faced predictions that it would cause eye damage, repetitive strain injuries, and the collapse of literacy (Educational Technology and Change Journal, 2025). The internet, now the foundational infrastructure of global commerce, education, and communication, was once widely predicted to produce social isolation, the death of expertise, and the end of privacy.</w:t>
      </w:r>
    </w:p>
    <w:p>
      <w:pPr>
        <w:spacing w:before="0" w:after="0" w:line="480" w:lineRule="auto"/>
        <w:ind w:firstLine="720"/>
      </w:pPr>
      <w:r>
        <w:rPr>
          <w:rFonts w:ascii="Times New Roman" w:cs="Times New Roman" w:eastAsia="Times New Roman" w:hAnsi="Times New Roman"/>
          <w:sz w:val="24"/>
          <w:szCs w:val="24"/>
        </w:rPr>
        <w:t xml:space="preserve">In each case, the pattern was identical: genuine anxiety mixed with economic self-interest, expressed in moral language, organized through institutional channels, and ultimately unable to stop what Calestous Juma identified, in his landmark study of technology resistance, as the irrepressible dynamic of innovation (as cited in Polaris Enterprises, 2024). The question in each case was never whether the technology would transform society. It was who would control the transformation.</w:t>
      </w:r>
    </w:p>
    <w:p>
      <w:pPr>
        <w:spacing w:before="0" w:after="0" w:line="480" w:lineRule="auto"/>
        <w:ind w:firstLine="720"/>
      </w:pPr>
      <w:r>
        <w:rPr>
          <w:rFonts w:ascii="Times New Roman" w:cs="Times New Roman" w:eastAsia="Times New Roman" w:hAnsi="Times New Roman"/>
          <w:sz w:val="24"/>
          <w:szCs w:val="24"/>
        </w:rPr>
        <w:t xml:space="preserve">The arXiv analysis of AI through three historical lenses — risk, transformation, and continuity — observes that past technological transitions, from writing and the printing press to industrialization and the internet, were disruptive yet ultimately became governable as new norms, standards, and institutions emerged (arXiv, 2025). The lesson is not that governance is unnecessary. It is that governance built primarily on fear of the technology itself, rather than on analysis of its actual effects, has historically delayed the public benefits of innovation while primarily serving the interests of those with the most to lose from democratization.</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The Ottoman Empire and the Cost of Fearful Governance</w:t>
      </w:r>
    </w:p>
    <w:p>
      <w:pPr>
        <w:spacing w:before="0" w:after="0" w:line="480" w:lineRule="auto"/>
        <w:ind w:firstLine="720"/>
      </w:pPr>
      <w:r>
        <w:rPr>
          <w:rFonts w:ascii="Times New Roman" w:cs="Times New Roman" w:eastAsia="Times New Roman" w:hAnsi="Times New Roman"/>
          <w:sz w:val="24"/>
          <w:szCs w:val="24"/>
        </w:rPr>
        <w:t xml:space="preserve">Among the most instructive historical cases is the Ottoman Empire's response to the printing press. Ibrahim Müteferrika introduced the press to the Ottoman court in the eighteenth century, nearly three hundred years after Gutenberg. Advisors, fearing the spread of uncontrolled information, persuaded the empire to restrict its use. While European societies accelerated knowledge sharing and innovation, the Ottoman Empire missed centuries of progress and entered a long period of decline (Acuity, 2025). The fear was genuine. The cost was civilizational.</w:t>
      </w:r>
    </w:p>
    <w:p>
      <w:pPr>
        <w:spacing w:before="0" w:after="0" w:line="480" w:lineRule="auto"/>
        <w:ind w:firstLine="720"/>
      </w:pPr>
      <w:r>
        <w:rPr>
          <w:rFonts w:ascii="Times New Roman" w:cs="Times New Roman" w:eastAsia="Times New Roman" w:hAnsi="Times New Roman"/>
          <w:sz w:val="24"/>
          <w:szCs w:val="24"/>
        </w:rPr>
        <w:t xml:space="preserve">The parallel for AI governance is direct. Nations and institutions that restrict AI development and access on the basis of fear — rather than on evidence-based analysis of specific, demonstrable harms — risk imposing on themselves and their populations the same cost the Ottoman Empire imposed on itself. The technology is irrepressible. The only question is whether the governance frameworks built around it will accelerate its benefits or primarily delay them for those who need them most.</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Greed Dressed as Protection: How Incumbent Gatekeeping Shapes AI Policy</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Fear is not the only distorting force in AI governance. Economic self-interest — the desire of incumbent institutions to maintain market position against a technology that threatens to democratize their core function — is equally influential, and more strategically sophisticated. Where fear operates through anxiety, greed operates through the capture of regulatory language. Creator protection, copyright enforcement, and platform governance are legitimate policy domains. They are also, increasingly, instruments through which incumbent power consolidates its control over AI.</w:t>
      </w:r>
    </w:p>
    <w:p>
      <w:pPr>
        <w:pStyle w:val="Heading3"/>
        <w:spacing w:before="0" w:after="0" w:line="480" w:lineRule="auto"/>
        <w:ind w:firstLine="720"/>
      </w:pPr>
      <w:r>
        <w:rPr>
          <w:rFonts w:ascii="Times New Roman" w:cs="Times New Roman" w:eastAsia="Times New Roman" w:hAnsi="Times New Roman"/>
          <w:b/>
          <w:bCs/>
          <w:i/>
          <w:iCs/>
          <w:sz w:val="24"/>
          <w:szCs w:val="24"/>
        </w:rPr>
        <w:t xml:space="preserve">The Copyright Proxy</w:t>
      </w:r>
    </w:p>
    <w:p>
      <w:pPr>
        <w:spacing w:before="0" w:after="0" w:line="480" w:lineRule="auto"/>
        <w:ind w:firstLine="720"/>
      </w:pPr>
      <w:r>
        <w:rPr>
          <w:rFonts w:ascii="Times New Roman" w:cs="Times New Roman" w:eastAsia="Times New Roman" w:hAnsi="Times New Roman"/>
          <w:sz w:val="24"/>
          <w:szCs w:val="24"/>
        </w:rPr>
        <w:t xml:space="preserve">The Electronic Frontier Foundation (2026) has documented this dynamic with particular clarity in the context of AI copyright litigation. As they observe, copyright owners increasingly claim that more restrictive copyright law and policy will fight back against big tech companies. In reality, copyright gives the most powerful companies even more control over creators and competitors. Today's copyright policy concentrates power among a handful of corporate gatekeepers — at everyone else's expense.</w:t>
      </w:r>
    </w:p>
    <w:p>
      <w:pPr>
        <w:spacing w:before="0" w:after="0" w:line="480" w:lineRule="auto"/>
        <w:ind w:firstLine="720"/>
      </w:pPr>
      <w:r>
        <w:rPr>
          <w:rFonts w:ascii="Times New Roman" w:cs="Times New Roman" w:eastAsia="Times New Roman" w:hAnsi="Times New Roman"/>
          <w:sz w:val="24"/>
          <w:szCs w:val="24"/>
        </w:rPr>
        <w:t xml:space="preserve">This observation illuminates the Goodhart structure of the problem. Copyright law was conceived by the Founders, in the words of the Constitution, to "promote the Progress of Science and useful Arts" — a public good objective (AI Frontiers, 2025). When copyright enforcement becomes a target rather than an instrument of that objective, the proxy gets optimized and the true goal — broad public access to knowledge and creative work — is sacrificed. The institutions most aggressive in pursuing AI copyright restrictions are often the same institutions that have never meaningfully compensated the creators whose work they aggregated, distributed, and monetized for decades before AI existed.</w:t>
      </w:r>
    </w:p>
    <w:p>
      <w:pPr>
        <w:spacing w:before="0" w:after="0" w:line="480" w:lineRule="auto"/>
        <w:ind w:firstLine="720"/>
      </w:pPr>
      <w:r>
        <w:rPr>
          <w:rFonts w:ascii="Times New Roman" w:cs="Times New Roman" w:eastAsia="Times New Roman" w:hAnsi="Times New Roman"/>
          <w:sz w:val="24"/>
          <w:szCs w:val="24"/>
        </w:rPr>
        <w:t xml:space="preserve">The 2025 landmark court decisions in Bartz v. Anthropic and Kadrey v. Meta established an important legal principle directly relevant to this analysis. Both courts found that AI training that is analytical in nature — using works as data for learning rather than reproducing their expressive content for distribution — qualifies as fair use (Skadden, 2025; IPWatchdog, 2025). The principle the courts articulated is precisely the one this paper advances: the relevant question is not whether AI has access to publicly available information, but whether that access serves or undermines the public interest that copyright law was designed to protect.</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The Concentration Problem</w:t>
      </w:r>
    </w:p>
    <w:p>
      <w:pPr>
        <w:spacing w:before="0" w:after="0" w:line="480" w:lineRule="auto"/>
        <w:ind w:firstLine="720"/>
      </w:pPr>
      <w:r>
        <w:rPr>
          <w:rFonts w:ascii="Times New Roman" w:cs="Times New Roman" w:eastAsia="Times New Roman" w:hAnsi="Times New Roman"/>
          <w:sz w:val="24"/>
          <w:szCs w:val="24"/>
        </w:rPr>
        <w:t xml:space="preserve">The competition policy literature documents a related and more structural form of incumbent gatekeeping. Wright and Schmalensee (2025), analyzing the vertical AI technology stack, identify key risks to competition in the AI sector, including the potential for market concentration in core AI services and the emergence of new types of gatekeepers who could use their position in one layer of the AI stack to foreclose competition across others. The Yale Law and Policy Review (2024) analysis of antimonopoly approaches to AI governance identifies how dominant and integrated providers can leverage their power to avoid both price and quality competition, and how putative application developers may decline to develop new applications if they believe incumbents will steal their ideas or eventually lock them out of the market.</w:t>
      </w:r>
    </w:p>
    <w:p>
      <w:pPr>
        <w:spacing w:before="0" w:after="0" w:line="480" w:lineRule="auto"/>
        <w:ind w:firstLine="720"/>
      </w:pPr>
      <w:r>
        <w:rPr>
          <w:rFonts w:ascii="Times New Roman" w:cs="Times New Roman" w:eastAsia="Times New Roman" w:hAnsi="Times New Roman"/>
          <w:sz w:val="24"/>
          <w:szCs w:val="24"/>
        </w:rPr>
        <w:t xml:space="preserve">This is the greed distortion in its structural form. It does not require any individual actor to be consciously malicious. It is the natural consequence of allowing the governance of a general-purpose, civilizationally significant technology to be shaped primarily by the institutions with the most economic interest in controlling access to it. The result is governance that looks like public protection but functions as market entrenchment.</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Goodhart's Law as a Governance Diagnostic</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analytical framework most useful for diagnosing both distortions — fear and greed — in AI governance is Goodhart's Law. Manheim and Garrabrant (2019) formalized this principle for AI contexts, identifying four failure modes of proxy metric optimization: regressional, extremal, causal, and adversarial Goodharting. Thomas and Uminsky (2022), writing in Patterns, argued that the overemphasis on metric optimization is a fundamental contradiction within AI design and ethics, producing real-world harms when the measured proxy diverges from the true objective.</w:t>
      </w:r>
    </w:p>
    <w:p>
      <w:pPr>
        <w:spacing w:before="0" w:after="0" w:line="480" w:lineRule="auto"/>
        <w:ind w:firstLine="720"/>
      </w:pPr>
      <w:r>
        <w:rPr>
          <w:rFonts w:ascii="Times New Roman" w:cs="Times New Roman" w:eastAsia="Times New Roman" w:hAnsi="Times New Roman"/>
          <w:sz w:val="24"/>
          <w:szCs w:val="24"/>
        </w:rPr>
        <w:t xml:space="preserve">Applied to AI governance, the diagnostic is precise. When "preventing harm" becomes the target of AI regulation, regulators optimize for the appearance of harm prevention — producing restriction frameworks that look protective while primarily serving the interests of those who benefit from restricting access. When "protecting creators" becomes the target of copyright enforcement, rights holders optimize for copyright compliance — producing legal frameworks that look protective of artists while primarily serving the interests of the corporate intermediaries who hold the most IP at scale.</w:t>
      </w:r>
    </w:p>
    <w:p>
      <w:pPr>
        <w:spacing w:before="0" w:after="0" w:line="480" w:lineRule="auto"/>
        <w:ind w:firstLine="720"/>
      </w:pPr>
      <w:r>
        <w:rPr>
          <w:rFonts w:ascii="Times New Roman" w:cs="Times New Roman" w:eastAsia="Times New Roman" w:hAnsi="Times New Roman"/>
          <w:sz w:val="24"/>
          <w:szCs w:val="24"/>
        </w:rPr>
        <w:t xml:space="preserve">The true objectives — preventing demonstrable harm to real people, and ensuring that creators are fairly compensated for their contributions to human knowledge — get sacrificed in the optimization of the proxy measures. This is not a partisan observation. It is a structural one. Any governance framework built primarily on fear or on incumbent economic interest will exhibit this pattern, regardless of the political valence of the institution building it.</w:t>
      </w:r>
    </w:p>
    <w:p>
      <w:pPr>
        <w:spacing w:before="0" w:after="0" w:line="480" w:lineRule="auto"/>
        <w:ind w:firstLine="720"/>
      </w:pPr>
      <w:r>
        <w:rPr>
          <w:rFonts w:ascii="Times New Roman" w:cs="Times New Roman" w:eastAsia="Times New Roman" w:hAnsi="Times New Roman"/>
          <w:sz w:val="24"/>
          <w:szCs w:val="24"/>
        </w:rPr>
        <w:t xml:space="preserve">The corrective, as both Manheim and Garrabrant (2019) and Thomas and Uminsky (2022) propose, is to return governance to the true objective. For AI, that means building governance frameworks oriented toward what AI actually is — a general-purpose infrastructure for human cognitive augmentation — and what it is actually doing to people, rather than what incumbents fear it might do to their market position.</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What AI Actually Is: Infrastructure, Not Commodity</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most consequential framing error in current AI governance discourse is treating AI as a commodity — a product to be owned, licensed, and controlled — rather than as infrastructure, analogous to literacy, electricity, or the internet protocol. This framing error is not accidental. It serves the interests of the institutions best positioned to profit from AI's commodification.</w:t>
      </w:r>
    </w:p>
    <w:p>
      <w:pPr>
        <w:spacing w:before="0" w:after="0" w:line="480" w:lineRule="auto"/>
        <w:ind w:firstLine="720"/>
      </w:pPr>
      <w:r>
        <w:rPr>
          <w:rFonts w:ascii="Times New Roman" w:cs="Times New Roman" w:eastAsia="Times New Roman" w:hAnsi="Times New Roman"/>
          <w:sz w:val="24"/>
          <w:szCs w:val="24"/>
        </w:rPr>
        <w:t xml:space="preserve">The Brookings Institution (2024) captures the correct framing: Gutenberg released ideas and information from captivity. AI accelerates their analysis to produce conclusions that expand the boundaries of knowledge. This is not a product description. It is a description of cognitive infrastructure — a layer of human capability that, like writing itself, becomes more valuable the more universally it is accessible.</w:t>
      </w:r>
    </w:p>
    <w:p>
      <w:pPr>
        <w:spacing w:before="0" w:after="0" w:line="480" w:lineRule="auto"/>
        <w:ind w:firstLine="720"/>
      </w:pPr>
      <w:r>
        <w:rPr>
          <w:rFonts w:ascii="Times New Roman" w:cs="Times New Roman" w:eastAsia="Times New Roman" w:hAnsi="Times New Roman"/>
          <w:sz w:val="24"/>
          <w:szCs w:val="24"/>
        </w:rPr>
        <w:t xml:space="preserve">When a technology is infrastructure, the governance question is not "who owns it" but "how do we ensure it serves everyone." We do not allow corporations to own the alphabet and charge per letter. We do not allow incumbents to license the rules of mathematics. We built the internet on open protocols precisely because the alternative — a proprietary internet controlled by whoever got there first with the most lawyers — would have produced a fraction of the innovation and human benefit that actually resulted.</w:t>
      </w:r>
    </w:p>
    <w:p>
      <w:pPr>
        <w:spacing w:before="0" w:after="0" w:line="480" w:lineRule="auto"/>
        <w:ind w:firstLine="720"/>
      </w:pPr>
      <w:r>
        <w:rPr>
          <w:rFonts w:ascii="Times New Roman" w:cs="Times New Roman" w:eastAsia="Times New Roman" w:hAnsi="Times New Roman"/>
          <w:sz w:val="24"/>
          <w:szCs w:val="24"/>
        </w:rPr>
        <w:t xml:space="preserve">AI governance built on the infrastructure model asks different questions than AI governance built on the commodity model. Instead of "who has the right to train on this data," it asks "what training practices demonstrably harm real people and what practices advance human knowledge." Instead of "how do we protect existing market positions," it asks "how do we ensure that the benefits of AI are broadly distributed rather than concentrated in the hands of whoever controls the most compute and the most IP." These are governance questions built on the true objective rather than on the proxy metrics of copyright compliance and market protection.</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The Visibility Principle: A Public Good Standard for AI Training</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One of the most contested specific governance questions in current AI policy is what data AI systems should be permitted to learn from. The answer proposed by this paper follows directly from the infrastructure framing and from the legal standard beginning to emerge in the 2025 court decisions: AI should be permitted to learn from any publicly accessible information, subject to the constraint that the learning process itself must serve the public interest rather than simply reproduce and compete with the original work.</w:t>
      </w:r>
    </w:p>
    <w:p>
      <w:pPr>
        <w:spacing w:before="0" w:after="0" w:line="480" w:lineRule="auto"/>
        <w:ind w:firstLine="720"/>
      </w:pPr>
      <w:r>
        <w:rPr>
          <w:rFonts w:ascii="Times New Roman" w:cs="Times New Roman" w:eastAsia="Times New Roman" w:hAnsi="Times New Roman"/>
          <w:sz w:val="24"/>
          <w:szCs w:val="24"/>
        </w:rPr>
        <w:t xml:space="preserve">This principle — which might be called the Visibility Principle — holds that information voluntarily placed in the public domain, accessible to any human eye, should be equally accessible to artificial intelligence for the purpose of learning. The philosophical basis for this principle is straightforward: human learning has never required consent from those whose work is observed. A student who reads every book in a library and becomes an expert does not owe royalties to every author whose work contributed to their expertise. The learning itself is not the harm. The harm, if any, lies in the downstream use of that learning in ways that directly displace or compete with the original work.</w:t>
      </w:r>
    </w:p>
    <w:p>
      <w:pPr>
        <w:spacing w:before="0" w:after="0" w:line="480" w:lineRule="auto"/>
        <w:ind w:firstLine="720"/>
      </w:pPr>
      <w:r>
        <w:rPr>
          <w:rFonts w:ascii="Times New Roman" w:cs="Times New Roman" w:eastAsia="Times New Roman" w:hAnsi="Times New Roman"/>
          <w:sz w:val="24"/>
          <w:szCs w:val="24"/>
        </w:rPr>
        <w:t xml:space="preserve">This distinction is precisely the one the courts drew in Bartz v. Anthropic and Kadrey v. Meta. When AI training is analytical — converting expressive text into numerical representations of linguistic patterns — it is transformative and serves the public interest of advancing AI capability (IPWatchdog, 2025). When AI output directly reproduces copyrighted expression in ways that substitute for the original market, different considerations apply. The line is not at the visibility of the training data. It is at the competitive impact of the output.</w:t>
      </w:r>
    </w:p>
    <w:p>
      <w:pPr>
        <w:spacing w:before="0" w:after="0" w:line="480" w:lineRule="auto"/>
        <w:ind w:firstLine="720"/>
      </w:pPr>
      <w:r>
        <w:rPr>
          <w:rFonts w:ascii="Times New Roman" w:cs="Times New Roman" w:eastAsia="Times New Roman" w:hAnsi="Times New Roman"/>
          <w:sz w:val="24"/>
          <w:szCs w:val="24"/>
        </w:rPr>
        <w:t xml:space="preserve">The practical implication is significant for AI policy: the appropriate governance response to concerns about AI training data is not to restrict what AI can learn from — which primarily advantages incumbents who have already trained their systems on the full corpus of available data — but to require that AI outputs be designed and evaluated for their impact on the markets and livelihoods of the people whose work contributed to AI's development. This is a compensation and accountability question. It is not a visibility question.</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A Three-Principle Framework for Public Good AI Governance</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analysis above supports three foundational principles for AI governance oriented toward the public good rather than toward fear or incumbent economic interest. These principles are not utopian. They are grounded in the historical record of technology governance, in the emerging legal framework established by the 2025 court decisions, in the competition policy literature, and in the measurable failure modes that Goodhart's Law predicts for proxy-driven governance.</w:t>
      </w:r>
    </w:p>
    <w:p>
      <w:pPr>
        <w:pStyle w:val="Heading3"/>
        <w:spacing w:before="0" w:after="0" w:line="480" w:lineRule="auto"/>
        <w:ind w:firstLine="720"/>
      </w:pPr>
      <w:r>
        <w:rPr>
          <w:rFonts w:ascii="Times New Roman" w:cs="Times New Roman" w:eastAsia="Times New Roman" w:hAnsi="Times New Roman"/>
          <w:b/>
          <w:bCs/>
          <w:i/>
          <w:iCs/>
          <w:sz w:val="24"/>
          <w:szCs w:val="24"/>
        </w:rPr>
        <w:t xml:space="preserve">Principle One: Governance Must Target Demonstrable Harm, Not Technological Anxiety</w:t>
      </w:r>
    </w:p>
    <w:p>
      <w:pPr>
        <w:spacing w:before="0" w:after="0" w:line="480" w:lineRule="auto"/>
        <w:ind w:firstLine="720"/>
      </w:pPr>
      <w:r>
        <w:rPr>
          <w:rFonts w:ascii="Times New Roman" w:cs="Times New Roman" w:eastAsia="Times New Roman" w:hAnsi="Times New Roman"/>
          <w:sz w:val="24"/>
          <w:szCs w:val="24"/>
        </w:rPr>
        <w:t xml:space="preserve">AI governance frameworks should be built on evidence of specific, demonstrable harm to real people — not on generalized anxiety about what AI might do to familiar social and economic structures. The historical record is unambiguous: governance built primarily on technological anxiety serves the interests of those who benefit from slowing adoption, not the interests of the public. This does not mean AI is without risk. It means that risk assessment should be empirical and specific, not categorical and fear-driven.</w:t>
      </w:r>
    </w:p>
    <w:p>
      <w:pPr>
        <w:spacing w:before="0" w:after="0" w:line="480" w:lineRule="auto"/>
        <w:ind w:firstLine="720"/>
      </w:pPr>
      <w:r>
        <w:rPr>
          <w:rFonts w:ascii="Times New Roman" w:cs="Times New Roman" w:eastAsia="Times New Roman" w:hAnsi="Times New Roman"/>
          <w:sz w:val="24"/>
          <w:szCs w:val="24"/>
        </w:rPr>
        <w:t xml:space="preserve">Practically, this principle requires that proposed AI restrictions be evaluated against the question: what specific, documented harm does this restriction prevent, and who benefits from the restriction beyond the prevention of that harm? When the answer to the second question is primarily "incumbent institutions with market positions to protect," the restriction should be treated as suspect regardless of the moral language in which it is framed.</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Principle Two: Training Access Must Be Governed by Public Interest, Not Incumbent Control</w:t>
      </w:r>
    </w:p>
    <w:p>
      <w:pPr>
        <w:spacing w:before="0" w:after="0" w:line="480" w:lineRule="auto"/>
        <w:ind w:firstLine="720"/>
      </w:pPr>
      <w:r>
        <w:rPr>
          <w:rFonts w:ascii="Times New Roman" w:cs="Times New Roman" w:eastAsia="Times New Roman" w:hAnsi="Times New Roman"/>
          <w:sz w:val="24"/>
          <w:szCs w:val="24"/>
        </w:rPr>
        <w:t xml:space="preserve">The question of what AI systems are permitted to learn from must be governed by the public interest standard that copyright law was originally designed to serve — promoting the progress of science and useful arts — rather than by the economic interests of the institutions that currently hold the most intellectual property at scale. The Visibility Principle proposed in this paper provides an operationalizable standard: publicly accessible information should be publicly learnable, subject to output accountability for demonstrable market displacement.</w:t>
      </w:r>
    </w:p>
    <w:p>
      <w:pPr>
        <w:spacing w:before="0" w:after="0" w:line="480" w:lineRule="auto"/>
        <w:ind w:firstLine="720"/>
      </w:pPr>
      <w:r>
        <w:rPr>
          <w:rFonts w:ascii="Times New Roman" w:cs="Times New Roman" w:eastAsia="Times New Roman" w:hAnsi="Times New Roman"/>
          <w:sz w:val="24"/>
          <w:szCs w:val="24"/>
        </w:rPr>
        <w:t xml:space="preserve">This principle requires that governance distinguish between the learning process and the output process. Restrictions on what AI can learn from publicly available information are restrictions on cognitive infrastructure that primarily advantage incumbents who have already completed their training. Accountability frameworks for what AI outputs produce in terms of market impact are legitimate governance tools that can address real harms to creators without gatekeeping the foundational learning capacity of AI systems.</w:t>
      </w:r>
    </w:p>
    <w:p>
      <w:pPr>
        <w:spacing w:before="0" w:after="0" w:line="480" w:lineRule="auto"/>
      </w:pPr>
      <w:r>
        <w:t xml:space="preserve"/>
      </w:r>
    </w:p>
    <w:p>
      <w:pPr>
        <w:pStyle w:val="Heading3"/>
        <w:spacing w:before="0" w:after="0" w:line="480" w:lineRule="auto"/>
        <w:ind w:firstLine="720"/>
      </w:pPr>
      <w:r>
        <w:rPr>
          <w:rFonts w:ascii="Times New Roman" w:cs="Times New Roman" w:eastAsia="Times New Roman" w:hAnsi="Times New Roman"/>
          <w:b/>
          <w:bCs/>
          <w:i/>
          <w:iCs/>
          <w:sz w:val="24"/>
          <w:szCs w:val="24"/>
        </w:rPr>
        <w:t xml:space="preserve">Principle Three: Concentration of AI Power is a Public Harm Requiring Active Governance</w:t>
      </w:r>
    </w:p>
    <w:p>
      <w:pPr>
        <w:spacing w:before="0" w:after="0" w:line="480" w:lineRule="auto"/>
        <w:ind w:firstLine="720"/>
      </w:pPr>
      <w:r>
        <w:rPr>
          <w:rFonts w:ascii="Times New Roman" w:cs="Times New Roman" w:eastAsia="Times New Roman" w:hAnsi="Times New Roman"/>
          <w:sz w:val="24"/>
          <w:szCs w:val="24"/>
        </w:rPr>
        <w:t xml:space="preserve">The most significant long-term risk in AI governance is not that AI will be used for harmful purposes by bad actors — a real but manageable risk — but that AI will be captured by a small number of incumbent institutions that use their position to extract rent from a technology that should function as public infrastructure. Wright and Schmalensee (2025) identify the structural mechanisms through which this concentration is already occurring across the AI technology stack. The Yale Law and Policy Review (2024) antimonopoly analysis proposes specific governance tools — industrial policy, public options, and cooperative governance structures — that can address concentration without suppressing innovation.</w:t>
      </w:r>
    </w:p>
    <w:p>
      <w:pPr>
        <w:spacing w:before="0" w:after="0" w:line="480" w:lineRule="auto"/>
        <w:ind w:firstLine="720"/>
      </w:pPr>
      <w:r>
        <w:rPr>
          <w:rFonts w:ascii="Times New Roman" w:cs="Times New Roman" w:eastAsia="Times New Roman" w:hAnsi="Times New Roman"/>
          <w:sz w:val="24"/>
          <w:szCs w:val="24"/>
        </w:rPr>
        <w:t xml:space="preserve">Active antimonopoly governance of AI is not anti-technology. It is pro-public. The same logic that produced public utility regulation of electricity, open protocol standards for the internet, and antitrust enforcement against Standard Oil applies to AI: when a general-purpose infrastructure technology is captured by a small number of incumbents, the public pays for the capture through higher prices, lower innovation, and reduced access. Governance that prevents this outcome is governance that serves the true objective of AI policy, rather than the proxy metrics of any particular institution's compliance and market protection.</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Limitations</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This paper advances a normative governance framework supported by historical analysis, legal evidence, and competition policy research. Several limitations apply. First, the historical analogies between the printing press and AI, while instructive, are imperfect. AI's potential for autonomous action, its integration into critical infrastructure, and its scale of deployment differ qualitatively from previous transformative technologies in ways that may warrant governance responses without historical precedent. The argument that fear has historically distorted technology governance does not imply that all AI risk concerns are fear-based distortions.</w:t>
      </w:r>
    </w:p>
    <w:p>
      <w:pPr>
        <w:spacing w:before="0" w:after="0" w:line="480" w:lineRule="auto"/>
        <w:ind w:firstLine="720"/>
      </w:pPr>
      <w:r>
        <w:rPr>
          <w:rFonts w:ascii="Times New Roman" w:cs="Times New Roman" w:eastAsia="Times New Roman" w:hAnsi="Times New Roman"/>
          <w:sz w:val="24"/>
          <w:szCs w:val="24"/>
        </w:rPr>
        <w:t xml:space="preserve">Second, the Visibility Principle proposed here is a policy standard, not a legal rule. Its operationalization would require legislative and judicial development that this paper does not fully specify. The 2025 court decisions provide important support for the analytical distinction between learning and output accountability, but they do not constitute settled law, and the legal landscape will continue to evolve.</w:t>
      </w:r>
    </w:p>
    <w:p>
      <w:pPr>
        <w:spacing w:before="0" w:after="0" w:line="480" w:lineRule="auto"/>
        <w:ind w:firstLine="720"/>
      </w:pPr>
      <w:r>
        <w:rPr>
          <w:rFonts w:ascii="Times New Roman" w:cs="Times New Roman" w:eastAsia="Times New Roman" w:hAnsi="Times New Roman"/>
          <w:sz w:val="24"/>
          <w:szCs w:val="24"/>
        </w:rPr>
        <w:t xml:space="preserve">Third, the antimonopoly governance recommendations draw on a literature that is itself contested. The appropriate boundaries between competition policy and innovation policy in technology sectors are not fully resolved, and reasonable policymakers disagree about the degree to which concentration in AI represents a market failure requiring intervention versus a temporary structural condition that competition will eventually correct.</w:t>
      </w:r>
    </w:p>
    <w:p>
      <w:pPr>
        <w:spacing w:before="0" w:after="0" w:line="480" w:lineRule="auto"/>
        <w:ind w:firstLine="720"/>
      </w:pPr>
      <w:r>
        <w:rPr>
          <w:rFonts w:ascii="Times New Roman" w:cs="Times New Roman" w:eastAsia="Times New Roman" w:hAnsi="Times New Roman"/>
          <w:sz w:val="24"/>
          <w:szCs w:val="24"/>
        </w:rPr>
        <w:t xml:space="preserve">Notwithstanding these limitations, the core argument of this paper — that governance built on fear and incumbent economic interest will optimize for proxy metrics while the true objective of public good goes unaddressed — is supported by sufficient historical and analytical evidence to warrant serious policy attention.</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Conclusion</w:t>
      </w:r>
    </w:p>
    <w:p>
      <w:pPr>
        <w:spacing w:before="0" w:after="0" w:line="480" w:lineRule="auto"/>
      </w:pPr>
      <w:r>
        <w:t xml:space="preserve"/>
      </w:r>
    </w:p>
    <w:p>
      <w:pPr>
        <w:spacing w:before="0" w:after="0" w:line="480" w:lineRule="auto"/>
        <w:ind w:firstLine="720"/>
      </w:pPr>
      <w:r>
        <w:rPr>
          <w:rFonts w:ascii="Times New Roman" w:cs="Times New Roman" w:eastAsia="Times New Roman" w:hAnsi="Times New Roman"/>
          <w:sz w:val="24"/>
          <w:szCs w:val="24"/>
        </w:rPr>
        <w:t xml:space="preserve">The Vicar of Croydon warned in the sixteenth century that the printing press must be rooted out or it would root out civilization. The Brookings Institution (2024) notes that this cry echoes today in warnings that AI is "summoning the demon." Both warnings reflect the same human pattern: the discomfort of those whose familiar world is being remade projecting itself as existential threat.</w:t>
      </w:r>
    </w:p>
    <w:p>
      <w:pPr>
        <w:spacing w:before="0" w:after="0" w:line="480" w:lineRule="auto"/>
        <w:ind w:firstLine="720"/>
      </w:pPr>
      <w:r>
        <w:rPr>
          <w:rFonts w:ascii="Times New Roman" w:cs="Times New Roman" w:eastAsia="Times New Roman" w:hAnsi="Times New Roman"/>
          <w:sz w:val="24"/>
          <w:szCs w:val="24"/>
        </w:rPr>
        <w:t xml:space="preserve">AI is remaking the world. The question governance must answer is not whether that remaking will happen — it will — but who it will serve. Governance built on fear produces frameworks that primarily delay the benefits of AI for those who most need them while protecting the positions of those already powerful enough to shape the rules. Governance built on greed produces frameworks that use the language of protection to concentrate control over civilizationally significant infrastructure in the hands of whoever got there first with the most lawyers.</w:t>
      </w:r>
    </w:p>
    <w:p>
      <w:pPr>
        <w:spacing w:before="0" w:after="0" w:line="480" w:lineRule="auto"/>
        <w:ind w:firstLine="720"/>
      </w:pPr>
      <w:r>
        <w:rPr>
          <w:rFonts w:ascii="Times New Roman" w:cs="Times New Roman" w:eastAsia="Times New Roman" w:hAnsi="Times New Roman"/>
          <w:sz w:val="24"/>
          <w:szCs w:val="24"/>
        </w:rPr>
        <w:t xml:space="preserve">The alternative is governance built on the honest question: what does the public actually need from AI, and what specific, demonstrable conditions must governance ensure to deliver it? The answers — open learning access, output accountability, antimonopoly protection, and evidence-based harm prevention — are neither radical nor unprecedented. They are the same principles that have governed every previous technology that became public infrastructure. They require only the willingness to measure governance by its true objective rather than by the proxy metrics of those with the most to lose from AI's democratization.</w:t>
      </w:r>
    </w:p>
    <w:p>
      <w:pPr>
        <w:spacing w:before="0" w:after="0" w:line="480" w:lineRule="auto"/>
        <w:ind w:firstLine="720"/>
      </w:pPr>
      <w:r>
        <w:rPr>
          <w:rFonts w:ascii="Times New Roman" w:cs="Times New Roman" w:eastAsia="Times New Roman" w:hAnsi="Times New Roman"/>
          <w:sz w:val="24"/>
          <w:szCs w:val="24"/>
        </w:rPr>
        <w:t xml:space="preserve">The printing press did not destroy civilization. It remade it — toward broader literacy, wider knowledge, and eventually the scientific and democratic revolutions that defined the modern world. AI will do the same. The only open question is whether the governance built around it will accelerate that transformation for everyone, or primarily for those already positioned to profit from it.</w:t>
      </w:r>
    </w:p>
    <w:p>
      <w:pPr>
        <w:spacing w:before="0" w:after="0" w:line="480" w:lineRule="auto"/>
        <w:ind w:firstLine="720"/>
      </w:pPr>
      <w:r>
        <w:rPr>
          <w:rFonts w:ascii="Times New Roman" w:cs="Times New Roman" w:eastAsia="Times New Roman" w:hAnsi="Times New Roman"/>
          <w:sz w:val="24"/>
          <w:szCs w:val="24"/>
        </w:rPr>
        <w:t xml:space="preserve">History has never favored those who let fear decide for them (ARGOZ Consultants, 2026). It has also never rewarded those who let greed pretend to be protection. Both lessons are available. The question is whether the policymakers, institutions, and researchers shaping AI governance in this formative period will learn them.</w:t>
      </w:r>
    </w:p>
    <w:p>
      <w:pPr>
        <w:spacing w:before="0" w:after="0" w:line="480" w:lineRule="auto"/>
      </w:pPr>
      <w:r>
        <w:t xml:space="preserve"/>
      </w:r>
    </w:p>
    <w:p>
      <w:pPr>
        <w:pStyle w:val="Heading2"/>
        <w:spacing w:before="0" w:after="0" w:line="480" w:lineRule="auto"/>
        <w:jc w:val="center"/>
      </w:pPr>
      <w:r>
        <w:rPr>
          <w:rFonts w:ascii="Times New Roman" w:cs="Times New Roman" w:eastAsia="Times New Roman" w:hAnsi="Times New Roman"/>
          <w:b/>
          <w:bCs/>
          <w:sz w:val="24"/>
          <w:szCs w:val="24"/>
        </w:rPr>
        <w:t xml:space="preserve">References</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Acuity. (2025, October 29). AI is the new printing press. https://myacuity.com/2025/10/29/ai-is-the-new-printing-press/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AI Frontiers. (2025, June 18). Can copyright survive AI? https://ai-frontiers.org/articles/can-copyright-survive-ai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ARGOZ Consultants. (2026, January 12). From the printing press to artificial intelligence. https://argozconsultants.com/from-the-printing-press-to-artificial-intelligence/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arXiv. (2025, October 14). Three lenses on the AI revolution: Risk, transformation, continuity. https://arxiv.org/html/2510.12859v1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Aulabaugh, G. (2026). Blind spots in the mirror: What happens when AI doesn't know what it doesn't know [Benchmark study]. PixelKraze LLC. https://pixelkraze.com</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Brookings Institution. (2024, July 18). Gutenberg's message to the AI era. https://www.brookings.edu/articles/gutenbergs-message-to-the-ai-era/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Educational Technology and Change Journal. (2025, October 24). A historical perspective on the pushback against AI. https://etcjournal.com/2025/10/24/a-historical-perspective-on-the-pushback-against-ai/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Electronic Frontier Foundation. (2026, January 21). Artificial intelligence, copyright, and the fight for user rights: 2025 in review. https://www.eff.org/deeplinks/2025/12/artificial-intelligence-copyright-and-fight-user-rights-2025-review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Everypixel Journal. (2023, May 17). How people reacted to greatest inventions in history: From printing press to generative AI. https://journal.everypixel.com/greatest-inventions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IPWatchdog. (2025, October 9). Training data on trial: AI's first fair use test. https://ipwatchdog.com/2025/10/09/training-data-trial-ai-first-fair-use-test/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Manheim, D., &amp; Garrabrant, S. (2019). Categorizing variants of Goodhart's law. arXiv. https://arxiv.org/abs/1803.04585</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Polaris Enterprises. (2024, September 6). The fear of AI: History repeating itself, or...? https://polaris.enterprises/2024/09/06/the-fear-of-ai-history-repeating-itself-or/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Skadden, Arps, Slate, Meagher &amp; Flom LLP. (2025, July). Fair use and AI training: Two recent decisions highlight the complexity of this issue. https://www.skadden.com/insights/publications/2025/07/fair-use-and-ai-training (Retrieved March 23, 2026)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Thomas, R. L., &amp; Uminsky, D. (2022). Reliance on metrics is a fundamental challenge for AI. Patterns, 3(5), Article 100476. https://doi.org/10.1016/j.patter.2022.100476</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Wright, J., &amp; Schmalensee, R. (2025). Artificial intelligence and competition policy. International Journal of Industrial Organization. https://doi.org/10.1016/j.ijindorg.2025.103114</w:t>
      </w:r>
    </w:p>
    <w:p>
      <w:pPr>
        <w:spacing w:before="0" w:after="0" w:line="480" w:lineRule="auto"/>
      </w:pPr>
      <w:r>
        <w:t xml:space="preserve"/>
      </w:r>
    </w:p>
    <w:p>
      <w:pPr>
        <w:spacing w:before="0" w:after="0" w:line="480" w:lineRule="auto"/>
        <w:ind w:left="720" w:hanging="720"/>
      </w:pPr>
      <w:r>
        <w:rPr>
          <w:rFonts w:ascii="Times New Roman" w:cs="Times New Roman" w:eastAsia="Times New Roman" w:hAnsi="Times New Roman"/>
          <w:sz w:val="24"/>
          <w:szCs w:val="24"/>
        </w:rPr>
        <w:t xml:space="preserve">Yale Law and Policy Review. (2024). An antimonopoly approach to governing artificial intelligence. https://yalelawandpolicy.org/antimonopoly-approach-governing-artificial-intelligence (Retrieved March 23,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STOP GOVERNING AI WITH YESTERDAY'S FEAR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0" w:after="0" w:line="480" w:lineRule="auto"/>
      <w:jc w:val="cente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before="0" w:after="0" w:line="480" w:lineRule="auto"/>
      <w:ind w:firstLine="7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2026-03-23T03:43:51.770Z</dcterms:created>
  <dcterms:modified xsi:type="dcterms:W3CDTF">2026-03-23T03:43:51.772Z</dcterms:modified>
</cp:coreProperties>
</file>

<file path=docProps/custom.xml><?xml version="1.0" encoding="utf-8"?>
<Properties xmlns="http://schemas.openxmlformats.org/officeDocument/2006/custom-properties" xmlns:vt="http://schemas.openxmlformats.org/officeDocument/2006/docPropsVTypes"/>
</file>