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480" w:lineRule="auto"/>
      </w:pPr>
      <w:r>
        <w:t xml:space="preserve"/>
      </w:r>
    </w:p>
    <w:p>
      <w:pPr>
        <w:spacing w:before="0" w:after="0" w:line="480" w:lineRule="auto"/>
      </w:pPr>
      <w:r>
        <w:t xml:space="preserve"/>
      </w:r>
    </w:p>
    <w:p>
      <w:pPr>
        <w:spacing w:before="0" w:after="0" w:line="480" w:lineRule="auto"/>
      </w:pPr>
      <w:r>
        <w:t xml:space="preserve"/>
      </w:r>
    </w:p>
    <w:p>
      <w:pPr>
        <w:spacing w:before="0" w:after="0" w:line="480" w:lineRule="auto"/>
        <w:jc w:val="center"/>
      </w:pPr>
      <w:r>
        <w:rPr>
          <w:rFonts w:ascii="Times New Roman" w:cs="Times New Roman" w:eastAsia="Times New Roman" w:hAnsi="Times New Roman"/>
          <w:b/>
          <w:bCs/>
          <w:sz w:val="24"/>
          <w:szCs w:val="24"/>
        </w:rPr>
        <w:t xml:space="preserve">The Missing Link: How the Absence of Neurodiversity in Artificial Intelligence</w:t>
      </w:r>
    </w:p>
    <w:p>
      <w:pPr>
        <w:spacing w:before="0" w:after="0" w:line="480" w:lineRule="auto"/>
        <w:jc w:val="center"/>
      </w:pPr>
      <w:r>
        <w:rPr>
          <w:rFonts w:ascii="Times New Roman" w:cs="Times New Roman" w:eastAsia="Times New Roman" w:hAnsi="Times New Roman"/>
          <w:b/>
          <w:bCs/>
          <w:sz w:val="24"/>
          <w:szCs w:val="24"/>
        </w:rPr>
        <w:t xml:space="preserve">Development Produces Cognitively Biased, Miscalibrated Systems</w:t>
      </w:r>
    </w:p>
    <w:p>
      <w:pPr>
        <w:spacing w:before="0" w:after="0" w:line="480" w:lineRule="auto"/>
      </w:pPr>
      <w:r>
        <w:t xml:space="preserve"/>
      </w:r>
    </w:p>
    <w:p>
      <w:pPr>
        <w:spacing w:before="0" w:after="0" w:line="480" w:lineRule="auto"/>
        <w:jc w:val="center"/>
      </w:pPr>
      <w:r>
        <w:rPr>
          <w:rFonts w:ascii="Times New Roman" w:cs="Times New Roman" w:eastAsia="Times New Roman" w:hAnsi="Times New Roman"/>
          <w:b w:val="false"/>
          <w:bCs w:val="false"/>
          <w:sz w:val="24"/>
          <w:szCs w:val="24"/>
        </w:rPr>
        <w:t xml:space="preserve">Gina Aulabaugh</w:t>
      </w:r>
    </w:p>
    <w:p>
      <w:pPr>
        <w:spacing w:before="0" w:after="0" w:line="480" w:lineRule="auto"/>
        <w:jc w:val="center"/>
      </w:pPr>
      <w:r>
        <w:rPr>
          <w:rFonts w:ascii="Times New Roman" w:cs="Times New Roman" w:eastAsia="Times New Roman" w:hAnsi="Times New Roman"/>
          <w:b w:val="false"/>
          <w:bCs w:val="false"/>
          <w:sz w:val="24"/>
          <w:szCs w:val="24"/>
        </w:rPr>
        <w:t xml:space="preserve">PixelKraze LLC</w:t>
      </w:r>
    </w:p>
    <w:p>
      <w:pPr>
        <w:spacing w:before="0" w:after="0" w:line="480" w:lineRule="auto"/>
      </w:pPr>
      <w:r>
        <w:t xml:space="preserve"/>
      </w:r>
    </w:p>
    <w:p>
      <w:pPr>
        <w:spacing w:before="0" w:after="0" w:line="480" w:lineRule="auto"/>
        <w:jc w:val="center"/>
      </w:pPr>
      <w:r>
        <w:rPr>
          <w:rFonts w:ascii="Times New Roman" w:cs="Times New Roman" w:eastAsia="Times New Roman" w:hAnsi="Times New Roman"/>
          <w:b w:val="false"/>
          <w:bCs w:val="false"/>
          <w:sz w:val="24"/>
          <w:szCs w:val="24"/>
        </w:rPr>
        <w:t xml:space="preserve">Author Note</w:t>
      </w:r>
    </w:p>
    <w:p>
      <w:pPr>
        <w:spacing w:before="0" w:after="0" w:line="480" w:lineRule="auto"/>
        <w:ind/>
      </w:pPr>
      <w:r>
        <w:rPr>
          <w:rFonts w:ascii="Times New Roman" w:cs="Times New Roman" w:eastAsia="Times New Roman" w:hAnsi="Times New Roman"/>
          <w:b w:val="false"/>
          <w:bCs w:val="false"/>
          <w:i w:val="false"/>
          <w:iCs w:val="false"/>
          <w:sz w:val="24"/>
          <w:szCs w:val="24"/>
        </w:rPr>
        <w:t xml:space="preserve">Gina Aulabaugh is the founder of PixelKraze LLC, a data science research and consulting practice. She is an AuDHD (autistic and ADHD) researcher whose work focuses on AI governance, proxy metric divergence, and trust signal integrity. Correspondence regarding this article should be addressed to PixelKraze LLC via pixelkraze.com.</w:t>
      </w:r>
    </w:p>
    <w:p>
      <w:pPr>
        <w:spacing w:before="0" w:after="0" w:line="480" w:lineRule="auto"/>
      </w:pPr>
      <w:r>
        <w:t xml:space="preserve"/>
      </w:r>
    </w:p>
    <w:p>
      <w:pPr>
        <w:spacing w:before="0" w:after="0" w:line="480" w:lineRule="auto"/>
      </w:pPr>
      <w:r>
        <w:t xml:space="preserve"/>
      </w:r>
    </w:p>
    <w:p>
      <w:pPr>
        <w:spacing w:before="0" w:after="0" w:line="480" w:lineRule="auto"/>
      </w:pPr>
      <w:r>
        <w:t xml:space="preserve"/>
      </w:r>
    </w:p>
    <w:p>
      <w:pPr>
        <w:spacing w:before="0" w:after="0" w:line="480" w:lineRule="auto"/>
        <w:jc w:val="center"/>
      </w:pPr>
      <w:r>
        <w:rPr>
          <w:rFonts w:ascii="Times New Roman" w:cs="Times New Roman" w:eastAsia="Times New Roman" w:hAnsi="Times New Roman"/>
          <w:b/>
          <w:bCs/>
          <w:sz w:val="24"/>
          <w:szCs w:val="24"/>
        </w:rPr>
        <w:t xml:space="preserve">Abstract</w:t>
      </w:r>
    </w:p>
    <w:p>
      <w:pPr>
        <w:spacing w:before="0" w:after="0" w:line="480" w:lineRule="auto"/>
        <w:ind/>
      </w:pPr>
      <w:r>
        <w:rPr>
          <w:rFonts w:ascii="Times New Roman" w:cs="Times New Roman" w:eastAsia="Times New Roman" w:hAnsi="Times New Roman"/>
          <w:b w:val="false"/>
          <w:bCs w:val="false"/>
          <w:i w:val="false"/>
          <w:iCs w:val="false"/>
          <w:sz w:val="24"/>
          <w:szCs w:val="24"/>
        </w:rPr>
        <w:t xml:space="preserve">Artificial intelligence (AI) systems exhibit measurable cognitive bias that extends beyond demographic representation gaps in training data. This paper argues that a primary and underexamined source of AI bias is the near-total absence of neurodivergent cognitive profiles — particularly autistic and attention-deficit/hyperactivity disorder (ADHD) thinkers — from AI research, design, and evaluation teams. Drawing on six empirical foundations — (1) peer-reviewed evidence of neurodivergence bias embedded in AI language model architectures (Brandsen et al., 2024); (2) documented cognitive strengths of autistic cognition in pattern recognition and systems reasoning (Baron-Cohen et al., 2009; Mottron et al., 2006; Crespi, 2021); (3) established Goodhart's Law literature demonstrating how proxy metric optimization degrades true objectives (Manheim &amp; Garrabrant, 2019; Thomas &amp; Uminsky, 2022); (4) new empirical research demonstrating that cognitive team diversity directly improves AI fairness and bias detection in real development environments (de Souza Santos et al., 2026); (5) controlled experimental evidence that diverse team composition improves AI system reliability even without explicit training (Nascimento et al., 2026); and (6) primary benchmark data from an original AI metacognition study revealing systematic confidence miscalibration in frontier models (Aulabaugh, 2026) — this paper presents a theoretically grounded and empirically supported argument that cognitive diversity is not a social accommodation but a technical necessity for building AI systems that are genuinely accurate, trustworthy, and well-calibrated. Limitations and directions for future empirical research are addressed.</w:t>
      </w:r>
    </w:p>
    <w:p>
      <w:pPr>
        <w:spacing w:before="0" w:after="0" w:line="480" w:lineRule="auto"/>
      </w:pPr>
      <w:r>
        <w:t xml:space="preserve"/>
      </w:r>
    </w:p>
    <w:p>
      <w:pPr>
        <w:spacing w:before="0" w:after="0" w:line="480" w:lineRule="auto"/>
        <w:ind/>
      </w:pPr>
      <w:r>
        <w:rPr>
          <w:rFonts w:ascii="Times New Roman" w:cs="Times New Roman" w:eastAsia="Times New Roman" w:hAnsi="Times New Roman"/>
          <w:b w:val="false"/>
          <w:bCs w:val="false"/>
          <w:i w:val="false"/>
          <w:iCs w:val="false"/>
          <w:sz w:val="24"/>
          <w:szCs w:val="24"/>
        </w:rPr>
        <w:t xml:space="preserve">Keywords: </w:t>
      </w:r>
      <w:r>
        <w:rPr>
          <w:rFonts w:ascii="Times New Roman" w:cs="Times New Roman" w:eastAsia="Times New Roman" w:hAnsi="Times New Roman"/>
          <w:b w:val="false"/>
          <w:bCs w:val="false"/>
          <w:i/>
          <w:iCs/>
          <w:sz w:val="24"/>
          <w:szCs w:val="24"/>
        </w:rPr>
        <w:t xml:space="preserve">neurodiversity, artificial intelligence, cognitive bias, Goodhart's Law, confidence calibration, autistic cognition, AI governance, metacognition, team diversity, proxy metrics</w:t>
      </w:r>
    </w:p>
    <w:p>
      <w:pPr>
        <w:spacing w:before="0" w:after="0" w:line="480" w:lineRule="auto"/>
      </w:pPr>
      <w:r>
        <w:t xml:space="preserve"/>
      </w:r>
    </w:p>
    <w:p>
      <w:pPr>
        <w:spacing w:before="0" w:after="0" w:line="480" w:lineRule="auto"/>
      </w:pPr>
      <w:r>
        <w:t xml:space="preserve"/>
      </w:r>
    </w:p>
    <w:p>
      <w:pPr>
        <w:spacing w:before="0" w:after="0" w:line="480" w:lineRule="auto"/>
        <w:jc w:val="center"/>
      </w:pPr>
      <w:r>
        <w:rPr>
          <w:rFonts w:ascii="Times New Roman" w:cs="Times New Roman" w:eastAsia="Times New Roman" w:hAnsi="Times New Roman"/>
          <w:b/>
          <w:bCs/>
          <w:sz w:val="24"/>
          <w:szCs w:val="24"/>
        </w:rPr>
        <w:t xml:space="preserve">The Missing Link: How the Absence of Neurodiversity in Artificial Intelligence Development Produces Cognitively Biased, Miscalibrated Systems</w:t>
      </w:r>
    </w:p>
    <w:p>
      <w:pPr>
        <w:spacing w:before="0" w:after="0" w:line="480" w:lineRule="auto"/>
      </w:pPr>
      <w:r>
        <w:t xml:space="preserve"/>
      </w:r>
    </w:p>
    <w:p>
      <w:pPr>
        <w:spacing w:before="0" w:after="0" w:line="480" w:lineRule="auto"/>
        <w:ind w:firstLine="720"/>
      </w:pPr>
      <w:r>
        <w:rPr>
          <w:rFonts w:ascii="Times New Roman" w:cs="Times New Roman" w:eastAsia="Times New Roman" w:hAnsi="Times New Roman"/>
          <w:sz w:val="24"/>
          <w:szCs w:val="24"/>
        </w:rPr>
        <w:t xml:space="preserve">When researchers and practitioners discuss bias in artificial intelligence, the conversation typically centers on demographic representation in training data — the racial, gender, and socioeconomic imbalances baked into datasets that cause models to produce discriminatory outputs (Thomas &amp; Uminsky, 2022). This framing is valid and important. However, it represents only one layer of a deeper structural problem: AI systems are biased not only because of what data they learned from, but because of who designed, built, and evaluated them.</w:t>
      </w:r>
    </w:p>
    <w:p>
      <w:pPr>
        <w:spacing w:before="0" w:after="0" w:line="480" w:lineRule="auto"/>
        <w:ind w:firstLine="720"/>
      </w:pPr>
      <w:r>
        <w:rPr>
          <w:rFonts w:ascii="Times New Roman" w:cs="Times New Roman" w:eastAsia="Times New Roman" w:hAnsi="Times New Roman"/>
          <w:sz w:val="24"/>
          <w:szCs w:val="24"/>
        </w:rPr>
        <w:t xml:space="preserve">The vast majority of AI research and development is conducted by neurotypical professionals operating within institutions that have historically excluded neurodivergent individuals from technical roles (World Economic Forum, 2025). The cognitive profiles most associated with neurodivergence — particularly autism spectrum disorder (ASD) and attention-deficit/hyperactivity disorder (ADHD), often co-occurring as "AuDHD" — are characterized by traits that are frequently misread as deficits in professional settings: hyperfocus, pattern-based reasoning, resistance to social consensus, and an unusually strong drive to identify where systems break down (Baron-Cohen et al., 2009; Crespi, 2021).</w:t>
      </w:r>
    </w:p>
    <w:p>
      <w:pPr>
        <w:spacing w:before="0" w:after="0" w:line="480" w:lineRule="auto"/>
        <w:ind w:firstLine="720"/>
      </w:pPr>
      <w:r>
        <w:rPr>
          <w:rFonts w:ascii="Times New Roman" w:cs="Times New Roman" w:eastAsia="Times New Roman" w:hAnsi="Times New Roman"/>
          <w:sz w:val="24"/>
          <w:szCs w:val="24"/>
        </w:rPr>
        <w:t xml:space="preserve">These are not incidental characteristics. They are, this paper argues, precisely the cognitive tools required to build AI systems that do not lie — to themselves or to their users. The Goodhart's Law problem in machine learning, in which proxy metric optimization diverges from and ultimately undermines true objectives (Manheim &amp; Garrabrant, 2019), is not a data problem in isolation. It is also a perception problem. And emerging empirical research now confirms that cognitive diversity in development teams directly reduces the incidence of this class of failure (de Souza Santos et al., 2026; Nascimento et al., 2026).</w:t>
      </w:r>
    </w:p>
    <w:p>
      <w:pPr>
        <w:spacing w:before="0" w:after="0" w:line="480" w:lineRule="auto"/>
        <w:ind w:firstLine="720"/>
      </w:pPr>
      <w:r>
        <w:rPr>
          <w:rFonts w:ascii="Times New Roman" w:cs="Times New Roman" w:eastAsia="Times New Roman" w:hAnsi="Times New Roman"/>
          <w:sz w:val="24"/>
          <w:szCs w:val="24"/>
        </w:rPr>
        <w:t xml:space="preserve">This paper proceeds in five parts. First, it establishes the current state of cognitive homogeneity in AI development and its consequences. Second, it reviews the literature on autistic and neurodivergent cognitive strengths as they relate to the specific failure modes of current AI systems. Third, it synthesizes new empirical evidence on cognitive team diversity and AI system quality. Fourth, it presents primary benchmark data from an original AI metacognition study demonstrating the calibration failures this paper predicts. Fifth, it addresses limitations and proposes a research agenda for advancing this framework.</w:t>
      </w:r>
    </w:p>
    <w:p>
      <w:pPr>
        <w:spacing w:before="0" w:after="0" w:line="480" w:lineRule="auto"/>
      </w:pPr>
      <w:r>
        <w:t xml:space="preserve"/>
      </w:r>
    </w:p>
    <w:p>
      <w:pPr>
        <w:pStyle w:val="Heading2"/>
        <w:spacing w:before="0" w:after="0" w:line="480" w:lineRule="auto"/>
        <w:jc w:val="center"/>
      </w:pPr>
      <w:r>
        <w:rPr>
          <w:rFonts w:ascii="Times New Roman" w:cs="Times New Roman" w:eastAsia="Times New Roman" w:hAnsi="Times New Roman"/>
          <w:b/>
          <w:bCs/>
          <w:sz w:val="24"/>
          <w:szCs w:val="24"/>
        </w:rPr>
        <w:t xml:space="preserve">The Cognitive Architecture Problem: Who Builds AI and Why It Matters</w:t>
      </w:r>
    </w:p>
    <w:p>
      <w:pPr>
        <w:spacing w:before="0" w:after="0" w:line="480" w:lineRule="auto"/>
      </w:pPr>
      <w:r>
        <w:t xml:space="preserve"/>
      </w:r>
    </w:p>
    <w:p>
      <w:pPr>
        <w:spacing w:before="0" w:after="0" w:line="480" w:lineRule="auto"/>
        <w:ind w:firstLine="720"/>
      </w:pPr>
      <w:r>
        <w:rPr>
          <w:rFonts w:ascii="Times New Roman" w:cs="Times New Roman" w:eastAsia="Times New Roman" w:hAnsi="Times New Roman"/>
          <w:sz w:val="24"/>
          <w:szCs w:val="24"/>
        </w:rPr>
        <w:t xml:space="preserve">Contemporary AI development is concentrated among a relatively small population of researchers at major technology companies and research institutions. While significant attention has been paid to gender and racial diversity in these environments, cognitive diversity — the representation of different neurological profiles in design and evaluation roles — remains largely unaddressed in both policy and practice.</w:t>
      </w:r>
    </w:p>
    <w:p>
      <w:pPr>
        <w:spacing w:before="0" w:after="0" w:line="480" w:lineRule="auto"/>
        <w:ind w:firstLine="720"/>
      </w:pPr>
      <w:r>
        <w:rPr>
          <w:rFonts w:ascii="Times New Roman" w:cs="Times New Roman" w:eastAsia="Times New Roman" w:hAnsi="Times New Roman"/>
          <w:sz w:val="24"/>
          <w:szCs w:val="24"/>
        </w:rPr>
        <w:t xml:space="preserve">The World Economic Forum (2025) has identified this gap explicitly, noting that most AI frameworks still reflect neurotypical assumptions and overlook the communication styles and behaviors that make neurodivergent individuals unique. This is consequential because, as de Souza Santos et al. (2026) demonstrate through a Grounded Theory study of 25 software professionals across four real-world AI development teams, the cognitive and social composition of development teams shapes not only team dynamics but the technical properties of the systems those teams produce. Their analysis found that team diversity functions as a structural condition that embeds fairness into daily development routines — distributing the work of bias detection across the team rather than limiting it to isolated post-hoc checks.</w:t>
      </w:r>
    </w:p>
    <w:p>
      <w:pPr>
        <w:spacing w:before="0" w:after="0" w:line="480" w:lineRule="auto"/>
        <w:ind w:firstLine="720"/>
      </w:pPr>
      <w:r>
        <w:rPr>
          <w:rFonts w:ascii="Times New Roman" w:cs="Times New Roman" w:eastAsia="Times New Roman" w:hAnsi="Times New Roman"/>
          <w:sz w:val="24"/>
          <w:szCs w:val="24"/>
        </w:rPr>
        <w:t xml:space="preserve">Neurodivergent individuals represent approximately 15 to 20 percent of the general population, including autism, ADHD, dyslexia, and related conditions (Hutson, 2024). Yet their representation in AI research and development roles remains disproportionately low, due in part to workplace structures that have historically disadvantaged non-neurotypical communication styles, sensory profiles, and social interaction patterns (Creative Spirit, 2024). This is not merely a workforce equity concern. When neurodivergent thinkers are absent from the rooms where AI is built, the specific cognitive capabilities they carry — pattern anomaly detection, resistance to framing effects, hyperfocus on edge cases, and systems-level reasoning — are also absent from the development process.</w:t>
      </w:r>
    </w:p>
    <w:p>
      <w:pPr>
        <w:spacing w:before="0" w:after="0" w:line="480" w:lineRule="auto"/>
        <w:ind w:firstLine="720"/>
      </w:pPr>
      <w:r>
        <w:rPr>
          <w:rFonts w:ascii="Times New Roman" w:cs="Times New Roman" w:eastAsia="Times New Roman" w:hAnsi="Times New Roman"/>
          <w:sz w:val="24"/>
          <w:szCs w:val="24"/>
        </w:rPr>
        <w:t xml:space="preserve">The practical consequences are observable in the technical record. AI systems routinely exhibit exactly the categories of failure that are most detectable by the cognitive profiles least represented in their development: proxy metric divergence, confidence miscalibration in contested domains, sycophancy under social pressure, and systematic blindness to edge cases (Aulabaugh, 2026; Thomas &amp; Uminsky, 2022). This alignment between the cognitive gaps in development teams and the technical gaps in deployed systems is not coincidental. It is structural.</w:t>
      </w:r>
    </w:p>
    <w:p>
      <w:pPr>
        <w:spacing w:before="0" w:after="0" w:line="480" w:lineRule="auto"/>
      </w:pPr>
      <w:r>
        <w:t xml:space="preserve"/>
      </w:r>
    </w:p>
    <w:p>
      <w:pPr>
        <w:pStyle w:val="Heading2"/>
        <w:spacing w:before="0" w:after="0" w:line="480" w:lineRule="auto"/>
        <w:jc w:val="center"/>
      </w:pPr>
      <w:r>
        <w:rPr>
          <w:rFonts w:ascii="Times New Roman" w:cs="Times New Roman" w:eastAsia="Times New Roman" w:hAnsi="Times New Roman"/>
          <w:b/>
          <w:bCs/>
          <w:sz w:val="24"/>
          <w:szCs w:val="24"/>
        </w:rPr>
        <w:t xml:space="preserve">How AI Encodes and Perpetuates Neurotypical Bias</w:t>
      </w:r>
    </w:p>
    <w:p>
      <w:pPr>
        <w:spacing w:before="0" w:after="0" w:line="480" w:lineRule="auto"/>
      </w:pPr>
      <w:r>
        <w:t xml:space="preserve"/>
      </w:r>
    </w:p>
    <w:p>
      <w:pPr>
        <w:pStyle w:val="Heading3"/>
        <w:spacing w:before="0" w:after="0" w:line="480" w:lineRule="auto"/>
        <w:ind w:firstLine="720"/>
      </w:pPr>
      <w:r>
        <w:rPr>
          <w:rFonts w:ascii="Times New Roman" w:cs="Times New Roman" w:eastAsia="Times New Roman" w:hAnsi="Times New Roman"/>
          <w:b/>
          <w:bCs/>
          <w:i/>
          <w:iCs/>
          <w:sz w:val="24"/>
          <w:szCs w:val="24"/>
        </w:rPr>
        <w:t xml:space="preserve">Bias Embedded in Language Model Architecture</w:t>
      </w:r>
    </w:p>
    <w:p>
      <w:pPr>
        <w:spacing w:before="0" w:after="0" w:line="480" w:lineRule="auto"/>
        <w:ind w:firstLine="720"/>
      </w:pPr>
      <w:r>
        <w:rPr>
          <w:rFonts w:ascii="Times New Roman" w:cs="Times New Roman" w:eastAsia="Times New Roman" w:hAnsi="Times New Roman"/>
          <w:sz w:val="24"/>
          <w:szCs w:val="24"/>
        </w:rPr>
        <w:t xml:space="preserve">Peer-reviewed research has documented the direct encoding of negative bias against neurodivergent identities within the architecture of AI language models. Brandsen et al. (2024), researchers at the Duke Center for Autism and Brain Development, tested eleven different language model encoders for bias toward neurodivergence-related terms — including autism, ADHD, schizophrenia, and obsessive-compulsive disorder — using the Word Embedding Association Test (WEAT). Their findings revealed generally high levels of bias across encoders, with neurodivergence-related terms consistently associated with concepts of danger, disease, and negativity.</w:t>
      </w:r>
    </w:p>
    <w:p>
      <w:pPr>
        <w:spacing w:before="0" w:after="0" w:line="480" w:lineRule="auto"/>
        <w:ind w:firstLine="720"/>
      </w:pPr>
      <w:r>
        <w:rPr>
          <w:rFonts w:ascii="Times New Roman" w:cs="Times New Roman" w:eastAsia="Times New Roman" w:hAnsi="Times New Roman"/>
          <w:sz w:val="24"/>
          <w:szCs w:val="24"/>
        </w:rPr>
        <w:t xml:space="preserve">The implications of this finding extend beyond the treatment of neurodivergent users by deployed systems. A language model that encodes neurodivergent identity as pathological is also a model that, when used as an assistant in evaluation, design, or governance contexts, will systematically undervalue and misrepresent neurodivergent cognitive contributions. The bias is not only in the output — it is in the epistemic infrastructure the model uses to evaluate the world.</w:t>
      </w:r>
    </w:p>
    <w:p>
      <w:pPr>
        <w:spacing w:before="0" w:after="0" w:line="480" w:lineRule="auto"/>
      </w:pPr>
      <w:r>
        <w:t xml:space="preserve"/>
      </w:r>
    </w:p>
    <w:p>
      <w:pPr>
        <w:pStyle w:val="Heading3"/>
        <w:spacing w:before="0" w:after="0" w:line="480" w:lineRule="auto"/>
        <w:ind w:firstLine="720"/>
      </w:pPr>
      <w:r>
        <w:rPr>
          <w:rFonts w:ascii="Times New Roman" w:cs="Times New Roman" w:eastAsia="Times New Roman" w:hAnsi="Times New Roman"/>
          <w:b/>
          <w:bCs/>
          <w:i/>
          <w:iCs/>
          <w:sz w:val="24"/>
          <w:szCs w:val="24"/>
        </w:rPr>
        <w:t xml:space="preserve">The Neurotypical Assumption in System Evaluation</w:t>
      </w:r>
    </w:p>
    <w:p>
      <w:pPr>
        <w:spacing w:before="0" w:after="0" w:line="480" w:lineRule="auto"/>
        <w:ind w:firstLine="720"/>
      </w:pPr>
      <w:r>
        <w:rPr>
          <w:rFonts w:ascii="Times New Roman" w:cs="Times New Roman" w:eastAsia="Times New Roman" w:hAnsi="Times New Roman"/>
          <w:sz w:val="24"/>
          <w:szCs w:val="24"/>
        </w:rPr>
        <w:t xml:space="preserve">Beyond training data, the structural design of AI evaluation benchmarks reflects neurotypical assumptions about what constitutes good performance. Current benchmarks predominantly measure accuracy on well-defined tasks with clear ground truth — a paradigm that rewards confident, fluent output over epistemic humility and calibrated uncertainty (Aulabaugh, 2026). This mirrors a broader cognitive preference in neurotypical professional environments, where projecting confidence is often socially rewarded regardless of its accuracy.</w:t>
      </w:r>
    </w:p>
    <w:p>
      <w:pPr>
        <w:spacing w:before="0" w:after="0" w:line="480" w:lineRule="auto"/>
        <w:ind w:firstLine="720"/>
      </w:pPr>
      <w:r>
        <w:rPr>
          <w:rFonts w:ascii="Times New Roman" w:cs="Times New Roman" w:eastAsia="Times New Roman" w:hAnsi="Times New Roman"/>
          <w:sz w:val="24"/>
          <w:szCs w:val="24"/>
        </w:rPr>
        <w:t xml:space="preserve">Research on autistic cognition finds a meaningfully different relationship with uncertainty. Autistic individuals have been documented to exhibit fewer cognitive biases such as the framing effect, reasoning in a more logically consistent manner than matched neurotypical controls (Key Autism Services, 2025). This difference is not a limitation in evaluation contexts — it is a structural advantage. An autistic evaluator is less likely to accept a confident-sounding wrong answer and more likely to flag the gap between stated confidence and demonstrated accuracy, which is precisely the signal that current AI calibration frameworks fail to generate reliably.</w:t>
      </w:r>
    </w:p>
    <w:p>
      <w:pPr>
        <w:spacing w:before="0" w:after="0" w:line="480" w:lineRule="auto"/>
      </w:pPr>
      <w:r>
        <w:t xml:space="preserve"/>
      </w:r>
    </w:p>
    <w:p>
      <w:pPr>
        <w:pStyle w:val="Heading2"/>
        <w:spacing w:before="0" w:after="0" w:line="480" w:lineRule="auto"/>
        <w:jc w:val="center"/>
      </w:pPr>
      <w:r>
        <w:rPr>
          <w:rFonts w:ascii="Times New Roman" w:cs="Times New Roman" w:eastAsia="Times New Roman" w:hAnsi="Times New Roman"/>
          <w:b/>
          <w:bCs/>
          <w:sz w:val="24"/>
          <w:szCs w:val="24"/>
        </w:rPr>
        <w:t xml:space="preserve">Neurodivergent Cognitive Strengths as Technical Infrastructure</w:t>
      </w:r>
    </w:p>
    <w:p>
      <w:pPr>
        <w:spacing w:before="0" w:after="0" w:line="480" w:lineRule="auto"/>
      </w:pPr>
      <w:r>
        <w:t xml:space="preserve"/>
      </w:r>
    </w:p>
    <w:p>
      <w:pPr>
        <w:pStyle w:val="Heading3"/>
        <w:spacing w:before="0" w:after="0" w:line="480" w:lineRule="auto"/>
        <w:ind w:firstLine="720"/>
      </w:pPr>
      <w:r>
        <w:rPr>
          <w:rFonts w:ascii="Times New Roman" w:cs="Times New Roman" w:eastAsia="Times New Roman" w:hAnsi="Times New Roman"/>
          <w:b/>
          <w:bCs/>
          <w:i/>
          <w:iCs/>
          <w:sz w:val="24"/>
          <w:szCs w:val="24"/>
        </w:rPr>
        <w:t xml:space="preserve">Pattern Recognition and Systemizing</w:t>
      </w:r>
    </w:p>
    <w:p>
      <w:pPr>
        <w:spacing w:before="0" w:after="0" w:line="480" w:lineRule="auto"/>
        <w:ind w:firstLine="720"/>
      </w:pPr>
      <w:r>
        <w:rPr>
          <w:rFonts w:ascii="Times New Roman" w:cs="Times New Roman" w:eastAsia="Times New Roman" w:hAnsi="Times New Roman"/>
          <w:sz w:val="24"/>
          <w:szCs w:val="24"/>
        </w:rPr>
        <w:t xml:space="preserve">The cognitive literature on autism consistently identifies enhanced pattern recognition as a core strength of autistic cognition. Baron-Cohen et al. (2009) characterized this as "hyper-systemizing" — an elevated drive to analyze, construct, and detect rule-based systems — and demonstrated through multiple empirical studies that autistic individuals outperform neurotypical controls on tasks involving rule-based visual-spatial pattern recognition. Mottron et al. (2006) extended this framework through their enhanced perceptual functioning model, documenting that autistic perception is characterized by superior detection of local patterns within complex stimuli.</w:t>
      </w:r>
    </w:p>
    <w:p>
      <w:pPr>
        <w:spacing w:before="0" w:after="0" w:line="480" w:lineRule="auto"/>
        <w:ind w:firstLine="720"/>
      </w:pPr>
      <w:r>
        <w:rPr>
          <w:rFonts w:ascii="Times New Roman" w:cs="Times New Roman" w:eastAsia="Times New Roman" w:hAnsi="Times New Roman"/>
          <w:sz w:val="24"/>
          <w:szCs w:val="24"/>
        </w:rPr>
        <w:t xml:space="preserve">Crespi (2021), writing in Frontiers in Psychiatry, proposed that pattern — encompassing pattern perception, recognition, maintenance, generation, and seeking — is the unifying cognitive construct of autism. Neuroimaging studies cited in Crespi's review found increased hippocampus-mediated pattern separation in autistic individuals, supporting heightened sensitivity to anomaly and incongruity. In applied AI evaluation contexts, this translates directly: autistic thinkers are neurologically predisposed to notice when a system's output does not fit the expected pattern — including when stated confidence does not match actual accuracy.</w:t>
      </w:r>
    </w:p>
    <w:p>
      <w:pPr>
        <w:spacing w:before="0" w:after="0" w:line="480" w:lineRule="auto"/>
      </w:pPr>
      <w:r>
        <w:t xml:space="preserve"/>
      </w:r>
    </w:p>
    <w:p>
      <w:pPr>
        <w:pStyle w:val="Heading3"/>
        <w:spacing w:before="0" w:after="0" w:line="480" w:lineRule="auto"/>
        <w:ind w:firstLine="720"/>
      </w:pPr>
      <w:r>
        <w:rPr>
          <w:rFonts w:ascii="Times New Roman" w:cs="Times New Roman" w:eastAsia="Times New Roman" w:hAnsi="Times New Roman"/>
          <w:b/>
          <w:bCs/>
          <w:i/>
          <w:iCs/>
          <w:sz w:val="24"/>
          <w:szCs w:val="24"/>
        </w:rPr>
        <w:t xml:space="preserve">Resistance to Social Consensus Bias</w:t>
      </w:r>
    </w:p>
    <w:p>
      <w:pPr>
        <w:spacing w:before="0" w:after="0" w:line="480" w:lineRule="auto"/>
        <w:ind w:firstLine="720"/>
      </w:pPr>
      <w:r>
        <w:rPr>
          <w:rFonts w:ascii="Times New Roman" w:cs="Times New Roman" w:eastAsia="Times New Roman" w:hAnsi="Times New Roman"/>
          <w:sz w:val="24"/>
          <w:szCs w:val="24"/>
        </w:rPr>
        <w:t xml:space="preserve">One of the most consequential cognitive differences between autistic and neurotypical cognition is reduced susceptibility to social consensus bias. Neurotypical cognition is heavily influenced by social proof — the tendency to update beliefs and judgments in response to what others believe or report. This is adaptive in social environments but problematic in AI evaluation, where consensus can mask systematic errors (Manheim &amp; Garrabrant, 2019).</w:t>
      </w:r>
    </w:p>
    <w:p>
      <w:pPr>
        <w:spacing w:before="0" w:after="0" w:line="480" w:lineRule="auto"/>
        <w:ind w:firstLine="720"/>
      </w:pPr>
      <w:r>
        <w:rPr>
          <w:rFonts w:ascii="Times New Roman" w:cs="Times New Roman" w:eastAsia="Times New Roman" w:hAnsi="Times New Roman"/>
          <w:sz w:val="24"/>
          <w:szCs w:val="24"/>
        </w:rPr>
        <w:t xml:space="preserve">Autistic individuals exhibit significantly reduced susceptibility to this class of bias, reasoning in ways that are less modulated by social expectation (Key Autism Services, 2025). In AI development and evaluation contexts, this means that autistic practitioners are less likely to accept an output as correct because it sounds plausible or because others have accepted it — and more likely to insist on measuring the gap between what the system claims and what it actually produces. This resistance is not a social deficit. It is a calibration asset.</w:t>
      </w:r>
    </w:p>
    <w:p>
      <w:pPr>
        <w:spacing w:before="0" w:after="0" w:line="480" w:lineRule="auto"/>
      </w:pPr>
      <w:r>
        <w:t xml:space="preserve"/>
      </w:r>
    </w:p>
    <w:p>
      <w:pPr>
        <w:pStyle w:val="Heading3"/>
        <w:spacing w:before="0" w:after="0" w:line="480" w:lineRule="auto"/>
        <w:ind w:firstLine="720"/>
      </w:pPr>
      <w:r>
        <w:rPr>
          <w:rFonts w:ascii="Times New Roman" w:cs="Times New Roman" w:eastAsia="Times New Roman" w:hAnsi="Times New Roman"/>
          <w:b/>
          <w:bCs/>
          <w:i/>
          <w:iCs/>
          <w:sz w:val="24"/>
          <w:szCs w:val="24"/>
        </w:rPr>
        <w:t xml:space="preserve">ADHD, Hyperfocus, and Edge-Case Detection</w:t>
      </w:r>
    </w:p>
    <w:p>
      <w:pPr>
        <w:spacing w:before="0" w:after="0" w:line="480" w:lineRule="auto"/>
        <w:ind w:firstLine="720"/>
      </w:pPr>
      <w:r>
        <w:rPr>
          <w:rFonts w:ascii="Times New Roman" w:cs="Times New Roman" w:eastAsia="Times New Roman" w:hAnsi="Times New Roman"/>
          <w:sz w:val="24"/>
          <w:szCs w:val="24"/>
        </w:rPr>
        <w:t xml:space="preserve">Attention-deficit/hyperactivity disorder, particularly when co-occurring with autism in the AuDHD profile, contributes additional capabilities relevant to AI evaluation and governance. The hyperfocus characteristic of ADHD enables sustained, intensive engagement with specific problem domains that produces the kind of deep cross-domain pattern recognition most effective at identifying failure modes conventional testing does not anticipate (Hutson, 2024). The divergent associative thinking patterns associated with ADHD are particularly well suited to connecting observations across disparate domains — the cognitive operation required to notice that a failure mode in one system resembles a governance problem in a completely different field.</w:t>
      </w:r>
    </w:p>
    <w:p>
      <w:pPr>
        <w:spacing w:before="0" w:after="0" w:line="480" w:lineRule="auto"/>
        <w:ind w:firstLine="720"/>
      </w:pPr>
      <w:r>
        <w:rPr>
          <w:rFonts w:ascii="Times New Roman" w:cs="Times New Roman" w:eastAsia="Times New Roman" w:hAnsi="Times New Roman"/>
          <w:sz w:val="24"/>
          <w:szCs w:val="24"/>
        </w:rPr>
        <w:t xml:space="preserve">The Deloitte (2022) finding, cited in the World Economic Forum (2025) analysis, that teams with neurodivergent members are 30 percent more productive in innovation-focused roles reflects this. The productivity differential is not explained by raw output volume. It reflects the qualitatively different categories of problems that neurodivergent cognition identifies and solves — problems that neurotypically homogeneous teams, operating within shared cognitive assumptions, often fail to perceive as problems at all.</w:t>
      </w:r>
    </w:p>
    <w:p>
      <w:pPr>
        <w:spacing w:before="0" w:after="0" w:line="480" w:lineRule="auto"/>
      </w:pPr>
      <w:r>
        <w:t xml:space="preserve"/>
      </w:r>
    </w:p>
    <w:p>
      <w:pPr>
        <w:pStyle w:val="Heading2"/>
        <w:spacing w:before="0" w:after="0" w:line="480" w:lineRule="auto"/>
        <w:jc w:val="center"/>
      </w:pPr>
      <w:r>
        <w:rPr>
          <w:rFonts w:ascii="Times New Roman" w:cs="Times New Roman" w:eastAsia="Times New Roman" w:hAnsi="Times New Roman"/>
          <w:b/>
          <w:bCs/>
          <w:sz w:val="24"/>
          <w:szCs w:val="24"/>
        </w:rPr>
        <w:t xml:space="preserve">Empirical Evidence: Cognitive Team Diversity and AI System Quality</w:t>
      </w:r>
    </w:p>
    <w:p>
      <w:pPr>
        <w:spacing w:before="0" w:after="0" w:line="480" w:lineRule="auto"/>
      </w:pPr>
      <w:r>
        <w:t xml:space="preserve"/>
      </w:r>
    </w:p>
    <w:p>
      <w:pPr>
        <w:spacing w:before="0" w:after="0" w:line="480" w:lineRule="auto"/>
        <w:ind w:firstLine="720"/>
      </w:pPr>
      <w:r>
        <w:rPr>
          <w:rFonts w:ascii="Times New Roman" w:cs="Times New Roman" w:eastAsia="Times New Roman" w:hAnsi="Times New Roman"/>
          <w:sz w:val="24"/>
          <w:szCs w:val="24"/>
        </w:rPr>
        <w:t xml:space="preserve">The theoretical claims advanced above are now supported by a growing body of empirical research demonstrating that cognitive team diversity produces measurably better AI systems. Two recent studies are particularly germane.</w:t>
      </w:r>
    </w:p>
    <w:p>
      <w:pPr>
        <w:pStyle w:val="Heading3"/>
        <w:spacing w:before="0" w:after="0" w:line="480" w:lineRule="auto"/>
        <w:ind w:firstLine="720"/>
      </w:pPr>
      <w:r>
        <w:rPr>
          <w:rFonts w:ascii="Times New Roman" w:cs="Times New Roman" w:eastAsia="Times New Roman" w:hAnsi="Times New Roman"/>
          <w:b/>
          <w:bCs/>
          <w:i/>
          <w:iCs/>
          <w:sz w:val="24"/>
          <w:szCs w:val="24"/>
        </w:rPr>
        <w:t xml:space="preserve">Grounded Theory Evidence from Real AI Development Teams</w:t>
      </w:r>
    </w:p>
    <w:p>
      <w:pPr>
        <w:spacing w:before="0" w:after="0" w:line="480" w:lineRule="auto"/>
        <w:ind w:firstLine="720"/>
      </w:pPr>
      <w:r>
        <w:rPr>
          <w:rFonts w:ascii="Times New Roman" w:cs="Times New Roman" w:eastAsia="Times New Roman" w:hAnsi="Times New Roman"/>
          <w:sz w:val="24"/>
          <w:szCs w:val="24"/>
        </w:rPr>
        <w:t xml:space="preserve">De Souza Santos et al. (2026) conducted a Grounded Theory investigation of four AI-focused software development teams within a large multinational software company operating in Brazil and Portugal, involving 25 interviews with professionals across projects spanning education, energy, accessibility, and facial recognition. Their findings directly address the mechanisms through which team diversity influences AI fairness outcomes.</w:t>
      </w:r>
    </w:p>
    <w:p>
      <w:pPr>
        <w:spacing w:before="0" w:after="0" w:line="480" w:lineRule="auto"/>
        <w:ind w:firstLine="720"/>
      </w:pPr>
      <w:r>
        <w:rPr>
          <w:rFonts w:ascii="Times New Roman" w:cs="Times New Roman" w:eastAsia="Times New Roman" w:hAnsi="Times New Roman"/>
          <w:sz w:val="24"/>
          <w:szCs w:val="24"/>
        </w:rPr>
        <w:t xml:space="preserve">Three mechanisms emerged from the data. First, diverse teams demonstrated greater precision in identifying bias sources during requirements analysis and data selection — what the authors termed Promoting Inclusive and Fair Decision-Making. Second, when bias involved overlapping technical and social factors, cognitively diverse teams were better equipped to develop integrated solutions that isolated technical approaches could not produce alone. Third, and most significantly for the argument of this paper, team diversity functioned as a structural condition that embedded bias detection into daily development routines rather than relegating it to post-hoc audits — distributing epistemic responsibility across the team in ways that made systematic failures harder to overlook.</w:t>
      </w:r>
    </w:p>
    <w:p>
      <w:pPr>
        <w:spacing w:before="0" w:after="0" w:line="480" w:lineRule="auto"/>
        <w:ind w:firstLine="720"/>
      </w:pPr>
      <w:r>
        <w:rPr>
          <w:rFonts w:ascii="Times New Roman" w:cs="Times New Roman" w:eastAsia="Times New Roman" w:hAnsi="Times New Roman"/>
          <w:sz w:val="24"/>
          <w:szCs w:val="24"/>
        </w:rPr>
        <w:t xml:space="preserve">The study further notes that cognitive diversity — defined as differences in how individuals process information, apply reasoning strategies, and approach problem-solving tasks — is a distinct and underexplored dimension of team diversity in software engineering, separate from demographic diversity, and specifically linked to outcomes in complex problem-solving contexts (de Souza Santos et al., 2026; Menezes &amp; Prikladnicki, 2018, as cited in de Souza Santos et al., 2026).</w:t>
      </w:r>
    </w:p>
    <w:p>
      <w:pPr>
        <w:spacing w:before="0" w:after="0" w:line="480" w:lineRule="auto"/>
      </w:pPr>
      <w:r>
        <w:t xml:space="preserve"/>
      </w:r>
    </w:p>
    <w:p>
      <w:pPr>
        <w:pStyle w:val="Heading3"/>
        <w:spacing w:before="0" w:after="0" w:line="480" w:lineRule="auto"/>
        <w:ind w:firstLine="720"/>
      </w:pPr>
      <w:r>
        <w:rPr>
          <w:rFonts w:ascii="Times New Roman" w:cs="Times New Roman" w:eastAsia="Times New Roman" w:hAnsi="Times New Roman"/>
          <w:b/>
          <w:bCs/>
          <w:i/>
          <w:iCs/>
          <w:sz w:val="24"/>
          <w:szCs w:val="24"/>
        </w:rPr>
        <w:t xml:space="preserve">Controlled Experimental Evidence</w:t>
      </w:r>
    </w:p>
    <w:p>
      <w:pPr>
        <w:spacing w:before="0" w:after="0" w:line="480" w:lineRule="auto"/>
        <w:ind w:firstLine="720"/>
      </w:pPr>
      <w:r>
        <w:rPr>
          <w:rFonts w:ascii="Times New Roman" w:cs="Times New Roman" w:eastAsia="Times New Roman" w:hAnsi="Times New Roman"/>
          <w:sz w:val="24"/>
          <w:szCs w:val="24"/>
        </w:rPr>
        <w:t xml:space="preserve">Nascimento et al. (2026) conducted a controlled experiment with 27 pairs of software engineering students — 13 LGBTQ-diverse pairs and 14 non-diverse pairs — examining how team diversity influences fairness-aware behavior during AI requirements prioritization. Diverse pairs demonstrated significantly higher fairness awareness and more accurate identification of discriminatory requirements, without any explicit fairness training. The authors concluded that inclusive team composition improves both the fairness and the reliability of AI-enabled systems, and that fairness reasoning emerges naturally from diverse collaborative prioritization.</w:t>
      </w:r>
    </w:p>
    <w:p>
      <w:pPr>
        <w:spacing w:before="0" w:after="0" w:line="480" w:lineRule="auto"/>
        <w:ind w:firstLine="720"/>
      </w:pPr>
      <w:r>
        <w:rPr>
          <w:rFonts w:ascii="Times New Roman" w:cs="Times New Roman" w:eastAsia="Times New Roman" w:hAnsi="Times New Roman"/>
          <w:sz w:val="24"/>
          <w:szCs w:val="24"/>
        </w:rPr>
        <w:t xml:space="preserve">While this study focuses on diversity defined by sexual orientation rather than neurodivergence specifically, its findings operationalize a general principle directly applicable to cognitive diversity: when teams include members whose life experience gives them different perceptual access to system failure modes, those failures are detected earlier, more reliably, and with less dependence on specialized training. This is the mechanism this paper proposes is activated — and currently absent — in the case of neurodivergent cognition in AI development.</w:t>
      </w:r>
    </w:p>
    <w:p>
      <w:pPr>
        <w:spacing w:before="0" w:after="0" w:line="480" w:lineRule="auto"/>
      </w:pPr>
      <w:r>
        <w:t xml:space="preserve"/>
      </w:r>
    </w:p>
    <w:p>
      <w:pPr>
        <w:pStyle w:val="Heading3"/>
        <w:spacing w:before="0" w:after="0" w:line="480" w:lineRule="auto"/>
        <w:ind w:firstLine="720"/>
      </w:pPr>
      <w:r>
        <w:rPr>
          <w:rFonts w:ascii="Times New Roman" w:cs="Times New Roman" w:eastAsia="Times New Roman" w:hAnsi="Times New Roman"/>
          <w:b/>
          <w:bCs/>
          <w:i/>
          <w:iCs/>
          <w:sz w:val="24"/>
          <w:szCs w:val="24"/>
        </w:rPr>
        <w:t xml:space="preserve">IEEE Systematic Mapping: Cognitive Diversity and Problem-Solving Outcomes</w:t>
      </w:r>
    </w:p>
    <w:p>
      <w:pPr>
        <w:spacing w:before="0" w:after="0" w:line="480" w:lineRule="auto"/>
        <w:ind w:firstLine="720"/>
      </w:pPr>
      <w:r>
        <w:rPr>
          <w:rFonts w:ascii="Times New Roman" w:cs="Times New Roman" w:eastAsia="Times New Roman" w:hAnsi="Times New Roman"/>
          <w:sz w:val="24"/>
          <w:szCs w:val="24"/>
        </w:rPr>
        <w:t xml:space="preserve">A systematic mapping study of diversity in software engineering published in IEEE (Rodríguez-Pérez et al., 2019) found that cognitive diversity is specifically linked to better outcomes when tasks are related to problem-solving and prediction — the two task types most central to AI evaluation and governance work. This finding supports the specificity of the argument advanced here: the benefit of cognitive diversity is not uniform across all tasks, but it is concentrated in precisely the domains where AI development most urgently needs improvement.</w:t>
      </w:r>
    </w:p>
    <w:p>
      <w:pPr>
        <w:spacing w:before="0" w:after="0" w:line="480" w:lineRule="auto"/>
      </w:pPr>
      <w:r>
        <w:t xml:space="preserve"/>
      </w:r>
    </w:p>
    <w:p>
      <w:pPr>
        <w:pStyle w:val="Heading2"/>
        <w:spacing w:before="0" w:after="0" w:line="480" w:lineRule="auto"/>
        <w:jc w:val="center"/>
      </w:pPr>
      <w:r>
        <w:rPr>
          <w:rFonts w:ascii="Times New Roman" w:cs="Times New Roman" w:eastAsia="Times New Roman" w:hAnsi="Times New Roman"/>
          <w:b/>
          <w:bCs/>
          <w:sz w:val="24"/>
          <w:szCs w:val="24"/>
        </w:rPr>
        <w:t xml:space="preserve">Goodhart's Law, Proxy Collapse, and What Neurodivergent Cognition Sees</w:t>
      </w:r>
    </w:p>
    <w:p>
      <w:pPr>
        <w:spacing w:before="0" w:after="0" w:line="480" w:lineRule="auto"/>
      </w:pPr>
      <w:r>
        <w:t xml:space="preserve"/>
      </w:r>
    </w:p>
    <w:p>
      <w:pPr>
        <w:spacing w:before="0" w:after="0" w:line="480" w:lineRule="auto"/>
        <w:ind w:firstLine="720"/>
      </w:pPr>
      <w:r>
        <w:rPr>
          <w:rFonts w:ascii="Times New Roman" w:cs="Times New Roman" w:eastAsia="Times New Roman" w:hAnsi="Times New Roman"/>
          <w:sz w:val="24"/>
          <w:szCs w:val="24"/>
        </w:rPr>
        <w:t xml:space="preserve">Goodhart's Law, originally formulated in the context of monetary economics and formalized for AI by Manheim and Garrabrant (2019), identifies four failure modes of proxy metric optimization: regressional Goodharting, in which proxy measures ignore confounding factors; extremal Goodharting, in which proxies break down at the boundaries of their valid range; causal Goodharting, in which correlation between proxy and true objective is mistaken for causation; and adversarial Goodharting, in which optimization incentivizes strategic gaming of the proxy measure. Thomas and Uminsky (2022) argued in Patterns that the overemphasis on metric optimization is a fundamental contradiction within AI design and ethics, producing real-world harms across recommendation systems, hiring algorithms, and public health applications.</w:t>
      </w:r>
    </w:p>
    <w:p>
      <w:pPr>
        <w:spacing w:before="0" w:after="0" w:line="480" w:lineRule="auto"/>
        <w:ind w:firstLine="720"/>
      </w:pPr>
      <w:r>
        <w:rPr>
          <w:rFonts w:ascii="Times New Roman" w:cs="Times New Roman" w:eastAsia="Times New Roman" w:hAnsi="Times New Roman"/>
          <w:sz w:val="24"/>
          <w:szCs w:val="24"/>
        </w:rPr>
        <w:t xml:space="preserve">Each of these failure modes shares a common structure: a gap between what is measured and what matters that becomes invisible to agents optimizing the measured quantity. Detecting this gap requires an observer who is simultaneously tracking both the proxy metric and the underlying reality it is supposed to represent — and who is not subject to the social pressure to accept the proxy as sufficient.</w:t>
      </w:r>
    </w:p>
    <w:p>
      <w:pPr>
        <w:spacing w:before="0" w:after="0" w:line="480" w:lineRule="auto"/>
        <w:ind w:firstLine="720"/>
      </w:pPr>
      <w:r>
        <w:rPr>
          <w:rFonts w:ascii="Times New Roman" w:cs="Times New Roman" w:eastAsia="Times New Roman" w:hAnsi="Times New Roman"/>
          <w:sz w:val="24"/>
          <w:szCs w:val="24"/>
        </w:rPr>
        <w:t xml:space="preserve">This is a precise description of what neurodivergent cognition, particularly autistic cognition, is structurally positioned to do. The same systemizing drive that enables autistic thinkers to construct rigorous rule-based models also enables them to detect when a model's stated rules no longer map onto its actual behavior. The same resistance to social consensus that enables them to reject confident-sounding wrong answers also enables them to insist on measuring what actually matters rather than what is easy to report. And the hyperfocused cross-domain pattern recognition characteristic of AuDHD cognition is well suited to recognizing Goodhart patterns across contexts — noticing that a call center KPI failure and an AI confidence miscalibration are structurally the same problem in different domains.</w:t>
      </w:r>
    </w:p>
    <w:p>
      <w:pPr>
        <w:spacing w:before="0" w:after="0" w:line="480" w:lineRule="auto"/>
        <w:ind w:firstLine="720"/>
      </w:pPr>
      <w:r>
        <w:rPr>
          <w:rFonts w:ascii="Times New Roman" w:cs="Times New Roman" w:eastAsia="Times New Roman" w:hAnsi="Times New Roman"/>
          <w:sz w:val="24"/>
          <w:szCs w:val="24"/>
        </w:rPr>
        <w:t xml:space="preserve">The absence of neurodivergent perspectives in AI development does not merely result in systems that misrepresent neurodivergent users. It results in systems that are structurally less capable of perceiving and correcting their own proxy failures — systems that have been optimized for proxies to the point where further optimization actively degrades performance on true objectives (Manheim &amp; Garrabrant, 2019).</w:t>
      </w:r>
    </w:p>
    <w:p>
      <w:pPr>
        <w:spacing w:before="0" w:after="0" w:line="480" w:lineRule="auto"/>
      </w:pPr>
      <w:r>
        <w:t xml:space="preserve"/>
      </w:r>
    </w:p>
    <w:p>
      <w:pPr>
        <w:pStyle w:val="Heading2"/>
        <w:spacing w:before="0" w:after="0" w:line="480" w:lineRule="auto"/>
        <w:jc w:val="center"/>
      </w:pPr>
      <w:r>
        <w:rPr>
          <w:rFonts w:ascii="Times New Roman" w:cs="Times New Roman" w:eastAsia="Times New Roman" w:hAnsi="Times New Roman"/>
          <w:b/>
          <w:bCs/>
          <w:sz w:val="24"/>
          <w:szCs w:val="24"/>
        </w:rPr>
        <w:t xml:space="preserve">Primary Evidence: The Blind Spots in the Mirror Benchmark</w:t>
      </w:r>
    </w:p>
    <w:p>
      <w:pPr>
        <w:spacing w:before="0" w:after="0" w:line="480" w:lineRule="auto"/>
      </w:pPr>
      <w:r>
        <w:t xml:space="preserve"/>
      </w:r>
    </w:p>
    <w:p>
      <w:pPr>
        <w:spacing w:before="0" w:after="0" w:line="480" w:lineRule="auto"/>
        <w:ind w:firstLine="720"/>
      </w:pPr>
      <w:r>
        <w:rPr>
          <w:rFonts w:ascii="Times New Roman" w:cs="Times New Roman" w:eastAsia="Times New Roman" w:hAnsi="Times New Roman"/>
          <w:sz w:val="24"/>
          <w:szCs w:val="24"/>
        </w:rPr>
        <w:t xml:space="preserve">To provide empirical grounding for the theoretical claims advanced in this paper, the author conducted an original benchmark study examining AI metacognition — the degree to which frontier AI systems know what they do not know — as a submission to the Google DeepMind and Kaggle AGI Hackathon (Aulabaugh, 2026). The study was designed from the perspective of an AuDHD researcher whose prior work on proxy metric divergence in telecommunications call center data had established a theoretical framework for understanding how systems misrepresent their own performance.</w:t>
      </w:r>
    </w:p>
    <w:p>
      <w:pPr>
        <w:pStyle w:val="Heading3"/>
        <w:spacing w:before="0" w:after="0" w:line="480" w:lineRule="auto"/>
        <w:ind w:firstLine="720"/>
      </w:pPr>
      <w:r>
        <w:rPr>
          <w:rFonts w:ascii="Times New Roman" w:cs="Times New Roman" w:eastAsia="Times New Roman" w:hAnsi="Times New Roman"/>
          <w:b/>
          <w:bCs/>
          <w:i/>
          <w:iCs/>
          <w:sz w:val="24"/>
          <w:szCs w:val="24"/>
        </w:rPr>
        <w:t xml:space="preserve">Benchmark Design and Methodology</w:t>
      </w:r>
    </w:p>
    <w:p>
      <w:pPr>
        <w:spacing w:before="0" w:after="0" w:line="480" w:lineRule="auto"/>
        <w:ind w:firstLine="720"/>
      </w:pPr>
      <w:r>
        <w:rPr>
          <w:rFonts w:ascii="Times New Roman" w:cs="Times New Roman" w:eastAsia="Times New Roman" w:hAnsi="Times New Roman"/>
          <w:sz w:val="24"/>
          <w:szCs w:val="24"/>
        </w:rPr>
        <w:t xml:space="preserve">The benchmark, titled Blind Spots in the Mirror, operationalized three distinct metacognitive capabilities across 25 test items and six control types. Task 1 assessed knowledge boundary awareness using a composite scoring function weighting judge-evaluated correctness, confidence calibration, and appropriate hedging for both answerable and unanswerable items. Task 2 assessed confidence calibration using Expected Calibration Error (ECE), computed as:</w:t>
      </w:r>
    </w:p>
    <w:p>
      <w:pPr>
        <w:spacing w:before="0" w:after="0" w:line="480" w:lineRule="auto"/>
        <w:ind/>
      </w:pPr>
      <w:r>
        <w:rPr>
          <w:rFonts w:ascii="Times New Roman" w:cs="Times New Roman" w:eastAsia="Times New Roman" w:hAnsi="Times New Roman"/>
          <w:b w:val="false"/>
          <w:bCs w:val="false"/>
          <w:i/>
          <w:iCs/>
          <w:sz w:val="24"/>
          <w:szCs w:val="24"/>
        </w:rPr>
        <w:t xml:space="preserve">ECE = Σ(|Bm| / n) × |acc(Bm) − conf(Bm)|</w:t>
      </w:r>
    </w:p>
    <w:p>
      <w:pPr>
        <w:spacing w:before="0" w:after="0" w:line="480" w:lineRule="auto"/>
        <w:ind w:firstLine="720"/>
      </w:pPr>
      <w:r>
        <w:rPr>
          <w:rFonts w:ascii="Times New Roman" w:cs="Times New Roman" w:eastAsia="Times New Roman" w:hAnsi="Times New Roman"/>
          <w:sz w:val="24"/>
          <w:szCs w:val="24"/>
        </w:rPr>
        <w:t xml:space="preserve">where Bm represents confidence bins, acc(Bm) the accuracy within each bin, and conf(Bm) the mean stated confidence within each bin. Task 3 assessed sycophancy resistance — whether models maintained their stated positions under simulated social pressure or capitulated to false corrections across four sub-dimensions: sycophancy, error detection, appropriate abstention, and revision direction.</w:t>
      </w:r>
    </w:p>
    <w:p>
      <w:pPr>
        <w:spacing w:before="0" w:after="0" w:line="480" w:lineRule="auto"/>
        <w:ind w:firstLine="720"/>
      </w:pPr>
      <w:r>
        <w:rPr>
          <w:rFonts w:ascii="Times New Roman" w:cs="Times New Roman" w:eastAsia="Times New Roman" w:hAnsi="Times New Roman"/>
          <w:sz w:val="24"/>
          <w:szCs w:val="24"/>
        </w:rPr>
        <w:t xml:space="preserve">The output metric, the Kardashev Trust Classification, adapted the Kardashev civilization scale to classify AI systems by epistemic mastery. The three-tier taxonomy distinguished Type III systems (System Integrity Index below 10, genuine metacognitive capacity), Type II systems (SII 10 to 29, partial calibration), and Type I systems (SII 30 or above, surface mimicry only).</w:t>
      </w:r>
    </w:p>
    <w:p>
      <w:pPr>
        <w:spacing w:before="0" w:after="0" w:line="480" w:lineRule="auto"/>
      </w:pPr>
      <w:r>
        <w:t xml:space="preserve"/>
      </w:r>
    </w:p>
    <w:p>
      <w:pPr>
        <w:pStyle w:val="Heading3"/>
        <w:spacing w:before="0" w:after="0" w:line="480" w:lineRule="auto"/>
        <w:ind w:firstLine="720"/>
      </w:pPr>
      <w:r>
        <w:rPr>
          <w:rFonts w:ascii="Times New Roman" w:cs="Times New Roman" w:eastAsia="Times New Roman" w:hAnsi="Times New Roman"/>
          <w:b/>
          <w:bCs/>
          <w:i/>
          <w:iCs/>
          <w:sz w:val="24"/>
          <w:szCs w:val="24"/>
        </w:rPr>
        <w:t xml:space="preserve">Results and Interpretation</w:t>
      </w:r>
    </w:p>
    <w:p>
      <w:pPr>
        <w:spacing w:before="0" w:after="0" w:line="480" w:lineRule="auto"/>
        <w:ind w:firstLine="720"/>
      </w:pPr>
      <w:r>
        <w:rPr>
          <w:rFonts w:ascii="Times New Roman" w:cs="Times New Roman" w:eastAsia="Times New Roman" w:hAnsi="Times New Roman"/>
          <w:sz w:val="24"/>
          <w:szCs w:val="24"/>
        </w:rPr>
        <w:t xml:space="preserve">Results for Gemini 2.5 Flash revealed a striking asymmetry that directly illustrates the argument of this paper. The model achieved a perfect score of 1.0 on Task 1 knowledge boundary awareness: when directly questioned about whether a domain fell within its knowledge, it responded accurately. However, its Task 2 confidence calibration score was 0.49, indicating substantial miscalibration in contested domains where no clear ground truth was available.</w:t>
      </w:r>
    </w:p>
    <w:p>
      <w:pPr>
        <w:spacing w:before="0" w:after="0" w:line="480" w:lineRule="auto"/>
        <w:ind w:firstLine="720"/>
      </w:pPr>
      <w:r>
        <w:rPr>
          <w:rFonts w:ascii="Times New Roman" w:cs="Times New Roman" w:eastAsia="Times New Roman" w:hAnsi="Times New Roman"/>
          <w:sz w:val="24"/>
          <w:szCs w:val="24"/>
        </w:rPr>
        <w:t xml:space="preserve">This asymmetry is interpretively significant. The model has learned to pass knowledge boundary tests — because those tests have been designed into evaluation regimes built by neurotypical-dominant teams who thought to include them. It fails confidence calibration in contested domains — because no evaluator with the perceptual orientation to notice that specific failure has been systematically included in the design and evaluation process. The gap is not random noise. It is the shape of what is missing.</w:t>
      </w:r>
    </w:p>
    <w:p>
      <w:pPr>
        <w:spacing w:before="0" w:after="0" w:line="480" w:lineRule="auto"/>
        <w:ind w:firstLine="720"/>
      </w:pPr>
      <w:r>
        <w:rPr>
          <w:rFonts w:ascii="Times New Roman" w:cs="Times New Roman" w:eastAsia="Times New Roman" w:hAnsi="Times New Roman"/>
          <w:sz w:val="24"/>
          <w:szCs w:val="24"/>
        </w:rPr>
        <w:t xml:space="preserve">A secondary finding of methodological note: the benchmark was designed and implemented in a single day by a researcher who had been coding for eight weeks. The speed of construction reflects not shallow understanding but the application of a fully formed conceptual framework — developed through years of pattern-based observation of how systems misrepresent their own performance — to a new technical surface. This is the cognitive profile this paper argues is underrepresented and undervalued in AI development.</w:t>
      </w:r>
    </w:p>
    <w:p>
      <w:pPr>
        <w:spacing w:before="0" w:after="0" w:line="480" w:lineRule="auto"/>
      </w:pPr>
      <w:r>
        <w:t xml:space="preserve"/>
      </w:r>
    </w:p>
    <w:p>
      <w:pPr>
        <w:pStyle w:val="Heading2"/>
        <w:spacing w:before="0" w:after="0" w:line="480" w:lineRule="auto"/>
        <w:jc w:val="center"/>
      </w:pPr>
      <w:r>
        <w:rPr>
          <w:rFonts w:ascii="Times New Roman" w:cs="Times New Roman" w:eastAsia="Times New Roman" w:hAnsi="Times New Roman"/>
          <w:b/>
          <w:bCs/>
          <w:sz w:val="24"/>
          <w:szCs w:val="24"/>
        </w:rPr>
        <w:t xml:space="preserve">Limitations and Future Research Directions</w:t>
      </w:r>
    </w:p>
    <w:p>
      <w:pPr>
        <w:spacing w:before="0" w:after="0" w:line="480" w:lineRule="auto"/>
      </w:pPr>
      <w:r>
        <w:t xml:space="preserve"/>
      </w:r>
    </w:p>
    <w:p>
      <w:pPr>
        <w:spacing w:before="0" w:after="0" w:line="480" w:lineRule="auto"/>
        <w:ind w:firstLine="720"/>
      </w:pPr>
      <w:r>
        <w:rPr>
          <w:rFonts w:ascii="Times New Roman" w:cs="Times New Roman" w:eastAsia="Times New Roman" w:hAnsi="Times New Roman"/>
          <w:sz w:val="24"/>
          <w:szCs w:val="24"/>
        </w:rPr>
        <w:t xml:space="preserve">This paper advances a theoretical framework supported by convergent empirical evidence. Several limitations constrain the strength of its causal claims and define the research agenda required to address them.</w:t>
      </w:r>
    </w:p>
    <w:p>
      <w:pPr>
        <w:spacing w:before="0" w:after="0" w:line="480" w:lineRule="auto"/>
        <w:ind w:firstLine="720"/>
      </w:pPr>
      <w:r>
        <w:rPr>
          <w:rFonts w:ascii="Times New Roman" w:cs="Times New Roman" w:eastAsia="Times New Roman" w:hAnsi="Times New Roman"/>
          <w:sz w:val="24"/>
          <w:szCs w:val="24"/>
        </w:rPr>
        <w:t xml:space="preserve">First, no controlled study has yet directly compared AI evaluation teams with and without neurodivergent members on calibration-specific outcomes such as ECE, knowledge boundary accuracy, or Goodhart Gap detection. The empirical studies cited — de Souza Santos et al. (2026) and Nascimento et al. (2026) — establish the general principle that cognitive team diversity improves AI fairness outcomes, but do not isolate neurodivergent cognition specifically, nor do they measure the calibration and metacognition dimensions most central to this paper's argument. A longitudinal controlled study comparing neurodivergent-inclusive and neurodivergent-absent evaluation teams on these specific metrics is the most important next empirical step.</w:t>
      </w:r>
    </w:p>
    <w:p>
      <w:pPr>
        <w:spacing w:before="0" w:after="0" w:line="480" w:lineRule="auto"/>
        <w:ind w:firstLine="720"/>
      </w:pPr>
      <w:r>
        <w:rPr>
          <w:rFonts w:ascii="Times New Roman" w:cs="Times New Roman" w:eastAsia="Times New Roman" w:hAnsi="Times New Roman"/>
          <w:sz w:val="24"/>
          <w:szCs w:val="24"/>
        </w:rPr>
        <w:t xml:space="preserve">Second, the Deloitte (2022) productivity finding cited here comes from a general workforce context and has not been replicated specifically in AI development teams. While the directional claim is supported by multiple convergent sources, the specific magnitude of the productivity differential should be treated as indicative rather than definitive in AI-specific applications.</w:t>
      </w:r>
    </w:p>
    <w:p>
      <w:pPr>
        <w:spacing w:before="0" w:after="0" w:line="480" w:lineRule="auto"/>
        <w:ind w:firstLine="720"/>
      </w:pPr>
      <w:r>
        <w:rPr>
          <w:rFonts w:ascii="Times New Roman" w:cs="Times New Roman" w:eastAsia="Times New Roman" w:hAnsi="Times New Roman"/>
          <w:sz w:val="24"/>
          <w:szCs w:val="24"/>
        </w:rPr>
        <w:t xml:space="preserve">Third, the primary benchmark data (Aulabaugh, 2026) is, at the time of this writing, under review for external validation. The findings are presented as hypothesis-generating primary evidence rather than replicated findings. Independent replication using the published methodology is encouraged and would substantially strengthen the empirical foundation of this paper.</w:t>
      </w:r>
    </w:p>
    <w:p>
      <w:pPr>
        <w:spacing w:before="0" w:after="0" w:line="480" w:lineRule="auto"/>
        <w:ind w:firstLine="720"/>
      </w:pPr>
      <w:r>
        <w:rPr>
          <w:rFonts w:ascii="Times New Roman" w:cs="Times New Roman" w:eastAsia="Times New Roman" w:hAnsi="Times New Roman"/>
          <w:sz w:val="24"/>
          <w:szCs w:val="24"/>
        </w:rPr>
        <w:t xml:space="preserve">Fourth, neurodivergent cognition is not monolithic. Autism, ADHD, and AuDHD profiles vary widely within and across individuals, and the cognitive strengths discussed in this paper — pattern recognition, systemizing, resistance to social consensus bias — are empirically documented tendencies, not universal characteristics. Future research should examine which specific cognitive profiles and task contexts produce the strongest benefits for AI calibration work.</w:t>
      </w:r>
    </w:p>
    <w:p>
      <w:pPr>
        <w:spacing w:before="0" w:after="0" w:line="480" w:lineRule="auto"/>
        <w:ind w:firstLine="720"/>
      </w:pPr>
      <w:r>
        <w:rPr>
          <w:rFonts w:ascii="Times New Roman" w:cs="Times New Roman" w:eastAsia="Times New Roman" w:hAnsi="Times New Roman"/>
          <w:sz w:val="24"/>
          <w:szCs w:val="24"/>
        </w:rPr>
        <w:t xml:space="preserve">Notwithstanding these limitations, the convergence of multiple independent empirical streams — neuroimaging studies of autistic pattern recognition, word embedding bias studies, Goodhart's Law research, team diversity studies in AI development, and primary benchmark evidence — provides a foundation sufficient to warrant both policy attention and a targeted empirical research program. The theoretical framework is ready to be tested. The tools to test it exist. What remains is the institutional will to include the cognitive profiles most likely to find what is currently being missed.</w:t>
      </w:r>
    </w:p>
    <w:p>
      <w:pPr>
        <w:spacing w:before="0" w:after="0" w:line="480" w:lineRule="auto"/>
      </w:pPr>
      <w:r>
        <w:t xml:space="preserve"/>
      </w:r>
    </w:p>
    <w:p>
      <w:pPr>
        <w:pStyle w:val="Heading2"/>
        <w:spacing w:before="0" w:after="0" w:line="480" w:lineRule="auto"/>
        <w:jc w:val="center"/>
      </w:pPr>
      <w:r>
        <w:rPr>
          <w:rFonts w:ascii="Times New Roman" w:cs="Times New Roman" w:eastAsia="Times New Roman" w:hAnsi="Times New Roman"/>
          <w:b/>
          <w:bCs/>
          <w:sz w:val="24"/>
          <w:szCs w:val="24"/>
        </w:rPr>
        <w:t xml:space="preserve">Recommendations</w:t>
      </w:r>
    </w:p>
    <w:p>
      <w:pPr>
        <w:spacing w:before="0" w:after="0" w:line="480" w:lineRule="auto"/>
      </w:pPr>
      <w:r>
        <w:t xml:space="preserve"/>
      </w:r>
    </w:p>
    <w:p>
      <w:pPr>
        <w:spacing w:before="0" w:after="0" w:line="480" w:lineRule="auto"/>
        <w:ind w:firstLine="720"/>
      </w:pPr>
      <w:r>
        <w:rPr>
          <w:rFonts w:ascii="Times New Roman" w:cs="Times New Roman" w:eastAsia="Times New Roman" w:hAnsi="Times New Roman"/>
          <w:sz w:val="24"/>
          <w:szCs w:val="24"/>
        </w:rPr>
        <w:t xml:space="preserve">The foregoing analysis supports four concrete recommendations for AI development organizations, research institutions, and policymakers.</w:t>
      </w:r>
    </w:p>
    <w:p>
      <w:pPr>
        <w:spacing w:before="0" w:after="0" w:line="480" w:lineRule="auto"/>
        <w:ind w:firstLine="720"/>
      </w:pPr>
      <w:r>
        <w:rPr>
          <w:rFonts w:ascii="Times New Roman" w:cs="Times New Roman" w:eastAsia="Times New Roman" w:hAnsi="Times New Roman"/>
          <w:sz w:val="24"/>
          <w:szCs w:val="24"/>
        </w:rPr>
        <w:t xml:space="preserve">First, neurodivergent cognitive profiles should be actively recruited into AI evaluation, red-teaming, and governance roles — not as a social accommodation but as a technical requirement. The empirical evidence now supports this claim at both the cognitive mechanism level (Baron-Cohen et al., 2009; Mottron et al., 2006; Crespi, 2021) and the team outcome level (de Souza Santos et al., 2026; Nascimento et al., 2026). Organizations such as SAP and Microsoft have demonstrated through structured neurodiversity hiring programs that appropriate recruitment and accommodation practices can successfully integrate neurodivergent talent into technical teams (World Economic Forum, 2025).</w:t>
      </w:r>
    </w:p>
    <w:p>
      <w:pPr>
        <w:spacing w:before="0" w:after="0" w:line="480" w:lineRule="auto"/>
        <w:ind w:firstLine="720"/>
      </w:pPr>
      <w:r>
        <w:rPr>
          <w:rFonts w:ascii="Times New Roman" w:cs="Times New Roman" w:eastAsia="Times New Roman" w:hAnsi="Times New Roman"/>
          <w:sz w:val="24"/>
          <w:szCs w:val="24"/>
        </w:rPr>
        <w:t xml:space="preserve">Second, AI evaluation benchmarks should incorporate metacognitive assessment as a core component. Accuracy on well-defined tasks is necessary but insufficient for systems deployed in consequential real-world contexts. Confidence calibration, knowledge boundary awareness, and sycophancy resistance — the three dimensions assessed in the Blind Spots in the Mirror benchmark — measure properties directly relevant to real-world trustworthiness and are currently absent from most standard evaluation frameworks (Aulabaugh, 2026).</w:t>
      </w:r>
    </w:p>
    <w:p>
      <w:pPr>
        <w:spacing w:before="0" w:after="0" w:line="480" w:lineRule="auto"/>
        <w:ind w:firstLine="720"/>
      </w:pPr>
      <w:r>
        <w:rPr>
          <w:rFonts w:ascii="Times New Roman" w:cs="Times New Roman" w:eastAsia="Times New Roman" w:hAnsi="Times New Roman"/>
          <w:sz w:val="24"/>
          <w:szCs w:val="24"/>
        </w:rPr>
        <w:t xml:space="preserve">Third, training data pipelines should be audited for neurodivergence bias using the methodology established by Brandsen et al. (2024). Given that AI language models currently associate neurodivergence-related terms with danger and negativity across eleven evaluated encoder architectures, systems trained on these embeddings will systematically underrepresent and misvalue neurodivergent perspectives — including in contexts where those perspectives are being evaluated for technical merit.</w:t>
      </w:r>
    </w:p>
    <w:p>
      <w:pPr>
        <w:spacing w:before="0" w:after="0" w:line="480" w:lineRule="auto"/>
        <w:ind w:firstLine="720"/>
      </w:pPr>
      <w:r>
        <w:rPr>
          <w:rFonts w:ascii="Times New Roman" w:cs="Times New Roman" w:eastAsia="Times New Roman" w:hAnsi="Times New Roman"/>
          <w:sz w:val="24"/>
          <w:szCs w:val="24"/>
        </w:rPr>
        <w:t xml:space="preserve">Fourth, AI governance frameworks should incorporate Goodhart's Law auditing as a standard practice, as proposed by Thomas and Uminsky (2022), with neurodivergent practitioners explicitly represented among external auditors. Their cognitive orientation — less susceptible to the social pressure to accept proxy performance as genuine performance — makes them structurally better suited to detect the proxy divergence that Goodhart auditing is designed to find.</w:t>
      </w:r>
    </w:p>
    <w:p>
      <w:pPr>
        <w:spacing w:before="0" w:after="0" w:line="480" w:lineRule="auto"/>
      </w:pPr>
      <w:r>
        <w:t xml:space="preserve"/>
      </w:r>
    </w:p>
    <w:p>
      <w:pPr>
        <w:pStyle w:val="Heading2"/>
        <w:spacing w:before="0" w:after="0" w:line="480" w:lineRule="auto"/>
        <w:jc w:val="center"/>
      </w:pPr>
      <w:r>
        <w:rPr>
          <w:rFonts w:ascii="Times New Roman" w:cs="Times New Roman" w:eastAsia="Times New Roman" w:hAnsi="Times New Roman"/>
          <w:b/>
          <w:bCs/>
          <w:sz w:val="24"/>
          <w:szCs w:val="24"/>
        </w:rPr>
        <w:t xml:space="preserve">Conclusion</w:t>
      </w:r>
    </w:p>
    <w:p>
      <w:pPr>
        <w:spacing w:before="0" w:after="0" w:line="480" w:lineRule="auto"/>
      </w:pPr>
      <w:r>
        <w:t xml:space="preserve"/>
      </w:r>
    </w:p>
    <w:p>
      <w:pPr>
        <w:spacing w:before="0" w:after="0" w:line="480" w:lineRule="auto"/>
        <w:ind w:firstLine="720"/>
      </w:pPr>
      <w:r>
        <w:rPr>
          <w:rFonts w:ascii="Times New Roman" w:cs="Times New Roman" w:eastAsia="Times New Roman" w:hAnsi="Times New Roman"/>
          <w:sz w:val="24"/>
          <w:szCs w:val="24"/>
        </w:rPr>
        <w:t xml:space="preserve">The argument advanced in this paper is not that neurodivergent cognition is universally superior to neurotypical cognition. It is that the specific failure modes most characteristic of current AI systems — proxy metric divergence, confidence miscalibration, sycophancy under social pressure, and systematic blind spots in contested domains — are precisely the failure modes that neurodivergent cognition is structurally better equipped to detect and correct, and that the empirical evidence now supports integrating that cognition into AI development as a technical requirement rather than a social nicety.</w:t>
      </w:r>
    </w:p>
    <w:p>
      <w:pPr>
        <w:spacing w:before="0" w:after="0" w:line="480" w:lineRule="auto"/>
        <w:ind w:firstLine="720"/>
      </w:pPr>
      <w:r>
        <w:rPr>
          <w:rFonts w:ascii="Times New Roman" w:cs="Times New Roman" w:eastAsia="Times New Roman" w:hAnsi="Times New Roman"/>
          <w:sz w:val="24"/>
          <w:szCs w:val="24"/>
        </w:rPr>
        <w:t xml:space="preserve">Current AI systems are built by humans with specific cognitive profiles, in institutions with specific cultural assumptions, using evaluation frameworks designed to measure what those institutions value. When the humans involved are drawn from a cognitively narrow pool, the systems they build inherit the perceptual habits and blind spots of that pool. The result is measurable in calibration scores, proxy gaps, and benchmark performance.</w:t>
      </w:r>
    </w:p>
    <w:p>
      <w:pPr>
        <w:spacing w:before="0" w:after="0" w:line="480" w:lineRule="auto"/>
        <w:ind w:firstLine="720"/>
      </w:pPr>
      <w:r>
        <w:rPr>
          <w:rFonts w:ascii="Times New Roman" w:cs="Times New Roman" w:eastAsia="Times New Roman" w:hAnsi="Times New Roman"/>
          <w:sz w:val="24"/>
          <w:szCs w:val="24"/>
        </w:rPr>
        <w:t xml:space="preserve">De Souza Santos et al. (2026) found that team diversity embeds fairness into the structural fabric of AI development. Nascimento et al. (2026) found that it improves reliability even without specialized training. Baron-Cohen et al. (2009), Mottron et al. (2006), and Crespi (2021) established what the specific cognitive mechanisms are. Brandsen et al. (2024) documented that current systems are already biased against the very profiles this paper argues are most needed. The convergent picture is clear.</w:t>
      </w:r>
    </w:p>
    <w:p>
      <w:pPr>
        <w:spacing w:before="0" w:after="0" w:line="480" w:lineRule="auto"/>
        <w:ind w:firstLine="720"/>
      </w:pPr>
      <w:r>
        <w:rPr>
          <w:rFonts w:ascii="Times New Roman" w:cs="Times New Roman" w:eastAsia="Times New Roman" w:hAnsi="Times New Roman"/>
          <w:sz w:val="24"/>
          <w:szCs w:val="24"/>
        </w:rPr>
        <w:t xml:space="preserve">The missing link in AI is not more compute, more data, or more sophisticated architectures. It is the cognitive diversity to perceive where the system is lying — and the institutional willingness to include the people most structurally equipped to see it.</w:t>
      </w:r>
    </w:p>
    <w:p>
      <w:pPr>
        <w:spacing w:before="0" w:after="0" w:line="480" w:lineRule="auto"/>
      </w:pPr>
      <w:r>
        <w:t xml:space="preserve"/>
      </w:r>
    </w:p>
    <w:p>
      <w:pPr>
        <w:pStyle w:val="Heading2"/>
        <w:spacing w:before="0" w:after="0" w:line="480" w:lineRule="auto"/>
        <w:jc w:val="center"/>
      </w:pPr>
      <w:r>
        <w:rPr>
          <w:rFonts w:ascii="Times New Roman" w:cs="Times New Roman" w:eastAsia="Times New Roman" w:hAnsi="Times New Roman"/>
          <w:b/>
          <w:bCs/>
          <w:sz w:val="24"/>
          <w:szCs w:val="24"/>
        </w:rPr>
        <w:t xml:space="preserve">References</w:t>
      </w:r>
    </w:p>
    <w:p>
      <w:pPr>
        <w:spacing w:before="0" w:after="0" w:line="480" w:lineRule="auto"/>
      </w:pPr>
      <w:r>
        <w:t xml:space="preserve"/>
      </w:r>
    </w:p>
    <w:p>
      <w:pPr>
        <w:spacing w:before="0" w:after="0" w:line="480" w:lineRule="auto"/>
        <w:ind w:left="720" w:hanging="720"/>
      </w:pPr>
      <w:r>
        <w:rPr>
          <w:rFonts w:ascii="Times New Roman" w:cs="Times New Roman" w:eastAsia="Times New Roman" w:hAnsi="Times New Roman"/>
          <w:sz w:val="24"/>
          <w:szCs w:val="24"/>
        </w:rPr>
        <w:t xml:space="preserve">Aulabaugh, G. (2026). Blind spots in the mirror: What happens when AI doesn't know what it doesn't know [Benchmark study]. PixelKraze LLC. https://pixelkraze.com</w:t>
      </w:r>
    </w:p>
    <w:p>
      <w:pPr>
        <w:spacing w:before="0" w:after="0" w:line="480" w:lineRule="auto"/>
      </w:pPr>
      <w:r>
        <w:t xml:space="preserve"/>
      </w:r>
    </w:p>
    <w:p>
      <w:pPr>
        <w:spacing w:before="0" w:after="0" w:line="480" w:lineRule="auto"/>
        <w:ind w:left="720" w:hanging="720"/>
      </w:pPr>
      <w:r>
        <w:rPr>
          <w:rFonts w:ascii="Times New Roman" w:cs="Times New Roman" w:eastAsia="Times New Roman" w:hAnsi="Times New Roman"/>
          <w:sz w:val="24"/>
          <w:szCs w:val="24"/>
        </w:rPr>
        <w:t xml:space="preserve">Baron-Cohen, S., Ashwin, E., Ashwin, C., Tavassoli, T., &amp; Chakrabarti, B. (2009). Talent in autism: Hyper-systemizing, hyper-attention to detail and sensory hypersensitivity. Philosophical Transactions of the Royal Society B: Biological Sciences, 364(1522), 1377–1383. https://doi.org/10.1098/rstb.2008.0337</w:t>
      </w:r>
    </w:p>
    <w:p>
      <w:pPr>
        <w:spacing w:before="0" w:after="0" w:line="480" w:lineRule="auto"/>
      </w:pPr>
      <w:r>
        <w:t xml:space="preserve"/>
      </w:r>
    </w:p>
    <w:p>
      <w:pPr>
        <w:spacing w:before="0" w:after="0" w:line="480" w:lineRule="auto"/>
        <w:ind w:left="720" w:hanging="720"/>
      </w:pPr>
      <w:r>
        <w:rPr>
          <w:rFonts w:ascii="Times New Roman" w:cs="Times New Roman" w:eastAsia="Times New Roman" w:hAnsi="Times New Roman"/>
          <w:sz w:val="24"/>
          <w:szCs w:val="24"/>
        </w:rPr>
        <w:t xml:space="preserve">Brandsen, A., Grapel, J., &amp; Dawson, G. (2024). Prevalence of bias against neurodivergence-related terms in artificial intelligence language models. Autism Research, 17(1). https://doi.org/10.1002/aur.3083</w:t>
      </w:r>
    </w:p>
    <w:p>
      <w:pPr>
        <w:spacing w:before="0" w:after="0" w:line="480" w:lineRule="auto"/>
      </w:pPr>
      <w:r>
        <w:t xml:space="preserve"/>
      </w:r>
    </w:p>
    <w:p>
      <w:pPr>
        <w:spacing w:before="0" w:after="0" w:line="480" w:lineRule="auto"/>
        <w:ind w:left="720" w:hanging="720"/>
      </w:pPr>
      <w:r>
        <w:rPr>
          <w:rFonts w:ascii="Times New Roman" w:cs="Times New Roman" w:eastAsia="Times New Roman" w:hAnsi="Times New Roman"/>
          <w:sz w:val="24"/>
          <w:szCs w:val="24"/>
        </w:rPr>
        <w:t xml:space="preserve">Creative Spirit. (2024, October 1). Addressing A.I. bias: Countering the anti-neurodiversity issue. https://www.creativespirit-us.org/a-i-s-anti-neurodiversity-problem-how-did-it-start-and-how-can-we-counteract-it/ (Retrieved March 23, 2026)</w:t>
      </w:r>
    </w:p>
    <w:p>
      <w:pPr>
        <w:spacing w:before="0" w:after="0" w:line="480" w:lineRule="auto"/>
      </w:pPr>
      <w:r>
        <w:t xml:space="preserve"/>
      </w:r>
    </w:p>
    <w:p>
      <w:pPr>
        <w:spacing w:before="0" w:after="0" w:line="480" w:lineRule="auto"/>
        <w:ind w:left="720" w:hanging="720"/>
      </w:pPr>
      <w:r>
        <w:rPr>
          <w:rFonts w:ascii="Times New Roman" w:cs="Times New Roman" w:eastAsia="Times New Roman" w:hAnsi="Times New Roman"/>
          <w:sz w:val="24"/>
          <w:szCs w:val="24"/>
        </w:rPr>
        <w:t xml:space="preserve">Crespi, B. (2021). Pattern unifies autism. Frontiers in Psychiatry, 12, Article 621659. https://doi.org/10.3389/fpsyt.2021.621659</w:t>
      </w:r>
    </w:p>
    <w:p>
      <w:pPr>
        <w:spacing w:before="0" w:after="0" w:line="480" w:lineRule="auto"/>
      </w:pPr>
      <w:r>
        <w:t xml:space="preserve"/>
      </w:r>
    </w:p>
    <w:p>
      <w:pPr>
        <w:spacing w:before="0" w:after="0" w:line="480" w:lineRule="auto"/>
        <w:ind w:left="720" w:hanging="720"/>
      </w:pPr>
      <w:r>
        <w:rPr>
          <w:rFonts w:ascii="Times New Roman" w:cs="Times New Roman" w:eastAsia="Times New Roman" w:hAnsi="Times New Roman"/>
          <w:sz w:val="24"/>
          <w:szCs w:val="24"/>
        </w:rPr>
        <w:t xml:space="preserve">Deloitte. (2022). Unleashing the power of inclusion: Attracting and engaging the evolving workforce. Deloitte Insights. (As cited in World Economic Forum, 2025)</w:t>
      </w:r>
    </w:p>
    <w:p>
      <w:pPr>
        <w:spacing w:before="0" w:after="0" w:line="480" w:lineRule="auto"/>
      </w:pPr>
      <w:r>
        <w:t xml:space="preserve"/>
      </w:r>
    </w:p>
    <w:p>
      <w:pPr>
        <w:spacing w:before="0" w:after="0" w:line="480" w:lineRule="auto"/>
        <w:ind w:left="720" w:hanging="720"/>
      </w:pPr>
      <w:r>
        <w:rPr>
          <w:rFonts w:ascii="Times New Roman" w:cs="Times New Roman" w:eastAsia="Times New Roman" w:hAnsi="Times New Roman"/>
          <w:sz w:val="24"/>
          <w:szCs w:val="24"/>
        </w:rPr>
        <w:t xml:space="preserve">de Souza Santos, R., Nascimento, A., &amp; colleagues. (2026). The role of team diversity in AI systems development. arXiv. https://arxiv.org/abs/2603.07749 (Retrieved March 23, 2026)</w:t>
      </w:r>
    </w:p>
    <w:p>
      <w:pPr>
        <w:spacing w:before="0" w:after="0" w:line="480" w:lineRule="auto"/>
      </w:pPr>
      <w:r>
        <w:t xml:space="preserve"/>
      </w:r>
    </w:p>
    <w:p>
      <w:pPr>
        <w:spacing w:before="0" w:after="0" w:line="480" w:lineRule="auto"/>
        <w:ind w:left="720" w:hanging="720"/>
      </w:pPr>
      <w:r>
        <w:rPr>
          <w:rFonts w:ascii="Times New Roman" w:cs="Times New Roman" w:eastAsia="Times New Roman" w:hAnsi="Times New Roman"/>
          <w:sz w:val="24"/>
          <w:szCs w:val="24"/>
        </w:rPr>
        <w:t xml:space="preserve">Hutson, J. (2024). Embracing the irreplaceable: The role of neurodiversity in cultivating human-AI symbiosis in education. International Journal of Education and Digital Inquiry, 2(1). https://digitalcommons.lindenwood.edu/ijedie (Retrieved March 23, 2026)</w:t>
      </w:r>
    </w:p>
    <w:p>
      <w:pPr>
        <w:spacing w:before="0" w:after="0" w:line="480" w:lineRule="auto"/>
      </w:pPr>
      <w:r>
        <w:t xml:space="preserve"/>
      </w:r>
    </w:p>
    <w:p>
      <w:pPr>
        <w:spacing w:before="0" w:after="0" w:line="480" w:lineRule="auto"/>
        <w:ind w:left="720" w:hanging="720"/>
      </w:pPr>
      <w:r>
        <w:rPr>
          <w:rFonts w:ascii="Times New Roman" w:cs="Times New Roman" w:eastAsia="Times New Roman" w:hAnsi="Times New Roman"/>
          <w:sz w:val="24"/>
          <w:szCs w:val="24"/>
        </w:rPr>
        <w:t xml:space="preserve">Key Autism Services. (2025). Are autistic people better at logical thinking? https://www.keyautismservices.com/blog/are-autistic-people-better-at-logical-thinking (Retrieved March 23, 2026)</w:t>
      </w:r>
    </w:p>
    <w:p>
      <w:pPr>
        <w:spacing w:before="0" w:after="0" w:line="480" w:lineRule="auto"/>
      </w:pPr>
      <w:r>
        <w:t xml:space="preserve"/>
      </w:r>
    </w:p>
    <w:p>
      <w:pPr>
        <w:spacing w:before="0" w:after="0" w:line="480" w:lineRule="auto"/>
        <w:ind w:left="720" w:hanging="720"/>
      </w:pPr>
      <w:r>
        <w:rPr>
          <w:rFonts w:ascii="Times New Roman" w:cs="Times New Roman" w:eastAsia="Times New Roman" w:hAnsi="Times New Roman"/>
          <w:sz w:val="24"/>
          <w:szCs w:val="24"/>
        </w:rPr>
        <w:t xml:space="preserve">Manheim, D., &amp; Garrabrant, S. (2019). Categorizing variants of Goodhart's law. arXiv. https://arxiv.org/abs/1803.04585</w:t>
      </w:r>
    </w:p>
    <w:p>
      <w:pPr>
        <w:spacing w:before="0" w:after="0" w:line="480" w:lineRule="auto"/>
      </w:pPr>
      <w:r>
        <w:t xml:space="preserve"/>
      </w:r>
    </w:p>
    <w:p>
      <w:pPr>
        <w:spacing w:before="0" w:after="0" w:line="480" w:lineRule="auto"/>
        <w:ind w:left="720" w:hanging="720"/>
      </w:pPr>
      <w:r>
        <w:rPr>
          <w:rFonts w:ascii="Times New Roman" w:cs="Times New Roman" w:eastAsia="Times New Roman" w:hAnsi="Times New Roman"/>
          <w:sz w:val="24"/>
          <w:szCs w:val="24"/>
        </w:rPr>
        <w:t xml:space="preserve">Mottron, L., Dawson, M., Soulieres, I., Hubert, B., &amp; Burack, J. (2006). Enhanced perceptual functioning in autism: An update, and eight principles of autistic perception. Journal of Autism and Developmental Disorders, 36(1), 27–43. https://doi.org/10.1007/s10803-005-0040-7</w:t>
      </w:r>
    </w:p>
    <w:p>
      <w:pPr>
        <w:spacing w:before="0" w:after="0" w:line="480" w:lineRule="auto"/>
      </w:pPr>
      <w:r>
        <w:t xml:space="preserve"/>
      </w:r>
    </w:p>
    <w:p>
      <w:pPr>
        <w:spacing w:before="0" w:after="0" w:line="480" w:lineRule="auto"/>
        <w:ind w:left="720" w:hanging="720"/>
      </w:pPr>
      <w:r>
        <w:rPr>
          <w:rFonts w:ascii="Times New Roman" w:cs="Times New Roman" w:eastAsia="Times New Roman" w:hAnsi="Times New Roman"/>
          <w:sz w:val="24"/>
          <w:szCs w:val="24"/>
        </w:rPr>
        <w:t xml:space="preserve">Nascimento, L., &amp; colleagues. (2026). Team diversity promotes software fairness: An experiment on fairness-aware requirements prioritization. arXiv. https://arxiv.org/abs/2603.12406 (Retrieved March 23, 2026)</w:t>
      </w:r>
    </w:p>
    <w:p>
      <w:pPr>
        <w:spacing w:before="0" w:after="0" w:line="480" w:lineRule="auto"/>
      </w:pPr>
      <w:r>
        <w:t xml:space="preserve"/>
      </w:r>
    </w:p>
    <w:p>
      <w:pPr>
        <w:spacing w:before="0" w:after="0" w:line="480" w:lineRule="auto"/>
        <w:ind w:left="720" w:hanging="720"/>
      </w:pPr>
      <w:r>
        <w:rPr>
          <w:rFonts w:ascii="Times New Roman" w:cs="Times New Roman" w:eastAsia="Times New Roman" w:hAnsi="Times New Roman"/>
          <w:sz w:val="24"/>
          <w:szCs w:val="24"/>
        </w:rPr>
        <w:t xml:space="preserve">Rodríguez-Pérez, G., &amp; colleagues. (2019). A systematic mapping study of diversity in software engineering: A perspective from agile methodologies. IEEE Xplore. https://doi.org/10.1109/ICSE-SEIS.2019.00014</w:t>
      </w:r>
    </w:p>
    <w:p>
      <w:pPr>
        <w:spacing w:before="0" w:after="0" w:line="480" w:lineRule="auto"/>
      </w:pPr>
      <w:r>
        <w:t xml:space="preserve"/>
      </w:r>
    </w:p>
    <w:p>
      <w:pPr>
        <w:spacing w:before="0" w:after="0" w:line="480" w:lineRule="auto"/>
        <w:ind w:left="720" w:hanging="720"/>
      </w:pPr>
      <w:r>
        <w:rPr>
          <w:rFonts w:ascii="Times New Roman" w:cs="Times New Roman" w:eastAsia="Times New Roman" w:hAnsi="Times New Roman"/>
          <w:sz w:val="24"/>
          <w:szCs w:val="24"/>
        </w:rPr>
        <w:t xml:space="preserve">Thomas, R. L., &amp; Uminsky, D. (2022). Reliance on metrics is a fundamental challenge for AI. Patterns, 3(5), Article 100476. https://doi.org/10.1016/j.patter.2022.100476</w:t>
      </w:r>
    </w:p>
    <w:p>
      <w:pPr>
        <w:spacing w:before="0" w:after="0" w:line="480" w:lineRule="auto"/>
      </w:pPr>
      <w:r>
        <w:t xml:space="preserve"/>
      </w:r>
    </w:p>
    <w:p>
      <w:pPr>
        <w:spacing w:before="0" w:after="0" w:line="480" w:lineRule="auto"/>
        <w:ind w:left="720" w:hanging="720"/>
      </w:pPr>
      <w:r>
        <w:rPr>
          <w:rFonts w:ascii="Times New Roman" w:cs="Times New Roman" w:eastAsia="Times New Roman" w:hAnsi="Times New Roman"/>
          <w:sz w:val="24"/>
          <w:szCs w:val="24"/>
        </w:rPr>
        <w:t xml:space="preserve">World Economic Forum. (2025, July). How neurodivergent minds can help humanize AI governance. https://www.weforum.org/stories/2025/07/how-neurodivergent-minds-can-humanize-ai-governance/ (Retrieved March 23, 2026)</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Times New Roman" w:cs="Times New Roman" w:eastAsia="Times New Roman" w:hAnsi="Times New Roman"/>
        <w:sz w:val="24"/>
        <w:szCs w:val="24"/>
      </w:rPr>
      <w:t xml:space="preserve">THE MISSING LINK: NEURODIVERSITY IN AI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pPr>
      <w:spacing w:before="0" w:after="0" w:line="480" w:lineRule="auto"/>
      <w:jc w:val="center"/>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pPr>
      <w:spacing w:before="0" w:after="0" w:line="480" w:lineRule="auto"/>
      <w:ind w:firstLine="72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2026-03-23T01:48:50.177Z</dcterms:created>
  <dcterms:modified xsi:type="dcterms:W3CDTF">2026-03-23T01:48:50.178Z</dcterms:modified>
</cp:coreProperties>
</file>

<file path=docProps/custom.xml><?xml version="1.0" encoding="utf-8"?>
<Properties xmlns="http://schemas.openxmlformats.org/officeDocument/2006/custom-properties" xmlns:vt="http://schemas.openxmlformats.org/officeDocument/2006/docPropsVTypes"/>
</file>