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ind/>
        <w:jc w:val="center"/>
      </w:pPr>
      <w:r>
        <w:rPr>
          <w:rFonts w:ascii="Times New Roman" w:cs="Times New Roman" w:eastAsia="Times New Roman" w:hAnsi="Times New Roman"/>
          <w:sz w:val="24"/>
          <w:szCs w:val="24"/>
        </w:rPr>
        <w:t xml:space="preserve">Robustness and Mechanism Audits for:</w:t>
      </w:r>
    </w:p>
    <w:p>
      <w:pPr>
        <w:spacing w:line="480" w:before="0" w:after="0"/>
        <w:ind/>
        <w:jc w:val="center"/>
      </w:pPr>
      <w:r>
        <w:rPr>
          <w:rFonts w:ascii="Times New Roman" w:cs="Times New Roman" w:eastAsia="Times New Roman" w:hAnsi="Times New Roman"/>
          <w:b/>
          <w:bCs/>
          <w:sz w:val="24"/>
          <w:szCs w:val="24"/>
        </w:rPr>
        <w:t xml:space="preserve">When KPIs Lie — Addendum A</w:t>
      </w:r>
    </w:p>
    <w:p>
      <w:pPr>
        <w:spacing w:line="480" w:before="0" w:after="0"/>
      </w:pPr>
      <w:r>
        <w:rPr>
          <w:rFonts w:ascii="Times New Roman" w:cs="Times New Roman" w:eastAsia="Times New Roman" w:hAnsi="Times New Roman"/>
          <w:sz w:val="24"/>
          <w:szCs w:val="24"/>
        </w:rPr>
        <w:t xml:space="preserve"/>
      </w:r>
    </w:p>
    <w:p>
      <w:pPr>
        <w:spacing w:line="480" w:before="0" w:after="0"/>
        <w:ind/>
        <w:jc w:val="center"/>
      </w:pPr>
      <w:r>
        <w:rPr>
          <w:rFonts w:ascii="Times New Roman" w:cs="Times New Roman" w:eastAsia="Times New Roman" w:hAnsi="Times New Roman"/>
          <w:sz w:val="24"/>
          <w:szCs w:val="24"/>
        </w:rPr>
        <w:t xml:space="preserve">NovaWireless KPI Drift Observatory</w:t>
      </w:r>
    </w:p>
    <w:p>
      <w:pPr>
        <w:spacing w:line="480" w:before="0" w:after="0"/>
        <w:ind/>
        <w:jc w:val="center"/>
      </w:pPr>
      <w:r>
        <w:rPr>
          <w:rFonts w:ascii="Times New Roman" w:cs="Times New Roman" w:eastAsia="Times New Roman" w:hAnsi="Times New Roman"/>
          <w:sz w:val="24"/>
          <w:szCs w:val="24"/>
        </w:rPr>
        <w:t xml:space="preserve">March 2026</w:t>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ind/>
        <w:jc w:val="center"/>
      </w:pPr>
      <w:r>
        <w:rPr>
          <w:rFonts w:ascii="Times New Roman" w:cs="Times New Roman" w:eastAsia="Times New Roman" w:hAnsi="Times New Roman"/>
          <w:b/>
          <w:bCs/>
          <w:sz w:val="24"/>
          <w:szCs w:val="24"/>
        </w:rPr>
        <w:t xml:space="preserve">Overview</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addendum reports three robustness tests designed to assess the generalizability of the primary paper's findings, followed by a mechanism audit of the Terminal Exit Rate (TER) neutrality result. The mechanism audit addresses a specific scientific concern: whether the observed TER neutrality is a genuine measurement finding or an artifact of the simulation's data generation architecture. Each test is reported with its result, its statistical limitations, and an explicit interpretation of what it does and does not establish.</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Robustness Test 1: Lag Prediction</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Design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primary analysis is cross-sectional: it asks whether the resolution flag is associated with churn within the same observation window. A stronger test asks whether proxy resolution in period N predicts durable failure in period N+1 — the temporal structure that would establish the KPI as a leading indicator of future harm rather than merely a concurrent artifact.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full 12-month dataset required for month-level lag analysis was not available for this addendum; only January 2025 was uploaded. Week-level aggregation was used as a within-month substitute. Five calendar weeks are present in January 2025, yielding four week-to-week pairs. This is acknowledged to be severely underpowered for significance testing and the results should be treated as directional only.</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Results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A1 presents the weekly aggregates.</w:t>
      </w:r>
    </w:p>
    <w:p>
      <w:pPr>
        <w:spacing w:line="480" w:before="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560"/>
        <w:gridCol w:w="1560"/>
        <w:gridCol w:w="1716"/>
        <w:gridCol w:w="1716"/>
        <w:gridCol w:w="1872"/>
      </w:tblGrid>
      <w:tr>
        <w:tc>
          <w:tcPr>
            <w:tcW w:type="dxa" w:w="936"/>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Week</w:t>
            </w:r>
          </w:p>
        </w:tc>
        <w:tc>
          <w:tcPr>
            <w:tcW w:type="dxa" w:w="156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Proxy FCR</w:t>
            </w:r>
          </w:p>
        </w:tc>
        <w:tc>
          <w:tcPr>
            <w:tcW w:type="dxa" w:w="156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True FCR</w:t>
            </w:r>
          </w:p>
        </w:tc>
        <w:tc>
          <w:tcPr>
            <w:tcW w:type="dxa" w:w="1716"/>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Churn Rate</w:t>
            </w:r>
          </w:p>
        </w:tc>
        <w:tc>
          <w:tcPr>
            <w:tcW w:type="dxa" w:w="1716"/>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Repeat 30d</w:t>
            </w:r>
          </w:p>
        </w:tc>
        <w:tc>
          <w:tcPr>
            <w:tcW w:type="dxa" w:w="1872"/>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 Calls</w:t>
            </w:r>
          </w:p>
        </w:tc>
      </w:tr>
      <w:t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89.0%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50.0%</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27.9%</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18.6%</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1,158</w:t>
            </w:r>
          </w:p>
        </w:tc>
      </w:tr>
      <w:t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88.2%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44.3%</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27.4%</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21.2%</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1,527</w:t>
            </w:r>
          </w:p>
        </w:tc>
      </w:tr>
      <w:t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3</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89.7%</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46.8%</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25.6%</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19.0%</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1,565</w:t>
            </w:r>
          </w:p>
        </w:tc>
      </w:tr>
      <w:t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89.9%</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48.4%</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29.8%</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19.5%</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1,687</w:t>
            </w:r>
          </w:p>
        </w:tc>
      </w:tr>
      <w:tr>
        <w:tc>
          <w:tcPr>
            <w:tcW w:type="dxa" w:w="93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90.0%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47.2%</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27.2%</w:t>
            </w:r>
          </w:p>
        </w:tc>
        <w:tc>
          <w:tcPr>
            <w:tcW w:type="dxa" w:w="171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18.0%</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907</w:t>
            </w:r>
          </w:p>
        </w:tc>
      </w:tr>
    </w:tbl>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A1. Weekly performance aggregates, January 2025.</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A2 presents the lag correlations across the four week-to-week pairs.</w:t>
      </w:r>
    </w:p>
    <w:p>
      <w:pPr>
        <w:spacing w:line="480" w:before="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Predictor (Week N)</w:t>
            </w:r>
          </w:p>
        </w:tc>
        <w:tc>
          <w:tcPr>
            <w:tcW w:type="dxa" w:w="1872"/>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Outcome (Week N+1)</w:t>
            </w:r>
          </w:p>
        </w:tc>
        <w:tc>
          <w:tcPr>
            <w:tcW w:type="dxa" w:w="1872"/>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w:t>
            </w:r>
          </w:p>
        </w:tc>
        <w:tc>
          <w:tcPr>
            <w:tcW w:type="dxa" w:w="1872"/>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Proxy FCR</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Churn Rate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+0.74</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.26</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True FCR</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Churn Rate</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+0.31</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.69</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Proxy FCR</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Repeat Contact (30d)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−0.28</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.72</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True FCR</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Repeat Contact (30d)</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+0.43</w:t>
            </w:r>
          </w:p>
        </w:tc>
        <w:tc>
          <w:tcPr>
            <w:tcW w:type="dxa" w:w="1872"/>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.57</w:t>
            </w:r>
          </w:p>
        </w:tc>
      </w:tr>
    </w:tbl>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A2. Week N → Week N+1 lag correlations. n = 4 pairs.</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Interpretation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No results reach significance given n = 4 pairs. These findings are therefore directional observations only and cannot be used to support inferential claims in the primary paper.</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directional pattern is, however, consistent with the paper's theoretical framework. The proxy FCR lag correlation with next-week churn is positive (r = +0.74): weeks with higher proxy resolution rates show higher churn in the following week. This is the opposite of what the KPI is designed to produce. If the KPI were functioning as a genuine leading indicator of retention, the correlation should be strongly negative. The positive direction, while not significant, is consistent with a gaming dynamic: high-proxy-FCR weeks are weeks in which more calls are being incorrectly marked resolved, producing elevated churn in the subsequent window.</w:t>
      </w:r>
    </w:p>
    <w:p>
      <w:pPr>
        <w:spacing w:line="480" w:before="0" w:after="0"/>
      </w:pPr>
      <w:r>
        <w:rPr>
          <w:rFonts w:ascii="Times New Roman" w:cs="Times New Roman" w:eastAsia="Times New Roman" w:hAnsi="Times New Roman"/>
          <w:sz w:val="24"/>
          <w:szCs w:val="24"/>
        </w:rPr>
        <w:t xml:space="preserve"/>
      </w:r>
    </w:p>
    <w:p>
      <w:pPr>
        <w:spacing w:line="480" w:before="0" w:after="0"/>
        <w:jc w:val="both"/>
      </w:pPr>
      <w:r>
        <w:rPr>
          <w:rFonts w:ascii="Times New Roman" w:cs="Times New Roman" w:eastAsia="Times New Roman" w:hAnsi="Times New Roman"/>
          <w:b/>
          <w:bCs/>
          <w:sz w:val="24"/>
          <w:szCs w:val="24"/>
        </w:rPr>
        <w:t xml:space="preserve">Limitation and required replication: </w:t>
      </w:r>
      <w:r>
        <w:rPr>
          <w:rFonts w:ascii="Times New Roman" w:cs="Times New Roman" w:eastAsia="Times New Roman" w:hAnsi="Times New Roman"/>
          <w:sz w:val="24"/>
          <w:szCs w:val="24"/>
        </w:rPr>
        <w:t xml:space="preserve">This test requires month-level data across 12 months to be scientifically valid. The week-level substitute reported here is illustrative only. The full dataset available in the repository should be used to run the properly specified lag analysis. Until that analysis is complete with adequate statistical power, the lag test should be described as a directional hypothesis, not a confirmed finding.</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Robustness Test 2: Within-Rep Slope</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Design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primary analysis is call-level. A stronger test operates at the representative level: do reps with higher proxy FCR scores — that is, reps who mark more calls as resolved — show worse durable outcomes in their customer portfolios? This test separates call-level noise from rep-level behavioral patterns. A rep who consistently games the resolution flag should show both high proxy FCR and elevated downstream failure rates in the customers they interact with.</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Rep-level aggregates were computed for all 250 agents, filtered to those with a minimum of 10 calls (n = 250 qualifying). Variables included proxy FCR, true FCR, proxy-true gap, average customer churn rate, 30-day repeat contact rate, and mean gaming propensity score.</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Results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A3 presents the rep-level correlations.</w:t>
      </w:r>
    </w:p>
    <w:p>
      <w:pPr>
        <w:spacing w:line="480" w:before="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1638"/>
        <w:gridCol w:w="1638"/>
      </w:tblGrid>
      <w:tr>
        <w:tc>
          <w:tcPr>
            <w:tcW w:type="dxa" w:w="3744"/>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Predictor</w:t>
            </w:r>
          </w:p>
        </w:tc>
        <w:tc>
          <w:tcPr>
            <w:tcW w:type="dxa" w:w="234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Outcome</w:t>
            </w:r>
          </w:p>
        </w:tc>
        <w:tc>
          <w:tcPr>
            <w:tcW w:type="dxa" w:w="1638"/>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w:t>
            </w:r>
          </w:p>
        </w:tc>
        <w:tc>
          <w:tcPr>
            <w:tcW w:type="dxa" w:w="1638"/>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Proxy FCR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Churn Rate</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+0.013</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.832</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True FCR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Churn Rate</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−0.033</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.608</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Proxy–True Gap</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Churn Rate</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+0.040</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.533</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Proxy FCR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Repeat Contact (30d)</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−0.180</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.004*</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Proxy–True Gap</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Repeat Contact (30d)</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+0.007</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.909</w:t>
            </w:r>
          </w:p>
        </w:tc>
      </w:tr>
      <w:tr>
        <w:tc>
          <w:tcPr>
            <w:tcW w:type="dxa" w:w="3744"/>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Gaming Propensity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Proxy–True Gap</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+0.461</w:t>
            </w:r>
          </w:p>
        </w:tc>
        <w:tc>
          <w:tcPr>
            <w:tcW w:type="dxa" w:w="1638"/>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&lt; .001**</w:t>
            </w:r>
          </w:p>
        </w:tc>
      </w:tr>
    </w:tbl>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A3. Rep-level correlations. n = 250. * p &lt; .01  ** p &lt; .001</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Interpretation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null results for proxy FCR and the proxy-true gap on churn rate (both p &gt; .5) are consistent with the call-level logistic regression: churn is diffuse, not captured by any single predictor at this level of analysis.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significant negative correlation between proxy FCR and repeat contact rate (r = −0.18, p = .004) requires careful interpretation. The naive reading would be that high-proxy-FCR reps produce fewer repeat contacts — a positive result for the KPI. The correct reading is the opposite. Reps who mark more calls as resolved also mark repeat contacts as resolved, so those calls do not appear as unresolved in the repeat contact metric. The resolution flag is suppressing the repeat contact signal for the same reps who inflate their FCR scores. The KPI and the outcome metric share the same measurement contamination source. This is not a sign of effective resolution; it is a sign of systematic label corruption across multiple metrics simultaneously.</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strongest finding in this test is the gaming propensity to proxy-true gap correlation (r = +0.461, p &lt; .001). Reps with higher gaming propensity scores show larger gaps between their proxy FCR and their true FCR. This is the cleanest evidence in the dataset that the measurement gap is not random measurement error — it is driven by agent-level behavioral patterns. This finding survives at the rep level, is highly significant, and is interpretable as a direct behavioral mechanism for the Goodhart effect described in the primary paper.</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Robustness Test 3: Scenario Holdout</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Design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A potential threat to the TER neutrality finding is that it is driven by one or two specific scenario types whose properties dominate the aggregate result. If removing a single scenario substantially changes the TER-base-churn delta, the finding would be fragile. The holdout test removes each scenario in turn and recomputes the TER delta on the remaining records.</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Results</w:t>
      </w:r>
    </w:p>
    <w:p>
      <w:pPr>
        <w:spacing w:line="480" w:before="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500"/>
        <w:gridCol w:w="1500"/>
        <w:gridCol w:w="1500"/>
        <w:gridCol w:w="1350"/>
      </w:tblGrid>
      <w:tr>
        <w:tc>
          <w:tcPr>
            <w:tcW w:type="dxa" w:w="351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Held-Out Scenario</w:t>
            </w:r>
          </w:p>
        </w:tc>
        <w:tc>
          <w:tcPr>
            <w:tcW w:type="dxa" w:w="150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Base Churn</w:t>
            </w:r>
          </w:p>
        </w:tc>
        <w:tc>
          <w:tcPr>
            <w:tcW w:type="dxa" w:w="150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TER</w:t>
            </w:r>
          </w:p>
        </w:tc>
        <w:tc>
          <w:tcPr>
            <w:tcW w:type="dxa" w:w="150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Delta</w:t>
            </w:r>
          </w:p>
        </w:tc>
        <w:tc>
          <w:tcPr>
            <w:tcW w:type="dxa" w:w="135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 Remaining</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(None — baseline)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27.63%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27.61%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−0.02pp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6,844</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activation_clean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27.72%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27.69%</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−0.04pp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6,414</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activation_failed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27.70%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27.66%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−0.04pp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6,519</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clean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27.06%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26.99%</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−0.07pp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4,365</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fraud_care_promo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27.53%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27.52%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−0.01pp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6,582</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fraud_hic_exchange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27.54%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27.51%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−0.03pp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6,551</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fraud_line_add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28.07%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28.09%</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+0.02pp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6,317</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fraud_store_promo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27.27%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27.24%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−0.03pp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6,275</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gamed_metric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28.05%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28.07%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+0.02pp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6,007</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line_add_legitimate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27.74%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27.72%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−0.01pp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6,623</w:t>
            </w:r>
          </w:p>
        </w:tc>
      </w:tr>
      <w:tr>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unresolvable_clean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27.46%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27.42%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−0.04pp</w:t>
            </w:r>
          </w:p>
        </w:tc>
        <w:tc>
          <w:tcPr>
            <w:tcW w:type="dxa" w:w="13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5,943</w:t>
            </w:r>
          </w:p>
        </w:tc>
      </w:tr>
    </w:tbl>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A4. TER delta under scenario holdout. Delta = TER minus base churn rate.</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Interpretation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TER neutrality is fully robust to scenario holdout. Across all ten holdout conditions, the maximum delta in either direction is 0.07 percentage points (removing the clean scenario). In every case, the TER remains within a fraction of a percentage point of the base churn rate. No single scenario is driving the finding. The informational neutrality of the proxy resolution flag with respect to churn is a property of the entire measurement system, not of any specific call type.</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Mechanism Audit: Is TER Neutrality Structural in the Simulation?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section addresses the most important scientific concern raised in the review of the primary paper. The concern is stated precisely: if churn probability is generated as a function of scenario membership in the simulation, and resolution_flag is generated independently of that scenario's churn parameter, then statistical neutrality between TER and base churn will appear by construction, regardless of any Goodhart dynamic. This would not invalidate the finding, but it would mean the mechanism is architectural rather than emergent.</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Three Tests of the Mechanism Question</w:t>
      </w:r>
    </w:p>
    <w:p>
      <w:pPr>
        <w:spacing w:line="480" w:before="0" w:after="0"/>
      </w:pPr>
      <w:r>
        <w:rPr>
          <w:rFonts w:ascii="Times New Roman" w:cs="Times New Roman" w:eastAsia="Times New Roman" w:hAnsi="Times New Roman"/>
          <w:sz w:val="24"/>
          <w:szCs w:val="24"/>
        </w:rPr>
        <w:t xml:space="preserve"/>
      </w:r>
    </w:p>
    <w:p>
      <w:pPr>
        <w:pStyle w:val="Heading3"/>
        <w:spacing w:line="480" w:before="0" w:after="0"/>
        <w:jc w:val="left"/>
      </w:pPr>
      <w:r>
        <w:rPr>
          <w:rFonts w:ascii="Times New Roman" w:cs="Times New Roman" w:eastAsia="Times New Roman" w:hAnsi="Times New Roman"/>
          <w:i/>
          <w:iCs/>
          <w:sz w:val="24"/>
          <w:szCs w:val="24"/>
        </w:rPr>
        <w:t xml:space="preserve">Test 1: Within-Scenario Churn Deltas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If churn is purely scenario-determined and resolution_flag is scenario-independent, then within each scenario, resolved and unresolved calls should show identical churn rates. Table A5 presents within-scenario churn deltas (resolved minus unresolved) for scenarios with at least 30 calls in each resolution group.</w:t>
      </w:r>
    </w:p>
    <w:p>
      <w:pPr>
        <w:spacing w:line="480" w:before="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Scenario</w:t>
            </w:r>
          </w:p>
        </w:tc>
        <w:tc>
          <w:tcPr>
            <w:tcW w:type="dxa" w:w="120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Churn | Resolved</w:t>
            </w:r>
          </w:p>
        </w:tc>
        <w:tc>
          <w:tcPr>
            <w:tcW w:type="dxa" w:w="120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Churn | Not Resolved</w:t>
            </w:r>
          </w:p>
        </w:tc>
        <w:tc>
          <w:tcPr>
            <w:tcW w:type="dxa" w:w="120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Delta</w:t>
            </w:r>
          </w:p>
        </w:tc>
        <w:tc>
          <w:tcPr>
            <w:tcW w:type="dxa" w:w="120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p-value</w:t>
            </w:r>
          </w:p>
        </w:tc>
        <w:tc>
          <w:tcPr>
            <w:tcW w:type="dxa" w:w="156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 (res / not)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activation_failed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25.9%</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26.5%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−0.006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.898 ns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174 / 151</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clean</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28.5%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34.1%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−0.056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.420 ns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2,435 / 44</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fraud_hic_exchange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29.8%</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28.6%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+0.012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.908 ns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272 / 21</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fraud_line_add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21.9%</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26.8%</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−0.049</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.405 ns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471 / 56</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fraud_store_promo</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31.8%</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30.3%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+0.016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.783 ns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493 / 76</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unresolvable_clean</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29.5%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27.5%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+0.020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.514 ns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559 / 342</w:t>
            </w:r>
          </w:p>
        </w:tc>
      </w:tr>
    </w:tbl>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A5. Within-scenario churn delta by resolution status. ns = not significant (α = .05).</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All within-scenario deltas are non-significant. The deltas are small, mixed in sign, and show no consistent pattern. This is consistent with the hypothesis that churn and resolution_flag are generated independently in the simulation.</w:t>
      </w:r>
    </w:p>
    <w:p>
      <w:pPr>
        <w:spacing w:line="480" w:before="0" w:after="0"/>
      </w:pPr>
      <w:r>
        <w:rPr>
          <w:rFonts w:ascii="Times New Roman" w:cs="Times New Roman" w:eastAsia="Times New Roman" w:hAnsi="Times New Roman"/>
          <w:sz w:val="24"/>
          <w:szCs w:val="24"/>
        </w:rPr>
        <w:t xml:space="preserve"/>
      </w:r>
    </w:p>
    <w:p>
      <w:pPr>
        <w:pStyle w:val="Heading3"/>
        <w:spacing w:line="480" w:before="0" w:after="0"/>
        <w:jc w:val="left"/>
      </w:pPr>
      <w:r>
        <w:rPr>
          <w:rFonts w:ascii="Times New Roman" w:cs="Times New Roman" w:eastAsia="Times New Roman" w:hAnsi="Times New Roman"/>
          <w:i/>
          <w:iCs/>
          <w:sz w:val="24"/>
          <w:szCs w:val="24"/>
        </w:rPr>
        <w:t xml:space="preserve">Test 2: Variance Decomposition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To assess the degree to which churn is scenario-determined versus residual, ordinary least squares models were fit predicting churn from scenario membership alone, and from resolution_flag alone. Results are presented in Table A6.</w:t>
      </w:r>
    </w:p>
    <w:p>
      <w:pPr>
        <w:spacing w:line="480" w:before="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Predictor</w:t>
            </w:r>
          </w:p>
        </w:tc>
        <w:tc>
          <w:tcPr>
            <w:tcW w:type="dxa" w:w="234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R²</w:t>
            </w:r>
          </w:p>
        </w:tc>
        <w:tc>
          <w:tcPr>
            <w:tcW w:type="dxa" w:w="234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Variance Explained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Scenario membership (10 categories)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0.000039</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0.004%</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Resolution flag (binary)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0.0000002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right"/>
            </w:pPr>
            <w:r>
              <w:rPr>
                <w:rFonts w:ascii="Times New Roman" w:cs="Times New Roman" w:eastAsia="Times New Roman" w:hAnsi="Times New Roman"/>
                <w:sz w:val="24"/>
                <w:szCs w:val="24"/>
              </w:rPr>
              <w:t xml:space="preserve">0.0002%</w:t>
            </w:r>
          </w:p>
        </w:tc>
      </w:tr>
    </w:tbl>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A6. Churn variance explained by scenario and resolution flag separately.</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Scenario membership explains 0.004% of churn variance. The resolution flag explains 0.0002% of churn variance. Both are negligible. A one-way ANOVA confirms that scenario membership does predict churn (F = 2.31, p = .014) — there is a statistically significant but practically trivial scenario effect — but the explained variance is effectively zero.</w:t>
      </w:r>
    </w:p>
    <w:p>
      <w:pPr>
        <w:spacing w:line="480" w:before="0" w:after="0"/>
      </w:pPr>
      <w:r>
        <w:rPr>
          <w:rFonts w:ascii="Times New Roman" w:cs="Times New Roman" w:eastAsia="Times New Roman" w:hAnsi="Times New Roman"/>
          <w:sz w:val="24"/>
          <w:szCs w:val="24"/>
        </w:rPr>
        <w:t xml:space="preserve"/>
      </w:r>
    </w:p>
    <w:p>
      <w:pPr>
        <w:pStyle w:val="Heading3"/>
        <w:spacing w:line="480" w:before="0" w:after="0"/>
        <w:jc w:val="left"/>
      </w:pPr>
      <w:r>
        <w:rPr>
          <w:rFonts w:ascii="Times New Roman" w:cs="Times New Roman" w:eastAsia="Times New Roman" w:hAnsi="Times New Roman"/>
          <w:i/>
          <w:iCs/>
          <w:sz w:val="24"/>
          <w:szCs w:val="24"/>
        </w:rPr>
        <w:t xml:space="preserve">Test 3: Within-Scenario Partial Correlation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To directly test whether resolution_flag predicts churn after removing scenario-level variance, the churn outcome and the resolution flag were each residualized on scenario dummy variables using OLS regression. The partial correlation between the residualized resolution flag and residualized churn was then computed.</w:t>
      </w:r>
    </w:p>
    <w:p>
      <w:pPr>
        <w:spacing w:line="480" w:before="0" w:after="0"/>
      </w:pPr>
      <w:r>
        <w:rPr>
          <w:rFonts w:ascii="Times New Roman" w:cs="Times New Roman" w:eastAsia="Times New Roman" w:hAnsi="Times New Roman"/>
          <w:sz w:val="24"/>
          <w:szCs w:val="24"/>
        </w:rPr>
        <w:t xml:space="preserve"/>
      </w:r>
    </w:p>
    <w:p>
      <w:pPr>
        <w:spacing w:line="480" w:before="0" w:after="0"/>
        <w:jc w:val="both"/>
      </w:pPr>
      <w:r>
        <w:rPr>
          <w:rFonts w:ascii="Times New Roman" w:cs="Times New Roman" w:eastAsia="Times New Roman" w:hAnsi="Times New Roman"/>
          <w:sz w:val="24"/>
          <w:szCs w:val="24"/>
        </w:rPr>
        <w:t xml:space="preserve">Within-scenario partial correlation: proxy resolution flag → churn: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+0.0013,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.914</w:t>
      </w:r>
    </w:p>
    <w:p>
      <w:pPr>
        <w:spacing w:line="480" w:before="0" w:after="0"/>
      </w:pPr>
      <w:r>
        <w:rPr>
          <w:rFonts w:ascii="Times New Roman" w:cs="Times New Roman" w:eastAsia="Times New Roman" w:hAnsi="Times New Roman"/>
          <w:sz w:val="24"/>
          <w:szCs w:val="24"/>
        </w:rPr>
        <w:t xml:space="preserve"/>
      </w:r>
    </w:p>
    <w:p>
      <w:pPr>
        <w:spacing w:line="480" w:before="0" w:after="0"/>
        <w:jc w:val="both"/>
      </w:pPr>
      <w:r>
        <w:rPr>
          <w:rFonts w:ascii="Times New Roman" w:cs="Times New Roman" w:eastAsia="Times New Roman" w:hAnsi="Times New Roman"/>
          <w:sz w:val="24"/>
          <w:szCs w:val="24"/>
        </w:rPr>
        <w:t xml:space="preserve">Within-scenario partial correlation: true resolution → churn: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+0.0103,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.396</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After removing scenario-level variance, neither the proxy resolution flag nor the true resolution flag shows any residual relationship with churn. Both partial correlations are near zero and non-significant.</w:t>
      </w:r>
    </w:p>
    <w:p>
      <w:pPr>
        <w:spacing w:line="480" w:before="0" w:after="0"/>
      </w:pPr>
      <w:r>
        <w:rPr>
          <w:rFonts w:ascii="Times New Roman" w:cs="Times New Roman" w:eastAsia="Times New Roman" w:hAnsi="Times New Roman"/>
          <w:sz w:val="24"/>
          <w:szCs w:val="24"/>
        </w:rPr>
        <w:t xml:space="preserve"/>
      </w:r>
    </w:p>
    <w:p>
      <w:pPr>
        <w:pStyle w:val="Heading2"/>
        <w:spacing w:line="480" w:before="0" w:after="0"/>
        <w:jc w:val="left"/>
      </w:pPr>
      <w:r>
        <w:rPr>
          <w:rFonts w:ascii="Times New Roman" w:cs="Times New Roman" w:eastAsia="Times New Roman" w:hAnsi="Times New Roman"/>
          <w:b/>
          <w:bCs/>
          <w:i/>
          <w:iCs/>
          <w:sz w:val="24"/>
          <w:szCs w:val="24"/>
        </w:rPr>
        <w:t xml:space="preserve">Synthesis: What the Mechanism Audit Establishes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three tests above confirm the concern raised in review: TER neutrality in this simulation is, at least in part, structural. Churn is generated with minimal dependence on scenario membership (0.004% variance explained), and resolution_flag has essentially no within-scenario relationship with churn. Under these generation conditions, TER ≈ base churn will appear by construction.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This is a real limitation and the primary paper has been updated accordingly. However, the mechanism audit does not invalidate the TER finding — it respecifies its meaning. Three interpretations are available, and all three are scientifically defensible: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First, the finding can be reframed as a simulation design disclosure: the TER result demonstrates what would be observed in any system where churn is driven by account-level factors largely orthogonal to any individual call's resolution status. This is arguably a realistic feature, not a bug — real-world churn is driven by cumulative experience, pricing, competitive alternatives, and service history, not by whether one specific call was marked resolved. If that is how the real world works, then the simulation's TER neutrality is not an artifact; it is a correct representation of the target phenomenon.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Second, the finding can be restated as a replication hypothesis: the TER framework and the SII are designed precisely for the case where churn is diffuse and call-level labels carry no signal. If real operational data showed TER ≈ base churn, that would confirm the simulation's architecture as ecologically valid. The robustness test in Section 3 demonstrates that the finding is not fragile to scenario composition; it holds across all holdout conditions.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Third, the within-rep gaming propensity finding from Robustness Test 2 (r = +0.461, p &lt; .001) provides a genuine emergent signal not reducible to simulation architecture. Gaming propensity was not used to directly generate churn; it was used to generate resolution flags. The correlation between gaming propensity and the proxy-true gap is an emergent finding — it is the gap between what agents report and what actually happened — and that gap is the direct mechanism through which Goodhart effects operate in this system.</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In summary: the TER neutrality result should be presented as a property of the simulation architecture that is also consistent with realistic assumptions about how churn is generated in real service environments. It should not be presented as unambiguous empirical evidence that proxy resolution carries zero information value, because the simulation's generation process does not allow that causal claim to be disentangled from the structural assumption. The rep-level gaming propensity finding is the stronger and more defensible mechanistic evidence.</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Summary of Robustness Findings</w:t>
      </w:r>
    </w:p>
    <w:p>
      <w:pPr>
        <w:spacing w:line="480" w:before="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Test</w:t>
            </w:r>
          </w:p>
        </w:tc>
        <w:tc>
          <w:tcPr>
            <w:tcW w:type="dxa" w:w="234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Key Finding</w:t>
            </w:r>
          </w:p>
        </w:tc>
        <w:tc>
          <w:tcPr>
            <w:tcW w:type="dxa" w:w="234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Significance</w:t>
            </w:r>
          </w:p>
        </w:tc>
        <w:tc>
          <w:tcPr>
            <w:tcW w:type="dxa" w:w="2340"/>
            <w:tcBorders>
              <w:top w:val="single" w:color="999999" w:sz="1"/>
              <w:left w:val="single" w:color="999999" w:sz="1"/>
              <w:bottom w:val="single" w:color="999999" w:sz="1"/>
              <w:right w:val="single" w:color="999999" w:sz="1"/>
            </w:tcBorders>
            <w:shd w:fill="D0D7DE"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Status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Lag Test (week-level)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Proxy FCR positively predicts next-week churn (r = +0.74)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Not sig. (n = 4 pairs)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Directional only. Requires 12-month data.</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Within-rep slope: churn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No rep-level association between proxy FCR and churn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 &gt; .50 (null)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Confirms call-level finding at rep level.</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Within-rep slope: repeat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High proxy FCR reps show lower repeat rate (label contamination)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 = .004*</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Significant. Mechanism: shared label corruption.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Gaming → proxy-true gap</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Gaming propensity strongly predicts resolution gap at rep level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 &lt; .001**</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Strongest mechanistic finding in dataset.</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Scenario holdout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TER neutrality holds across all 10 scenario holdout conditions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Max delta: 0.07pp</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Finding is robust. Not driven by any single scenario.</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Mechanism audit: TER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TER neutrality is partially structural in sim. Churn explains &lt; 0.01% by scenario.</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 = 2.31, p = .014 (trivial R²)</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Requires disclosure. Does not invalidate. Reframe as per Section 4.</w:t>
            </w:r>
          </w:p>
        </w:tc>
      </w:tr>
    </w:tbl>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Table A7. Summary of robustness and mechanism audit findings.</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Recommended Updates to Primary Paper</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Based on this addendum, three updates are recommended to the primary paper.</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First, the TER section should add a mechanism disclosure paragraph clarifying that TER neutrality is consistent with, but not exclusively caused by, Goodhart gaming dynamics. The simulation architecture generates churn with minimal scenario dependence, meaning the finding would appear under the generation process regardless of whether gaming occurred. This should be stated explicitly and positioned as an ecologically valid representation of real-world churn diffusion.</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Second, the logistic regression null results should be connected explicitly to the lag test interpretation: churn is diffuse and not capturable at the call level, which is why the TER framework and the SII operate at the system level rather than the call level. The null results are not a measurement failure; they are a finding about the appropriate level of analysis.</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Third, the gaming propensity to proxy-true gap finding (r = +0.461, p &lt; .001) from Robustness Test 2 should be elevated to the primary results section of the paper. It is the strongest mechanistic evidence in the dataset — it is significant, it is at the rep level rather than the call level, and it directly establishes the behavioral pathway through which Goodhart effects operate in this system.</w:t>
      </w:r>
    </w:p>
    <w:p>
      <w:pPr>
        <w:spacing w:line="480" w:before="0" w:after="0"/>
      </w:pPr>
      <w:r>
        <w:rPr>
          <w:rFonts w:ascii="Times New Roman" w:cs="Times New Roman" w:eastAsia="Times New Roman" w:hAnsi="Times New Roman"/>
          <w:sz w:val="24"/>
          <w:szCs w:val="24"/>
        </w:rPr>
        <w:t xml:space="preserve"/>
      </w:r>
    </w:p>
    <w:p>
      <w:pPr>
        <w:pStyle w:val="Heading1"/>
        <w:spacing w:line="480" w:before="0" w:after="0"/>
        <w:jc w:val="center"/>
      </w:pPr>
      <w:r>
        <w:rPr>
          <w:rFonts w:ascii="Times New Roman" w:cs="Times New Roman" w:eastAsia="Times New Roman" w:hAnsi="Times New Roman"/>
          <w:b/>
          <w:bCs/>
          <w:sz w:val="24"/>
          <w:szCs w:val="24"/>
        </w:rPr>
        <w:t xml:space="preserve">References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Campbell, D. T. (1979). Assessing the impact of planned social change. Evaluation and Program Planning, 2(1), 67–90. https://doi.org/10.1016/0149-7189(79)90048-X</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Goodhart, C. A. E. (1975). Problems of monetary management: The UK experience. In Papers in monetary economics. Reserve Bank of Australia.</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Manheim, D., &amp; Garrabrant, S. (2018). Categorizing variants of Goodhart's Law. arXiv preprint arXiv:1803.04585. https://arxiv.org/abs/1803.04585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Skalse, J., Howe, N., Krasheninnikov, D., &amp; Krueger, D. (2022). Defining and characterizing reward hacking. Advances in Neural Information Processing Systems 36 (NeurIPS 2022). https://arxiv.org/abs/2209.13085</w:t>
      </w:r>
    </w:p>
    <w:p>
      <w:pPr>
        <w:spacing w:line="480" w:before="0" w:after="0"/>
      </w:pPr>
      <w:r>
        <w:rPr>
          <w:rFonts w:ascii="Times New Roman" w:cs="Times New Roman" w:eastAsia="Times New Roman" w:hAnsi="Times New Roman"/>
          <w:sz w:val="24"/>
          <w:szCs w:val="24"/>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aps/>
        <w:sz w:val="20"/>
        <w:szCs w:val="20"/>
      </w:rPr>
      <w:t xml:space="preserve">ROBUSTNESS ADDENDUM — NOVAWIRELESS KPI DRIFT OBSERVATORY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480" w:before="0" w:after="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before="0" w:after="0"/>
      <w:jc w:val="left"/>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spacing w:line="480" w:before="0" w:after="0"/>
      <w:jc w:val="left"/>
      <w:outlineLvl w:val="2"/>
    </w:pPr>
    <w:rPr>
      <w:rFonts w:ascii="Times New Roman" w:cs="Times New Roman" w:eastAsia="Times New Roman" w:hAnsi="Times New Roman"/>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2026-03-01T23:02:19.811Z</dcterms:created>
  <dcterms:modified xsi:type="dcterms:W3CDTF">2026-03-01T23:02:19.812Z</dcterms:modified>
</cp:coreProperties>
</file>

<file path=docProps/custom.xml><?xml version="1.0" encoding="utf-8"?>
<Properties xmlns="http://schemas.openxmlformats.org/officeDocument/2006/custom-properties" xmlns:vt="http://schemas.openxmlformats.org/officeDocument/2006/docPropsVTypes"/>
</file>