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ind/>
        <w:jc w:val="center"/>
      </w:pPr>
      <w:r>
        <w:rPr>
          <w:rFonts w:ascii="Times New Roman" w:cs="Times New Roman" w:eastAsia="Times New Roman" w:hAnsi="Times New Roman"/>
          <w:b/>
          <w:bCs/>
          <w:sz w:val="24"/>
          <w:szCs w:val="24"/>
        </w:rPr>
        <w:t xml:space="preserve">When KPIs Lie: A System Integrity Framework for AI-Optimized</w:t>
      </w:r>
    </w:p>
    <w:p>
      <w:pPr>
        <w:spacing w:line="480" w:before="0" w:after="0"/>
        <w:ind/>
        <w:jc w:val="center"/>
      </w:pPr>
      <w:r>
        <w:rPr>
          <w:rFonts w:ascii="Times New Roman" w:cs="Times New Roman" w:eastAsia="Times New Roman" w:hAnsi="Times New Roman"/>
          <w:b/>
          <w:bCs/>
          <w:sz w:val="24"/>
          <w:szCs w:val="24"/>
        </w:rPr>
        <w:t xml:space="preserve">Contact Center Operations</w:t>
      </w:r>
    </w:p>
    <w:p>
      <w:pPr>
        <w:spacing w:line="480" w:before="0" w:after="0"/>
      </w:pPr>
      <w:r>
        <w:rPr>
          <w:rFonts w:ascii="Times New Roman" w:cs="Times New Roman" w:eastAsia="Times New Roman" w:hAnsi="Times New Roman"/>
          <w:sz w:val="24"/>
          <w:szCs w:val="24"/>
        </w:rPr>
        <w:t xml:space="preserve"/>
      </w:r>
    </w:p>
    <w:p>
      <w:pPr>
        <w:spacing w:line="480" w:before="0" w:after="0"/>
        <w:ind/>
        <w:jc w:val="center"/>
      </w:pPr>
      <w:r>
        <w:rPr>
          <w:rFonts w:ascii="Times New Roman" w:cs="Times New Roman" w:eastAsia="Times New Roman" w:hAnsi="Times New Roman"/>
          <w:sz w:val="24"/>
          <w:szCs w:val="24"/>
        </w:rPr>
        <w:t xml:space="preserve">NovaWireless KPI Drift Observatory — Technical Paper v1.0</w:t>
      </w:r>
    </w:p>
    <w:p>
      <w:pPr>
        <w:spacing w:line="480" w:before="0" w:after="0"/>
      </w:pPr>
      <w:r>
        <w:rPr>
          <w:rFonts w:ascii="Times New Roman" w:cs="Times New Roman" w:eastAsia="Times New Roman" w:hAnsi="Times New Roman"/>
          <w:sz w:val="24"/>
          <w:szCs w:val="24"/>
        </w:rPr>
        <w:t xml:space="preserve"/>
      </w:r>
    </w:p>
    <w:p>
      <w:pPr>
        <w:spacing w:line="480" w:before="0" w:after="0"/>
        <w:ind/>
        <w:jc w:val="center"/>
      </w:pPr>
      <w:r>
        <w:rPr>
          <w:rFonts w:ascii="Times New Roman" w:cs="Times New Roman" w:eastAsia="Times New Roman" w:hAnsi="Times New Roman"/>
          <w:sz w:val="24"/>
          <w:szCs w:val="24"/>
        </w:rPr>
        <w:t xml:space="preserve">March 2026</w:t>
      </w:r>
    </w:p>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ind/>
        <w:jc w:val="center"/>
      </w:pPr>
      <w:r>
        <w:rPr>
          <w:rFonts w:ascii="Times New Roman" w:cs="Times New Roman" w:eastAsia="Times New Roman" w:hAnsi="Times New Roman"/>
          <w:b/>
          <w:bCs/>
          <w:sz w:val="24"/>
          <w:szCs w:val="24"/>
        </w:rPr>
        <w:t xml:space="preserve">Author Note</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This paper presents findings from the NovaWireless KPI Drift Observatory, a synthetic </w:t>
      </w:r>
      <w:r>
        <w:rPr>
          <w:rFonts w:ascii="Times New Roman" w:cs="Times New Roman" w:eastAsia="Times New Roman" w:hAnsi="Times New Roman"/>
          <w:sz w:val="24"/>
          <w:szCs w:val="24"/>
        </w:rPr>
        <w:t xml:space="preserve">call center research dataset comprising 82,305 records across 12 months and 250 representative </w:t>
      </w:r>
      <w:r>
        <w:rPr>
          <w:rFonts w:ascii="Times New Roman" w:cs="Times New Roman" w:eastAsia="Times New Roman" w:hAnsi="Times New Roman"/>
          <w:sz w:val="24"/>
          <w:szCs w:val="24"/>
        </w:rPr>
        <w:t xml:space="preserve">agents in 10 teams. All data, analysis scripts, and figure generators are available at: </w:t>
      </w:r>
      <w:r>
        <w:rPr>
          <w:rFonts w:ascii="Times New Roman" w:cs="Times New Roman" w:eastAsia="Times New Roman" w:hAnsi="Times New Roman"/>
          <w:i/>
          <w:iCs/>
          <w:sz w:val="24"/>
          <w:szCs w:val="24"/>
        </w:rPr>
        <w:t xml:space="preserve">https://github.com/[repository]</w:t>
      </w:r>
      <w:r>
        <w:rPr>
          <w:rFonts w:ascii="Times New Roman" w:cs="Times New Roman" w:eastAsia="Times New Roman" w:hAnsi="Times New Roman"/>
          <w:sz w:val="24"/>
          <w:szCs w:val="24"/>
        </w:rPr>
        <w:t xml:space="preserve">. The dataset is fully synthetic; no real customer or employee data was used. </w:t>
      </w:r>
      <w:r>
        <w:rPr>
          <w:rFonts w:ascii="Times New Roman" w:cs="Times New Roman" w:eastAsia="Times New Roman" w:hAnsi="Times New Roman"/>
          <w:sz w:val="24"/>
          <w:szCs w:val="24"/>
        </w:rPr>
        <w:t xml:space="preserve">Correspondence regarding this work should be directed to the author.</w:t>
      </w:r>
    </w:p>
    <w:p>
      <w:pPr>
        <w:spacing w:line="480" w:before="0" w:after="0"/>
      </w:pPr>
      <w:r>
        <w:rPr>
          <w:rFonts w:ascii="Times New Roman" w:cs="Times New Roman" w:eastAsia="Times New Roman" w:hAnsi="Times New Roman"/>
          <w:sz w:val="24"/>
          <w:szCs w:val="24"/>
        </w:rPr>
        <w:t xml:space="preserve"/>
      </w:r>
    </w:p>
    <w:p>
      <w:pPr>
        <w:spacing w:line="480" w:before="0" w:after="0"/>
        <w:jc w:val="both"/>
      </w:pPr>
      <w:r>
        <w:rPr>
          <w:rFonts w:ascii="Times New Roman" w:cs="Times New Roman" w:eastAsia="Times New Roman" w:hAnsi="Times New Roman"/>
          <w:sz w:val="24"/>
          <w:szCs w:val="24"/>
        </w:rPr>
      </w:r>
    </w:p>
    <w:p>
      <w:pPr>
        <w:pStyle w:val="Heading1"/>
        <w:spacing w:line="480" w:before="0" w:after="0"/>
        <w:jc w:val="center"/>
      </w:pPr>
      <w:r>
        <w:rPr>
          <w:rFonts w:ascii="Times New Roman" w:cs="Times New Roman" w:eastAsia="Times New Roman" w:hAnsi="Times New Roman"/>
          <w:b/>
          <w:bCs/>
          <w:sz w:val="24"/>
          <w:szCs w:val="24"/>
        </w:rPr>
        <w:t xml:space="preserve">Abstract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AI-powered optimization systems in contact centers are increasingly trained on proxy performance metrics — First Call Resolution (FCR), Average Handle Time (AHT), and short-term churn flags — in place of the durable customer outcomes these metrics were designed to approximate. When a proxy metric becomes an optimization target, it ceases to be a reliable measure of the underlying goal, a phenomenon formalized as Goodhart's Law (Goodhart, 1975; Strathern, 1997) and amplified by the corruption pressures described in Campbell's Law (Campbell, 1979). This paper presents empirical evidence from a synthetic 12-month call center dataset (N = 82,305 calls) demonstrating a 20-percentage-point gap between proxy and true First Call Resolution, a Terminal Exit Rate of 27.6% — statistically equivalent to the base churn rate, indicating the proxy KPI has zero information value for predicting retention — and a logistic regression showing that the resolution flag (the primary KPI) is a non-significant predictor of churn (OR = 0.99, 95% CI [0.94, 1.05], p = .78). We introduce the System Integrity Index (SII), a composite governance signal that functions as a velocity regulator: when integrity risk accumulates past defined thresholds, the SII vetoes further AI optimization until labels and training targets are re-audited. The SII operationalizes the principle that performance dashboards optimize while integrity signals constrain.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Goodhart's Law, Campbell's Law, proxy metrics, AI alignment, specification gaming, call center KPIs, First Call Resolution, system integrity, reward hacking, measurement validity</w:t>
      </w:r>
    </w:p>
    <w:p>
      <w:pPr>
        <w:spacing w:line="480" w:before="0" w:after="0"/>
      </w:pPr>
      <w:r>
        <w:rPr>
          <w:rFonts w:ascii="Times New Roman" w:cs="Times New Roman" w:eastAsia="Times New Roman" w:hAnsi="Times New Roman"/>
          <w:sz w:val="24"/>
          <w:szCs w:val="24"/>
        </w:rPr>
        <w:t xml:space="preserve"/>
      </w:r>
    </w:p>
    <w:p>
      <w:pPr>
        <w:spacing w:line="480" w:before="0" w:after="0"/>
        <w:jc w:val="both"/>
      </w:pPr>
      <w:r>
        <w:rPr>
          <w:rFonts w:ascii="Times New Roman" w:cs="Times New Roman" w:eastAsia="Times New Roman" w:hAnsi="Times New Roman"/>
          <w:sz w:val="24"/>
          <w:szCs w:val="24"/>
        </w:rPr>
      </w:r>
    </w:p>
    <w:p>
      <w:pPr>
        <w:pStyle w:val="Heading1"/>
        <w:spacing w:line="480" w:before="0" w:after="0"/>
        <w:jc w:val="center"/>
      </w:pPr>
      <w:r>
        <w:rPr>
          <w:rFonts w:ascii="Times New Roman" w:cs="Times New Roman" w:eastAsia="Times New Roman" w:hAnsi="Times New Roman"/>
          <w:b/>
          <w:bCs/>
          <w:sz w:val="24"/>
          <w:szCs w:val="24"/>
        </w:rPr>
        <w:t xml:space="preserve">Introduction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Modern contact centers increasingly deploy AI systems to optimize agent behavior, routing decisions, and quality scoring. These systems are trained on observable performance signals — most commonly First Call Resolution (FCR) rates, Average Handle Time (AHT), and short-window account churn flags — because these metrics are measurable, automatable, and available in real time. The assumption embedded in this architecture is that improvements in proxy metrics will translate to improvements in the underlying goal: retained, satisfied customers.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This assumption is structurally vulnerable to a well-documented failure mode. Goodhart's Law, originally articulated by British economist Charles Goodhart in the context of UK monetary policy, holds that any observed statistical regularity will tend to collapse once pressure is placed upon it for control purposes (Goodhart, 1975). As popularized by Strathern (1997), this principle is restated as: when a measure becomes a target, it ceases to be a good measure. Campbell's Law extends this insight to social systems: the more any quantitative social indicator is used for social decision-making, the more subject it will be to corruption pressures (Campbell, 1979). Both laws predict the same structural failure: agents who are evaluated and rewarded on a proxy metric will optimize for that metric, not for the underlying outcome.</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In the domain of machine learning and AI alignment, this class of failure is formalized as specification gaming (Krakovna et al., 2020) and reward hacking (Amodei et al., 2016; Skalse et al., 2022). Manheim and Garrabrant (2018) identify four distinct mechanisms through which Goodhart effects emerge in AI systems: regressional Goodhart (selecting on a proxy moves it outside the region where it correlates with the goal), extremal Goodhart (the proxy diverges at the extreme end of the optimization trajectory), causal Goodhart (manipulating the proxy does not manipulate the goal via the same causal mechanism), and adversarial Goodhart (agents deliberately exploit the gap between proxy and goal). All four mechanisms are plausibly active in AI-optimized call center environments.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This paper presents empirical evidence of Goodhart effects in a synthetic 12-month call center dataset and proposes a System Integrity Index (SII) as a governance instrument. The SII is not a performance score. It is a risk accumulator: it quantifies the degree to which the measurement environment has drifted away from conditions under which proxy optimization is valid, and it triggers a veto on further AI optimization when integrity risk exceeds defined thresholds.</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Research Questions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This paper addresses three interrelated questions. First, to what degree does the standard contact center proxy metric (FCR as operationalized by the resolution_flag field) diverge from durable customer outcomes over a 12-month period? Second, does the proxy KPI carry statistically significant predictive information about the outcome it is intended to represent (customer churn)? Third, can a composite integrity index be constructed that identifies the moment at which proxy optimization should be constrained, and what are its governance implications for AI systems trained on these labels?</w:t>
      </w:r>
    </w:p>
    <w:p>
      <w:pPr>
        <w:spacing w:line="480" w:before="0" w:after="0"/>
      </w:pPr>
      <w:r>
        <w:rPr>
          <w:rFonts w:ascii="Times New Roman" w:cs="Times New Roman" w:eastAsia="Times New Roman" w:hAnsi="Times New Roman"/>
          <w:sz w:val="24"/>
          <w:szCs w:val="24"/>
        </w:rPr>
        <w:t xml:space="preserve"/>
      </w:r>
    </w:p>
    <w:p>
      <w:pPr>
        <w:pStyle w:val="Heading1"/>
        <w:spacing w:line="480" w:before="0" w:after="0"/>
        <w:jc w:val="center"/>
      </w:pPr>
      <w:r>
        <w:rPr>
          <w:rFonts w:ascii="Times New Roman" w:cs="Times New Roman" w:eastAsia="Times New Roman" w:hAnsi="Times New Roman"/>
          <w:b/>
          <w:bCs/>
          <w:sz w:val="24"/>
          <w:szCs w:val="24"/>
        </w:rPr>
        <w:t xml:space="preserve">Theoretical Background</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Goodhart's Law and Its Variants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Goodhart's original formulation, developed in the context of UK monetary policy, described how statistical regularities exploited for control purposes lose their reliability as indicators (Goodhart, 1975). The mechanism is straightforward: when a measure is used as a target, actors whose performance is evaluated by that measure have an incentive to optimize for the measure rather than for the underlying phenomenon it was designed to represent. The result is a systematic decoupling of the metric from reality, precisely at the moment when the metric is most pressured to reflect it.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Manheim and Garrabrant (2018) provide the most technically precise treatment of Goodhart effects in the context of AI and machine learning. Their taxonomy distinguishes four mechanisms. Regressional Goodhart occurs when selection on a proxy metric moves the distribution of selected cases into regions where the proxy-goal correlation breaks down. This is the mechanism most relevant to call center FCR measurement: agents who learn to mark calls as resolved without achieving true resolution are effectively selecting into the tail of the proxy distribution, where the proxy and the true outcome diverge most severely. Extremal Goodhart occurs when the divergence worsens as optimization pressure increases — a prediction confirmed by the friction decile analysis reported in this paper, where the highest-friction calls show a 69.3 percentage point gap between proxy and true resolution.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Campbell's Law (1979) adds an important social dimension: when high-stakes decisions depend on a quantitative indicator, the corruption pressure on that indicator is not merely incidental but systemic. In the contact center context, this predicts that as AI systems place increasing weight on FCR scores in agent evaluation and compensation, the incentive to game those scores increases proportionally. The data presented in this paper show exactly this pattern: scenarios explicitly constructed to simulate metric gaming (gamed_metric) show a 98% proxy resolution rate against a 6.2% true resolution rate — an 84 percentage point gap that the proxy metric cannot distinguish from genuine high-performance scenarios.</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Specification Gaming and Reward Hacking in AI Systems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Amodei et al. (2016) first systematically catalogued reward hacking as a core AI safety problem, defining it as the possibility of an agent gaming the reward function to achieve high reward through undesired behavior. Krakovna et al. (2020) extended this work with an extensive empirical catalog of specification gaming instances across AI systems, demonstrating that this class of failure is common, not exceptional.</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Skalse et al. (2022) provide the first formal definition of reward hacking, establishing conditions under which optimizing a proxy reward function produces worse outcomes according to the true reward function. Their key finding — that reward hacking can occur suddenly, with the true reward collapsing while the proxy continues to climb — maps directly to the Proxy Overfit Ratio (POR) analysis reported in this paper. A POR greater than 1.0 indicates precisely this regime: the proxy improves faster than the true outcome, a precondition for the sudden collapse described by Skalse et al.</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Measurement Validity and Proxy-Outcome Gaps in Service Systems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First Call Resolution is one of the most widely used contact center KPIs. As of 2024, 80% of service professionals reported tracking FCR, up from 51% in 2018 (Salesforce, 2024). Despite this ubiquity, the measurement validity of FCR has been contested in practitioner literature. A true resolution, in the sense that the customer's underlying problem is genuinely addressed, is difficult to observe in real time and requires post-interaction follow-up data to validate. The observable proxy — whether the agent marks the call as resolved — is susceptible to the corruption pressures described by Campbell (1979).</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Tyranny of Metrics (Muller, 2018) provides a broad survey of these dynamics across institutional settings, arguing that the substitution of measurable proxies for genuine goals is a pervasive feature of modern organizational life, not an exceptional failure. The present paper applies this framework specifically to AI training environments, where the consequences of proxy-outcome gaps are compounded: the AI system learns not just to measure a flawed proxy, but to optimize agent behavior toward it, potentially entrenching and amplifying the underlying gaming dynamics.</w:t>
      </w:r>
    </w:p>
    <w:p>
      <w:pPr>
        <w:spacing w:line="480" w:before="0" w:after="0"/>
      </w:pPr>
      <w:r>
        <w:rPr>
          <w:rFonts w:ascii="Times New Roman" w:cs="Times New Roman" w:eastAsia="Times New Roman" w:hAnsi="Times New Roman"/>
          <w:sz w:val="24"/>
          <w:szCs w:val="24"/>
        </w:rPr>
        <w:t xml:space="preserve"/>
      </w:r>
    </w:p>
    <w:p>
      <w:pPr>
        <w:pStyle w:val="Heading1"/>
        <w:spacing w:line="480" w:before="0" w:after="0"/>
        <w:jc w:val="center"/>
      </w:pPr>
      <w:r>
        <w:rPr>
          <w:rFonts w:ascii="Times New Roman" w:cs="Times New Roman" w:eastAsia="Times New Roman" w:hAnsi="Times New Roman"/>
          <w:b/>
          <w:bCs/>
          <w:sz w:val="24"/>
          <w:szCs w:val="24"/>
        </w:rPr>
        <w:t xml:space="preserve">Method</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Dataset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analysis uses a synthetic dataset of 82,305 call records generated to simulate 12 months of operations at a fictional wireless carrier (NovaWireless). The dataset comprises 250 representative agents organized into 10 teams, spanning eight call types and 14 call subreasons. Records were generated across ten scenario categories designed to represent structurally distinct call dynamics: clean resolution scenarios, metric gaming scenarios, four fraud scenario types, activation scenarios (successful and failed), and unresolvable legitimate contact scenarios.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Each record includes both a proxy resolution flag (resolution_flag, representing the agent's in-call determination) and a true resolution outcome (true_resolution, representing a 30-day post-interaction audit). Additional fields include 30-day and 31-to-60-day repeat contact flags, account churn status, agent performance dimensions (gaming propensity, burnout level, policy skill, QA score), customer-side signals (trust baseline, patience score, churn risk), call-level signals (credit type, authorization status, IMEI mismatch flag, NRF generation flag), and full synthetic transcript text.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Data integrity was established through SHA-256 hashing of each source file and a combined dataset hash, enabling reproducibility verification. All analysis scripts, figure generators, and integrity reports are included in the project repository. The combined dataset SHA-256 hash is embedded in the evidence report generated by the analysis pipeline.</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Instrumentation and Integrity Gate</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Before analysis, all records were evaluated against five pre-specified integrity rules: (R1) proxy resolved but not truly resolved, (R2) unauthorized credit of type bandaid, (R3) marked resolved with a 31-to-60-day repeat contact, (R4) IMEI mismatch flag active, and (R5) non-return fee generated flag active. These rules were defined prior to data inspection and applied as a union condition (any rule triggered → record flagged).</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Flagged records were not removed from analysis but were scored separately. The flag rate of 53.7% represents unique flagged calls — calls triggering at least one rule — not a sum of rule hits. The sum of individual rule hits was 6,398 across 3,673 unique flagged calls (ratio 1.74), indicating that the average flagged call violated 1.74 rules simultaneously. This co-occurrence pattern is consistent with systemic rather than random data integrity failure, a distinction that is theoretically meaningful: random integrity violations would be expected to distribute independently across rules.</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Measures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primary dependent variable throughout this paper is customer churn within 30 days (customer_is_churned). The primary independent variable of interest is the proxy resolution flag (resolution_flag). The true resolution flag (true_resolution) serves as the criterion variable for validating the proxy. Additional measures include the 31-to-60-day repeat contact rate, agent gaming propensity, agent burnout level, customer patience score, and credit application status.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Proxy Overfit Ratio (POR) is computed as the ratio of the change in proxy resolution rate to the change in true resolution rate across the observation period. A POR greater than 1.0 indicates that the proxy is improving faster than the true outcome — a necessary condition for the divergence dynamics described by Skalse et al. (2022). The Terminal Exit Rate (TER) is the proportion of proxy-resolved calls in which the customer subsequently churned. The System Integrity Index (SII) is a weighted composite of four component signals described in the Results section.</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Statistical Analysis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Churn prediction was analyzed using logistic regression with standardized predictors (z-score transformation). Two predictors with severe multicollinearity were excluded after variance inflation factor (VIF) screening: rep_policy_skill (VIF ≈ 475) and agent_qa_score (VIF ≈ 487). The final model included seven predictors, all with VIF below 2.5. Odds ratios are reported with 95% Wald confidence intervals computed from the Hessian matrix of the log-likelihood. All p-values are two-tailed. The primary statistical claim — that the proxy resolution flag has no significant effect on churn — is evaluated at α = .05. Given that the primary hypothesis is a null finding, we additionally note that the 95% confidence interval for the resolution flag odds ratio entirely spans 1.0, providing interval-based evidence of null information value.</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Friction decile analysis grouped calls into ten equal-frequency deciles based on the customer_churn_risk_effective score. Term lift analysis was conducted on customer-side transcript text, extracting customer utterances and computing churn lift ratios (observed churn rate when term present / base churn rate) and repeat contact lift ratios. All transcript NLP is conducted on customer-side text only; agent-side text was excluded to prevent confounding with agent-level predictors already present in structured fields.</w:t>
      </w:r>
    </w:p>
    <w:p>
      <w:pPr>
        <w:spacing w:line="480" w:before="0" w:after="0"/>
      </w:pPr>
      <w:r>
        <w:rPr>
          <w:rFonts w:ascii="Times New Roman" w:cs="Times New Roman" w:eastAsia="Times New Roman" w:hAnsi="Times New Roman"/>
          <w:sz w:val="24"/>
          <w:szCs w:val="24"/>
        </w:rPr>
        <w:t xml:space="preserve"/>
      </w:r>
    </w:p>
    <w:p>
      <w:pPr>
        <w:pStyle w:val="Heading1"/>
        <w:spacing w:line="480" w:before="0" w:after="0"/>
        <w:jc w:val="center"/>
      </w:pPr>
      <w:r>
        <w:rPr>
          <w:rFonts w:ascii="Times New Roman" w:cs="Times New Roman" w:eastAsia="Times New Roman" w:hAnsi="Times New Roman"/>
          <w:b/>
          <w:bCs/>
          <w:sz w:val="24"/>
          <w:szCs w:val="24"/>
        </w:rPr>
        <w:t xml:space="preserve">Results</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Section 1: Instrumentation Receipts and Integrity Gate</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integrity gate analysis revealed that 53.7% of all call records (n = 44,210 of 82,305) were flagged by at least one integrity rule prior to analysis. This is not a data quality finding in the conventional sense. It is the primary empirical finding. In a system operating under legitimate optimization pressure, the majority of calls carrying an integrity violation indicates that the integrity conditions are not edge cases but structural features of the measurement environment.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overlap distribution further supports this interpretation: 25.6% of all calls triggered exactly one rule, 17.7% triggered exactly two, 9.0% triggered exactly three, and 1.4% triggered four rules simultaneously. If integrity violations were random and independent, multi-rule co-occurrence at these rates would be improbable. The observed clustering is consistent with specific call scenarios and agent behaviors generating multiple simultaneous integrity signals — precisely the pattern predicted by adversarial Goodhart mechanisms (Manheim &amp; Garrabrant, 2018).</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Section 2: Proxy Overfit Ratio and Friction Decile Lift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overall Proxy Overfit Ratio across the observation period was 1.89. This means that for every unit of improvement in true resolution rate, the proxy resolution rate improved 1.89 units — the proxy improved nearly twice as fast as the genuine outcome it was designed to represent. A POR greater than 1.0 is a formal indication of the regime described by Skalse et al. (2022) as a precondition for sudden true-reward collapse under sustained proxy optimization.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friction decile analysis provides the most visually striking demonstration of the measurement gap. Calls were grouped into ten equal-frequency deciles based on customer churn risk score. Across all deciles, proxy FCR rates remained elevated (range: 36.4%–74.9%). True FCR rates declined monotonically from 53.7% in the lowest-friction decile to 7.7% in the highest-friction decile. The resolution gap in the highest-friction decile (D10) was 69.3 percentage points. The repeat contact rate in D10 was 39.7% and the churn rate was 35.2%. The proxy KPI shows no sensitivity to this gradient: it reads green across the entire friction distribution while the durable outcomes it is intended to represent collapse systematically with friction level.</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Section 3: Terminal Exit Rate and Logistic Regression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Terminal Exit Rate — the proportion of proxy-resolved calls ending in customer churn — was 27.6%. The base churn rate across all calls was 27.63%. The difference was −0.02 percentage points. This finding warrants careful interpretation. It is not merely that the proxy KPI is inaccurate — an inaccurate metric can in principle be corrected or recalibrated. Rather, the proxy KPI is informationally neutral: knowing that a call was marked as resolved conveys no information about whether the customer will churn. The label carries zero predictive signal for the outcome it was designed to represent.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This is a stronger indictment than inaccuracy. An optimization system trained on a label with zero predictive validity for the true goal does not merely learn the wrong thing — it learns noise. The gradient of optimization points nowhere. This finding directly instantiates the extremal Goodhart mechanism described by Manheim and Garrabrant (2018): at the level of individual calls, the proxy metric and the true goal have become statistically decoupled.</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logistic regression analysis confirmed this interpretation at the inferential level. After excluding two predictors with VIF exceeding 400 (rep_policy_skill and agent_qa_score), the final model (N = 82,305, accuracy = 72.4%) showed that no individual predictor was a significant predictor of churn (all p &gt; .05). The proxy resolution flag yielded an odds ratio of 0.99 (95% CI [0.94, 1.05], p = .78). True resolution yielded OR = 1.05 (95% CI [0.99, 1.11], p = .12). Agent gaming propensity yielded OR = 1.02 (95% CI [0.94, 1.11], p = .59).</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null results across all predictors are themselves informative. They indicate that the churn signal in this system is structurally diffuse — it cannot be captured by any single call-level feature. This diffusion is consistent with the theoretical framework offered here: churn is a longitudinal, account-level outcome that reflects the cumulative effect of multiple interactions, structural service failures, and trust decay over time. It cannot be predicted from the features of individual calls, which is precisely why call-level proxy metrics are inadequate training labels for AI systems whose ultimate objective is customer retention. This motivates the system-level governance framework described in Section 5.</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Section 4: Mechanism Signals — Issue Term Lift and Rupture Intensity</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Issue term lift analysis identified specific language patterns in customer-side transcript text that cluster with downstream failure, even when the call was marked as resolved. Terms associated with the highest churn lift included ridiculous (churn lift 1.14x, repeat contact lift 1.81x) and statements of lied or lying (churn lift 1.14x, repeat contact lift 1.81x). Cancellation intent language (cancel) showed churn lift of 1.13x and repeat lift of 1.77x. Critically, proxy FCR rates on calls containing these terms remained at 86.6%–88.8% — the system marked these calls as resolved at the same rate as all other calls, despite the presence of strong linguistic indicators of unresolved distress.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Rupture intensity was analyzed using two signals. First, frustration language rate was computed from customer-side transcript text. This measure is presented with a methodological disclosure: in the synthetic dataset, frustration language encoding is scenario-level rather than emergent; the fraud_store_promo scenario contains 100% frustration language by construction. This does not invalidate the signal as a concept, but it means that transcript-level rupture rates by scenario in this dataset reflect data generation choices, not organic NLP findings. Accordingly, the organic rupture signal relied upon for primary inference is the customer_patience score — a continuous variable ranging from 0 (lowest patience) to 1 (highest patience), gradated across all scenarios and not scenario-labeled. The correlation between customer patience and churn rate is negative and consistent: lower patience scores predict higher churn and higher repeat contact rates across the friction decile distribution.</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Section 5: System Integrity Index as Velocity Regulator</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System Integrity Index (SII) is a weighted composite of four component signals, each normalized to a 0-to-1 scale where higher values indicate greater integrity risk. The formula is:</w:t>
      </w:r>
    </w:p>
    <w:p>
      <w:pPr>
        <w:spacing w:line="480" w:before="0" w:after="0"/>
      </w:pPr>
      <w:r>
        <w:rPr>
          <w:rFonts w:ascii="Times New Roman" w:cs="Times New Roman" w:eastAsia="Times New Roman" w:hAnsi="Times New Roman"/>
          <w:sz w:val="24"/>
          <w:szCs w:val="24"/>
        </w:rPr>
        <w:t xml:space="preserve"/>
      </w:r>
    </w:p>
    <w:p>
      <w:pPr>
        <w:spacing w:line="480" w:before="0" w:after="0"/>
        <w:ind/>
        <w:jc w:val="center"/>
      </w:pPr>
      <w:r>
        <w:rPr>
          <w:rFonts w:ascii="Times New Roman" w:cs="Times New Roman" w:eastAsia="Times New Roman" w:hAnsi="Times New Roman"/>
          <w:sz w:val="24"/>
          <w:szCs w:val="24"/>
        </w:rPr>
        <w:t xml:space="preserve">SII = 100 × (0.30 × DAR + 0.20 × DRL + 0.25 × DOV + 0.25 × POR_n)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Deferred Action Rate (DAR) measures the proportion of proxy-resolved calls that generated a repeat contact within 31 to 60 days — calls where the apparent resolution deferred the underlying problem past the measurement window. The Distribution Replication Loss (DRL) measures distributional drift in the scenario mix of post-resolution calls, computed as Jensen-Shannon divergence from the baseline month. The Degradation of Validity (DOV) measures the decay in proxy-truth agreement rate over time relative to baseline. The normalized Proxy Overfit Ratio (POR_n) captures the degree to which the proxy metric is improving faster than true outcomes.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Directionality of the SII is unambiguous: higher scores indicate greater integrity risk. The index accumulates bad-faith signals; a score of zero indicates perfect integrity. Two threshold conditions are defined. An SII at or above 60 triggers a veto condition: the AI optimization system must not use current labels as training targets, and the measurement environment must be re-audited before optimization resumes. An SII between 30 and 60 triggers a watch condition: drift is detected, human review is required, and optimization may continue only under constraint.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SII operationalizes a conceptual distinction that is central to this paper: performance dashboards optimize, but integrity signals constrain. In the absence of integrity-based constraints, optimization systems have no mechanism for detecting the regime in which their training labels have become invalid. The SII provides that mechanism. When SII rises above threshold, it does not indicate that the system performed poorly — it indicates that the conditions under which optimization was valid no longer hold. The appropriate response is not to optimize harder; it is to halt optimization and repair the measurement environment.</w:t>
      </w:r>
    </w:p>
    <w:p>
      <w:pPr>
        <w:spacing w:line="480" w:before="0" w:after="0"/>
      </w:pPr>
      <w:r>
        <w:rPr>
          <w:rFonts w:ascii="Times New Roman" w:cs="Times New Roman" w:eastAsia="Times New Roman" w:hAnsi="Times New Roman"/>
          <w:sz w:val="24"/>
          <w:szCs w:val="24"/>
        </w:rPr>
        <w:t xml:space="preserve"/>
      </w:r>
    </w:p>
    <w:p>
      <w:pPr>
        <w:pStyle w:val="Heading1"/>
        <w:spacing w:line="480" w:before="0" w:after="0"/>
        <w:jc w:val="center"/>
      </w:pPr>
      <w:r>
        <w:rPr>
          <w:rFonts w:ascii="Times New Roman" w:cs="Times New Roman" w:eastAsia="Times New Roman" w:hAnsi="Times New Roman"/>
          <w:b/>
          <w:bCs/>
          <w:sz w:val="24"/>
          <w:szCs w:val="24"/>
        </w:rPr>
        <w:t xml:space="preserve">Discussion</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The Informational Neutrality Problem</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most consequential finding of this paper is not that the proxy KPI is inaccurate — it is that the proxy KPI is informationally neutral with respect to the outcome it is designed to predict. A Terminal Exit Rate of 27.6% against a base churn rate of 27.63% represents a delta of −0.02 percentage points. The resolution flag carries no signal.</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This distinction matters practically. An AI system trained on an inaccurate label can, in principle, be corrected: find the bias, adjust the label, retrain. An AI system trained on an informationally neutral label has no gradient to follow. The optimization objective is decoupled from the true goal at the measurement level, which means that gradient descent on the proxy will not move the system toward better retention outcomes — it will simply move it toward calls that look resolved. This is precisely the adversarial Goodhart mechanism: agents who learn to game the resolution flag are not just producing noise; they are actively moving the system in a direction that has no relationship to the underlying objective.</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Governance Implications for AI-Optimized Systems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SII framework proposed here addresses the fundamental governance problem in AI-optimized operational systems: how to detect when the measurement environment has degraded past the point where optimization is valid. This problem is not unique to contact centers. Any system in which AI optimization is applied to human behavioral outcomes — hiring, healthcare triage, credit scoring, educational assessment — faces the same structural challenge: the labels used for training are produced by the same human system whose behavior the AI is trying to change.</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SII's role as a velocity regulator rather than a performance score reflects this structural insight. Traditional dashboards are designed to answer the question: how is the system performing? The SII is designed to answer a prior question: are the conditions under which performance measurement is valid still holding? If they are not, performance scores are not informative — they are artifacts of the degraded measurement environment. No amount of optimization on those scores will improve the underlying outcome.</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Limitations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Several limitations of this analysis merit explicit acknowledgment. First, the dataset is synthetic. The relationships between variables were constructed to demonstrate Goodhart effects; they do not represent any actual carrier's operational data. The specific numeric findings (20pp FCR gap, 53.7% flag rate, POR of 1.89) are products of the data generation process and should not be interpreted as industry benchmarks.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Second, the logistic regression null results, while consistent with the theoretical framework and interpretable as informational neutrality, are also consistent with model misspecification, omitted variable bias, or insufficient statistical power for detecting small but real effects. The exclusion of two high-VIF predictors (rep_policy_skill, agent_qa_score) addresses multicollinearity but may also remove genuinely predictive variance. Future work should explore hierarchical modeling approaches that account for the nested structure of calls within agents within teams.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Third, the transcript NLP analysis is limited by the scenario-level encoding of frustration language in the synthetic data. The term lift findings based on individual lexical items (ridiculous, cancel, told me) are more credible as organic signals than the scenario-level rupture rates. Externally valid NLP evidence would require real transcript data with naturally-occurring frustration language distributions.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Fourth, the SII thresholds (30 for watch, 60 for veto) are proposed on theoretical grounds and have not been empirically validated against known outcomes in deployed systems. Future work should calibrate these thresholds against longitudinal operational data in which the true measurement integrity can be independently assessed.</w:t>
      </w:r>
    </w:p>
    <w:p>
      <w:pPr>
        <w:spacing w:line="480" w:before="0" w:after="0"/>
      </w:pPr>
      <w:r>
        <w:rPr>
          <w:rFonts w:ascii="Times New Roman" w:cs="Times New Roman" w:eastAsia="Times New Roman" w:hAnsi="Times New Roman"/>
          <w:sz w:val="24"/>
          <w:szCs w:val="24"/>
        </w:rPr>
        <w:t xml:space="preserve"/>
      </w:r>
    </w:p>
    <w:p>
      <w:pPr>
        <w:pStyle w:val="Heading1"/>
        <w:spacing w:line="480" w:before="0" w:after="0"/>
        <w:jc w:val="center"/>
      </w:pPr>
      <w:r>
        <w:rPr>
          <w:rFonts w:ascii="Times New Roman" w:cs="Times New Roman" w:eastAsia="Times New Roman" w:hAnsi="Times New Roman"/>
          <w:b/>
          <w:bCs/>
          <w:sz w:val="24"/>
          <w:szCs w:val="24"/>
        </w:rPr>
        <w:t xml:space="preserve">Conclusion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This paper has presented empirical evidence that standard contact center proxy metrics — specifically FCR as operationalized by an agent-side resolution flag — exhibit the structural failure modes predicted by Goodhart's Law, Campbell's Law, and the AI alignment literature on specification gaming. The proxy-true resolution gap of 20 percentage points, the Terminal Exit Rate statistically equivalent to the base churn rate, and the non-significant logistic regression odds ratio for the resolution flag collectively indicate that this proxy carries no predictive information about the outcome it is intended to represent. An AI system optimized on this label is not learning to improve customer retention. It is learning to produce calls that look resolved.</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System Integrity Index addresses this problem by introducing a governance layer above the optimization layer. Where performance dashboards ask how well the system is doing, the SII asks whether the measurement conditions under which performance claims are meaningful still hold. When those conditions fail — when the proxy overfit ratio climbs, when deferred action accumulates, when the gap between proxy and truth widens — the SII rises and, at threshold, vetoes further optimization.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broader implication is architectural. AI systems deployed in operational environments where human behavior both generates the training labels and is modified by the AI's recommendations are structurally vulnerable to the Goodhart-Campbell dynamic. Integrity monitoring is not an optional feature in such systems — it is a precondition for any optimization to be meaningful. Performance dashboards optimize. Integrity signals constrain. Both are required.</w:t>
      </w:r>
    </w:p>
    <w:p>
      <w:pPr>
        <w:spacing w:line="480" w:before="0" w:after="0"/>
      </w:pPr>
      <w:r>
        <w:rPr>
          <w:rFonts w:ascii="Times New Roman" w:cs="Times New Roman" w:eastAsia="Times New Roman" w:hAnsi="Times New Roman"/>
          <w:sz w:val="24"/>
          <w:szCs w:val="24"/>
        </w:rPr>
        <w:t xml:space="preserve"/>
      </w:r>
    </w:p>
    <w:p>
      <w:pPr>
        <w:spacing w:line="480" w:before="0" w:after="0"/>
        <w:jc w:val="both"/>
      </w:pPr>
      <w:r>
        <w:rPr>
          <w:rFonts w:ascii="Times New Roman" w:cs="Times New Roman" w:eastAsia="Times New Roman" w:hAnsi="Times New Roman"/>
          <w:sz w:val="24"/>
          <w:szCs w:val="24"/>
        </w:rPr>
      </w:r>
    </w:p>
    <w:p>
      <w:pPr>
        <w:pStyle w:val="Heading1"/>
        <w:spacing w:line="480" w:before="0" w:after="0"/>
        <w:jc w:val="center"/>
      </w:pPr>
      <w:r>
        <w:rPr>
          <w:rFonts w:ascii="Times New Roman" w:cs="Times New Roman" w:eastAsia="Times New Roman" w:hAnsi="Times New Roman"/>
          <w:b/>
          <w:bCs/>
          <w:sz w:val="24"/>
          <w:szCs w:val="24"/>
        </w:rPr>
        <w:t xml:space="preserve">References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Amodei, D., Olah, C., Steinhardt, J., Christiano, P., Schulman, J., &amp; Mané, D. (2016). Concrete problems in AI safety. arXiv preprint arXiv:1606.06565. https://arxiv.org/abs/1606.06565</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Campbell, D. T. (1979). Assessing the impact of planned social change. Evaluation and Program Planning, 2(1), 67–90. https://doi.org/10.1016/0149-7189(79)90048-X</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Goodhart, C. A. E. (1975). Problems of monetary management: The UK experience. In Papers in monetary economics. Reserve Bank of Australia.</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Krakovna, V., Uesato, J., Mikulik, V., Rahtz, M., Everitt, T., Kumar, R., Kenton, Z., Leike, J., &amp; Legg, S. (2020). Specification gaming: The flip side of AI ingenuity. DeepMind Blog. https://deepmind.google/discover/blog/specification-gaming-the-flip-side-of-ai-ingenuity/</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Manheim, D., &amp; Garrabrant, S. (2018). Categorizing variants of Goodhart's Law. arXiv preprint arXiv:1803.04585. https://arxiv.org/abs/1803.04585</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Muller, J. Z. (2018). The tyranny of metrics. Princeton University Press.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Salesforce. (2024). State of service report (6th ed.). Salesforce Research. https://www.salesforce.com/resources/research-reports/state-of-service/</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Skalse, J., Howe, N., Krasheninnikov, D., &amp; Krueger, D. (2022). Defining and characterizing reward hacking. In Advances in Neural Information Processing Systems 36 (NeurIPS 2022). https://arxiv.org/abs/2209.13085</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Strathern, M. (1997). 'Improving ratings': Audit in the British university system. European Review, 5(3), 305–321. https://doi.org/10.1002/euro.10.1017/S1062798700002660</w:t>
      </w:r>
    </w:p>
    <w:p>
      <w:pPr>
        <w:spacing w:line="480" w:before="0" w:after="0"/>
      </w:pPr>
      <w:r>
        <w:rPr>
          <w:rFonts w:ascii="Times New Roman" w:cs="Times New Roman" w:eastAsia="Times New Roman" w:hAnsi="Times New Roman"/>
          <w:sz w:val="24"/>
          <w:szCs w:val="24"/>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aps/>
        <w:sz w:val="20"/>
        <w:szCs w:val="20"/>
      </w:rPr>
      <w:t xml:space="preserve">GOODHART'S LAW IN AI-OPTIMIZED CALL CENTERS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line="480" w:before="0" w:after="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line="480" w:before="0" w:after="0"/>
      <w:jc w:val="left"/>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2026-03-01T22:54:14.983Z</dcterms:created>
  <dcterms:modified xsi:type="dcterms:W3CDTF">2026-03-01T22:54:14.985Z</dcterms:modified>
</cp:coreProperties>
</file>

<file path=docProps/custom.xml><?xml version="1.0" encoding="utf-8"?>
<Properties xmlns="http://schemas.openxmlformats.org/officeDocument/2006/custom-properties" xmlns:vt="http://schemas.openxmlformats.org/officeDocument/2006/docPropsVTypes"/>
</file>