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2C5E8A"/>
          <w:sz w:val="19"/>
        </w:rPr>
        <w:t>專案技術移轉與研究交付手冊 ｜ TECHNICAL &amp; STATISTICAL HANDOVER MANUAL</w:t>
      </w:r>
    </w:p>
    <w:p>
      <w:pPr>
        <w:spacing w:before="80" w:after="120"/>
      </w:pPr>
      <w:r>
        <w:rPr>
          <w:rFonts w:ascii="微軟正黑體" w:hAnsi="微軟正黑體"/>
          <w:b/>
          <w:color w:val="1B365D"/>
          <w:sz w:val="44"/>
        </w:rPr>
        <w:t>DM.xls 健康數據統計分析與視覺化</w:t>
        <w:br/>
        <w:t>專案交接手冊</w:t>
      </w:r>
    </w:p>
    <w:p>
      <w:pPr>
        <w:spacing w:after="320"/>
      </w:pPr>
      <w:r>
        <w:rPr>
          <w:rFonts w:ascii="微軟正黑體" w:hAnsi="微軟正黑體"/>
          <w:color w:val="464646"/>
          <w:sz w:val="23"/>
        </w:rPr>
        <w:t>單一自變數【組別】之完整統計方法學、推論檢定模型、效應量評估暨 Seaborn 箱型圖視覺化</w:t>
      </w:r>
    </w:p>
    <w:tbl>
      <w:tblPr>
        <w:tblW w:type="auto" w:w="0"/>
        <w:jc w:val="center"/>
        <w:tblLook w:firstColumn="1" w:firstRow="1" w:lastColumn="0" w:lastRow="0" w:noHBand="0" w:noVBand="1" w:val="04A0"/>
      </w:tblPr>
      <w:tblGrid>
        <w:gridCol w:w="4680"/>
        <w:gridCol w:w="4680"/>
      </w:tblGrid>
      <w:tr>
        <w:tc>
          <w:tcPr>
            <w:tcW w:type="dxa" w:w="2592"/>
            <w:shd w:fill="F0F4F8"/>
            <w:tcMar>
              <w:top w:w="70" w:type="dxa"/>
              <w:bottom w:w="7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pPr>
            <w:r>
              <w:rPr>
                <w:rFonts w:ascii="微軟正黑體" w:hAnsi="微軟正黑體"/>
                <w:b/>
                <w:color w:val="1B365D"/>
                <w:sz w:val="18"/>
              </w:rPr>
              <w:t>專案名稱</w:t>
            </w:r>
          </w:p>
        </w:tc>
        <w:tc>
          <w:tcPr>
            <w:tcW w:type="dxa" w:w="6768"/>
            <w:shd w:fill="FAFAFA"/>
            <w:tcMar>
              <w:top w:w="70" w:type="dxa"/>
              <w:bottom w:w="7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pPr>
            <w:r>
              <w:rPr>
                <w:rFonts w:ascii="微軟正黑體" w:hAnsi="微軟正黑體"/>
                <w:color w:val="282828"/>
                <w:sz w:val="18"/>
              </w:rPr>
              <w:t>DM.xls 健康指標組別差異統計檢定與視覺化專案</w:t>
            </w:r>
          </w:p>
        </w:tc>
      </w:tr>
      <w:tr>
        <w:tc>
          <w:tcPr>
            <w:tcW w:type="dxa" w:w="2592"/>
            <w:shd w:fill="F0F4F8"/>
            <w:tcMar>
              <w:top w:w="70" w:type="dxa"/>
              <w:bottom w:w="7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pPr>
            <w:r>
              <w:rPr>
                <w:rFonts w:ascii="微軟正黑體" w:hAnsi="微軟正黑體"/>
                <w:b/>
                <w:color w:val="1B365D"/>
                <w:sz w:val="18"/>
              </w:rPr>
              <w:t>交接對象 / 讀者</w:t>
            </w:r>
          </w:p>
        </w:tc>
        <w:tc>
          <w:tcPr>
            <w:tcW w:type="dxa" w:w="6768"/>
            <w:shd w:fill="FAFAFA"/>
            <w:tcMar>
              <w:top w:w="70" w:type="dxa"/>
              <w:bottom w:w="7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pPr>
            <w:r>
              <w:rPr>
                <w:rFonts w:ascii="微軟正黑體" w:hAnsi="微軟正黑體"/>
                <w:color w:val="282828"/>
                <w:sz w:val="18"/>
              </w:rPr>
              <w:t>接手資料科學家、臨床統計分析師、研發工程師及相關專案人員</w:t>
            </w:r>
          </w:p>
        </w:tc>
      </w:tr>
      <w:tr>
        <w:tc>
          <w:tcPr>
            <w:tcW w:type="dxa" w:w="2592"/>
            <w:shd w:fill="F0F4F8"/>
            <w:tcMar>
              <w:top w:w="70" w:type="dxa"/>
              <w:bottom w:w="7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pPr>
            <w:r>
              <w:rPr>
                <w:rFonts w:ascii="微軟正黑體" w:hAnsi="微軟正黑體"/>
                <w:b/>
                <w:color w:val="1B365D"/>
                <w:sz w:val="18"/>
              </w:rPr>
              <w:t>研究變因配置</w:t>
            </w:r>
          </w:p>
        </w:tc>
        <w:tc>
          <w:tcPr>
            <w:tcW w:type="dxa" w:w="6768"/>
            <w:shd w:fill="FAFAFA"/>
            <w:tcMar>
              <w:top w:w="70" w:type="dxa"/>
              <w:bottom w:w="7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pPr>
            <w:r>
              <w:rPr>
                <w:rFonts w:ascii="微軟正黑體" w:hAnsi="微軟正黑體"/>
                <w:color w:val="282828"/>
                <w:sz w:val="18"/>
              </w:rPr>
              <w:t>自變數 (X)：組別 (組別 1 vs 組別 2)；應變數 (Y)：血糖、收縮壓、BMI</w:t>
            </w:r>
          </w:p>
        </w:tc>
      </w:tr>
      <w:tr>
        <w:tc>
          <w:tcPr>
            <w:tcW w:type="dxa" w:w="2592"/>
            <w:shd w:fill="F0F4F8"/>
            <w:tcMar>
              <w:top w:w="70" w:type="dxa"/>
              <w:bottom w:w="7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pPr>
            <w:r>
              <w:rPr>
                <w:rFonts w:ascii="微軟正黑體" w:hAnsi="微軟正黑體"/>
                <w:b/>
                <w:color w:val="1B365D"/>
                <w:sz w:val="18"/>
              </w:rPr>
              <w:t>統計方法學特色</w:t>
            </w:r>
          </w:p>
        </w:tc>
        <w:tc>
          <w:tcPr>
            <w:tcW w:type="dxa" w:w="6768"/>
            <w:shd w:fill="FAFAFA"/>
            <w:tcMar>
              <w:top w:w="70" w:type="dxa"/>
              <w:bottom w:w="7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pPr>
            <w:r>
              <w:rPr>
                <w:rFonts w:ascii="微軟正黑體" w:hAnsi="微軟正黑體"/>
                <w:color w:val="282828"/>
                <w:sz w:val="18"/>
              </w:rPr>
              <w:t>常態性檢定 (Shapiro-Wilk)、變異數齊一性 (Levene)、Welch's t 檢定、Mann-Whitney U 檢定、Cohen's d / Hedges' g 效應量</w:t>
            </w:r>
          </w:p>
        </w:tc>
      </w:tr>
      <w:tr>
        <w:tc>
          <w:tcPr>
            <w:tcW w:type="dxa" w:w="2592"/>
            <w:shd w:fill="F0F4F8"/>
            <w:tcMar>
              <w:top w:w="70" w:type="dxa"/>
              <w:bottom w:w="7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pPr>
            <w:r>
              <w:rPr>
                <w:rFonts w:ascii="微軟正黑體" w:hAnsi="微軟正黑體"/>
                <w:b/>
                <w:color w:val="1B365D"/>
                <w:sz w:val="18"/>
              </w:rPr>
              <w:t>文件版本 / 日期</w:t>
            </w:r>
          </w:p>
        </w:tc>
        <w:tc>
          <w:tcPr>
            <w:tcW w:type="dxa" w:w="6768"/>
            <w:shd w:fill="FAFAFA"/>
            <w:tcMar>
              <w:top w:w="70" w:type="dxa"/>
              <w:bottom w:w="7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pPr>
            <w:r>
              <w:rPr>
                <w:rFonts w:ascii="微軟正黑體" w:hAnsi="微軟正黑體"/>
                <w:color w:val="282828"/>
                <w:sz w:val="18"/>
              </w:rPr>
              <w:t>版本 v2.0 (完整統計方法版) ｜ 2026 年 10 月 08 日</w:t>
            </w:r>
          </w:p>
        </w:tc>
      </w:tr>
    </w:tbl>
    <w:p>
      <w:pPr>
        <w:spacing w:after="240"/>
      </w:pPr>
    </w:p>
    <w:p>
      <w:pPr>
        <w:pStyle w:val="Heading1"/>
        <w:spacing w:before="280" w:after="120"/>
      </w:pPr>
      <w:r>
        <w:rPr>
          <w:rFonts w:ascii="微軟正黑體" w:hAnsi="微軟正黑體"/>
          <w:b/>
          <w:color w:val="1B365D"/>
          <w:sz w:val="28"/>
        </w:rPr>
        <w:t>第一章、專案背景與需求說明</w:t>
      </w:r>
    </w:p>
    <w:p>
      <w:pPr>
        <w:spacing w:line="300" w:lineRule="auto" w:after="120"/>
      </w:pPr>
      <w:r>
        <w:t xml:space="preserve">本專案基於臨床健康量測資料檔 </w:t>
      </w:r>
      <w:r>
        <w:rPr>
          <w:b/>
        </w:rPr>
        <w:t>DM.xls</w:t>
      </w:r>
      <w:r>
        <w:t>，旨在針對人體核心代謝生理指標進行嚴謹之組別差異分析與統計圖表建置。依據研究委託需求，本分析遵循嚴格之「</w:t>
      </w:r>
      <w:r>
        <w:rPr>
          <w:b/>
        </w:rPr>
        <w:t>單一因子實驗設計 (Single-Factor Design)</w:t>
      </w:r>
      <w:r>
        <w:t>」原則，以「</w:t>
      </w:r>
      <w:r>
        <w:rPr>
          <w:b/>
        </w:rPr>
        <w:t>組別 (Group)</w:t>
      </w:r>
      <w:r>
        <w:t>」作為唯一探討之自變數，探討兩組在三大連續型代謝指標上的分佈差異與統計顯著性：</w:t>
      </w:r>
    </w:p>
    <w:p>
      <w:pPr>
        <w:pStyle w:val="ListBullet"/>
        <w:spacing w:after="40" w:line="276" w:lineRule="auto"/>
      </w:pPr>
      <w:r>
        <w:rPr>
          <w:rFonts w:ascii="微軟正黑體" w:hAnsi="微軟正黑體"/>
          <w:b/>
        </w:rPr>
        <w:t>血糖 (Blood Glucose, mg/dL)：</w:t>
      </w:r>
      <w:r>
        <w:rPr>
          <w:rFonts w:ascii="微軟正黑體" w:hAnsi="微軟正黑體"/>
        </w:rPr>
        <w:t>反映人體醣類代謝調節機能、胰島素抗性及第 2 型糖尿病之關鍵生化指標。</w:t>
      </w:r>
    </w:p>
    <w:p>
      <w:pPr>
        <w:pStyle w:val="ListBullet"/>
        <w:spacing w:after="40" w:line="276" w:lineRule="auto"/>
      </w:pPr>
      <w:r>
        <w:rPr>
          <w:rFonts w:ascii="微軟正黑體" w:hAnsi="微軟正黑體"/>
          <w:b/>
        </w:rPr>
        <w:t>收縮壓 (Systolic Blood Pressure, mmHg)：</w:t>
      </w:r>
      <w:r>
        <w:rPr>
          <w:rFonts w:ascii="微軟正黑體" w:hAnsi="微軟正黑體"/>
        </w:rPr>
        <w:t>心室收縮時血液對主動脈管壁產生之最高側壓力，心血管疾病、中風與動脈硬化之核心指標。</w:t>
      </w:r>
    </w:p>
    <w:p>
      <w:pPr>
        <w:pStyle w:val="ListBullet"/>
        <w:spacing w:after="40" w:line="276" w:lineRule="auto"/>
      </w:pPr>
      <w:r>
        <w:rPr>
          <w:rFonts w:ascii="微軟正黑體" w:hAnsi="微軟正黑體"/>
          <w:b/>
        </w:rPr>
        <w:t>身體質量指數 (Body Mass Index, kg/m²)：</w:t>
      </w:r>
      <w:r>
        <w:rPr>
          <w:rFonts w:ascii="微軟正黑體" w:hAnsi="微軟正黑體"/>
        </w:rPr>
        <w:t>體重與身高平方之比值，世界衛生組織衡量體位過重與代謝症候群肥胖程度之首要指標。</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sz="4" w:space="0" w:color="auto"/>
              <w:left w:val="single" w:sz="24" w:space="0" w:color="1B365D"/>
              <w:bottom w:val="none" w:sz="4" w:space="0" w:color="auto"/>
              <w:right w:val="none" w:sz="4" w:space="0" w:color="auto"/>
            </w:tcBorders>
          </w:tcPr>
          <w:p>
            <w:pPr>
              <w:spacing w:before="40" w:after="40" w:line="288" w:lineRule="auto"/>
            </w:pPr>
            <w:r>
              <w:rPr>
                <w:rFonts w:ascii="微軟正黑體" w:hAnsi="微軟正黑體"/>
                <w:b/>
                <w:color w:val="1B365D"/>
                <w:sz w:val="20"/>
              </w:rPr>
              <w:t>📌 單一因子設計原則：</w:t>
              <w:br/>
            </w:r>
            <w:r>
              <w:rPr>
                <w:rFonts w:ascii="微軟正黑體" w:hAnsi="微軟正黑體"/>
                <w:color w:val="282828"/>
                <w:sz w:val="19"/>
              </w:rPr>
              <w:t>為避免多因子干擾並聚焦主要臨床假設，本專案依要求排除性別、年齡等次要共變數之交互作用分析，專注於檢定組別 1 與組別 2 在血糖、血壓與 BMI 上的組間主效應 (Main Effect)。</w:t>
            </w:r>
          </w:p>
        </w:tc>
      </w:tr>
    </w:tbl>
    <w:p>
      <w:pPr>
        <w:spacing w:after="80"/>
      </w:pPr>
    </w:p>
    <w:p>
      <w:pPr>
        <w:pStyle w:val="Heading1"/>
        <w:spacing w:before="280" w:after="120"/>
      </w:pPr>
      <w:r>
        <w:rPr>
          <w:rFonts w:ascii="微軟正黑體" w:hAnsi="微軟正黑體"/>
          <w:b/>
          <w:color w:val="1B365D"/>
          <w:sz w:val="28"/>
        </w:rPr>
        <w:t>第二章、資料集架構與資料字典</w:t>
      </w:r>
    </w:p>
    <w:p>
      <w:pPr>
        <w:spacing w:line="300" w:lineRule="auto" w:after="120"/>
      </w:pPr>
      <w:r>
        <w:t>原始資料檔儲存為 Microsoft Excel 97-2004 格式 (BIFF8 / .xls)，字元編碼為 Windows Code Page 950 (Big5 繁體中文)。工作表名稱為「工作表1」。樣本規模總計 22 筆紀錄，且無缺失值 (Missing Value = 0)。</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90" w:type="dxa"/>
              <w:bottom w:w="90" w:type="dxa"/>
              <w:left w:w="100" w:type="dxa"/>
              <w:right w:w="100" w:type="dxa"/>
            </w:tcMar>
          </w:tcPr>
          <w:p>
            <w:pPr>
              <w:spacing w:after="0"/>
              <w:jc w:val="center"/>
            </w:pPr>
            <w:r>
              <w:rPr>
                <w:rFonts w:ascii="微軟正黑體" w:hAnsi="微軟正黑體"/>
                <w:b/>
                <w:color w:val="FFFFFF"/>
                <w:sz w:val="18"/>
              </w:rPr>
              <w:t>欄位名稱</w:t>
            </w:r>
          </w:p>
        </w:tc>
        <w:tc>
          <w:tcPr>
            <w:tcW w:type="dxa" w:w="1872"/>
            <w:shd w:fill="1B365D"/>
            <w:tcMar>
              <w:top w:w="90" w:type="dxa"/>
              <w:bottom w:w="90" w:type="dxa"/>
              <w:left w:w="100" w:type="dxa"/>
              <w:right w:w="100" w:type="dxa"/>
            </w:tcMar>
          </w:tcPr>
          <w:p>
            <w:pPr>
              <w:spacing w:after="0"/>
              <w:jc w:val="center"/>
            </w:pPr>
            <w:r>
              <w:rPr>
                <w:rFonts w:ascii="微軟正黑體" w:hAnsi="微軟正黑體"/>
                <w:b/>
                <w:color w:val="FFFFFF"/>
                <w:sz w:val="18"/>
              </w:rPr>
              <w:t>資料型態</w:t>
            </w:r>
          </w:p>
        </w:tc>
        <w:tc>
          <w:tcPr>
            <w:tcW w:type="dxa" w:w="1872"/>
            <w:shd w:fill="1B365D"/>
            <w:tcMar>
              <w:top w:w="90" w:type="dxa"/>
              <w:bottom w:w="90" w:type="dxa"/>
              <w:left w:w="100" w:type="dxa"/>
              <w:right w:w="100" w:type="dxa"/>
            </w:tcMar>
          </w:tcPr>
          <w:p>
            <w:pPr>
              <w:spacing w:after="0"/>
              <w:jc w:val="center"/>
            </w:pPr>
            <w:r>
              <w:rPr>
                <w:rFonts w:ascii="微軟正黑體" w:hAnsi="微軟正黑體"/>
                <w:b/>
                <w:color w:val="FFFFFF"/>
                <w:sz w:val="18"/>
              </w:rPr>
              <w:t>變數角色</w:t>
            </w:r>
          </w:p>
        </w:tc>
        <w:tc>
          <w:tcPr>
            <w:tcW w:type="dxa" w:w="1872"/>
            <w:shd w:fill="1B365D"/>
            <w:tcMar>
              <w:top w:w="90" w:type="dxa"/>
              <w:bottom w:w="90" w:type="dxa"/>
              <w:left w:w="100" w:type="dxa"/>
              <w:right w:w="100" w:type="dxa"/>
            </w:tcMar>
          </w:tcPr>
          <w:p>
            <w:pPr>
              <w:spacing w:after="0"/>
              <w:jc w:val="center"/>
            </w:pPr>
            <w:r>
              <w:rPr>
                <w:rFonts w:ascii="微軟正黑體" w:hAnsi="微軟正黑體"/>
                <w:b/>
                <w:color w:val="FFFFFF"/>
                <w:sz w:val="18"/>
              </w:rPr>
              <w:t>值域範圍</w:t>
            </w:r>
          </w:p>
        </w:tc>
        <w:tc>
          <w:tcPr>
            <w:tcW w:type="dxa" w:w="1872"/>
            <w:shd w:fill="1B365D"/>
            <w:tcMar>
              <w:top w:w="90" w:type="dxa"/>
              <w:bottom w:w="90" w:type="dxa"/>
              <w:left w:w="100" w:type="dxa"/>
              <w:right w:w="100" w:type="dxa"/>
            </w:tcMar>
          </w:tcPr>
          <w:p>
            <w:pPr>
              <w:spacing w:after="0"/>
              <w:jc w:val="center"/>
            </w:pPr>
            <w:r>
              <w:rPr>
                <w:rFonts w:ascii="微軟正黑體" w:hAnsi="微軟正黑體"/>
                <w:b/>
                <w:color w:val="FFFFFF"/>
                <w:sz w:val="18"/>
              </w:rPr>
              <w:t>欄位定義說明</w:t>
            </w:r>
          </w:p>
        </w:tc>
      </w:tr>
      <w:tr>
        <w:tc>
          <w:tcPr>
            <w:tcW w:type="dxa" w:w="1872"/>
            <w:shd w:fill="FFFFFF"/>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編號</w:t>
            </w:r>
          </w:p>
        </w:tc>
        <w:tc>
          <w:tcPr>
            <w:tcW w:type="dxa" w:w="1872"/>
            <w:shd w:fill="FFFFFF"/>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整數 (int64)</w:t>
            </w:r>
          </w:p>
        </w:tc>
        <w:tc>
          <w:tcPr>
            <w:tcW w:type="dxa" w:w="1872"/>
            <w:shd w:fill="FFFFFF"/>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識別標籤 (ID)</w:t>
            </w:r>
          </w:p>
        </w:tc>
        <w:tc>
          <w:tcPr>
            <w:tcW w:type="dxa" w:w="1872"/>
            <w:shd w:fill="FFFFFF"/>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1 ~ 200</w:t>
            </w:r>
          </w:p>
        </w:tc>
        <w:tc>
          <w:tcPr>
            <w:tcW w:type="dxa" w:w="1872"/>
            <w:shd w:fill="FFFFFF"/>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pPr>
            <w:r>
              <w:rPr>
                <w:rFonts w:ascii="微軟正黑體" w:hAnsi="微軟正黑體"/>
                <w:color w:val="282828"/>
                <w:sz w:val="17"/>
              </w:rPr>
              <w:t>受試者代號流水號</w:t>
            </w:r>
          </w:p>
        </w:tc>
      </w:tr>
      <w:tr>
        <w:tc>
          <w:tcPr>
            <w:tcW w:type="dxa" w:w="1872"/>
            <w:shd w:fill="F7F9FB"/>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組別</w:t>
            </w:r>
          </w:p>
        </w:tc>
        <w:tc>
          <w:tcPr>
            <w:tcW w:type="dxa" w:w="1872"/>
            <w:shd w:fill="F7F9FB"/>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整數 (int64)</w:t>
            </w:r>
          </w:p>
        </w:tc>
        <w:tc>
          <w:tcPr>
            <w:tcW w:type="dxa" w:w="1872"/>
            <w:shd w:fill="F7F9FB"/>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自變數 (X)</w:t>
            </w:r>
          </w:p>
        </w:tc>
        <w:tc>
          <w:tcPr>
            <w:tcW w:type="dxa" w:w="1872"/>
            <w:shd w:fill="F7F9FB"/>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1 或 2</w:t>
            </w:r>
          </w:p>
        </w:tc>
        <w:tc>
          <w:tcPr>
            <w:tcW w:type="dxa" w:w="1872"/>
            <w:shd w:fill="F7F9FB"/>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pPr>
            <w:r>
              <w:rPr>
                <w:rFonts w:ascii="微軟正黑體" w:hAnsi="微軟正黑體"/>
                <w:color w:val="282828"/>
                <w:sz w:val="17"/>
              </w:rPr>
              <w:t>1 = 組別 1 (n=11)；2 = 組別 2 (n=11)</w:t>
            </w:r>
          </w:p>
        </w:tc>
      </w:tr>
      <w:tr>
        <w:tc>
          <w:tcPr>
            <w:tcW w:type="dxa" w:w="1872"/>
            <w:shd w:fill="FFFFFF"/>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性別</w:t>
            </w:r>
          </w:p>
        </w:tc>
        <w:tc>
          <w:tcPr>
            <w:tcW w:type="dxa" w:w="1872"/>
            <w:shd w:fill="FFFFFF"/>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整數 (int64)</w:t>
            </w:r>
          </w:p>
        </w:tc>
        <w:tc>
          <w:tcPr>
            <w:tcW w:type="dxa" w:w="1872"/>
            <w:shd w:fill="FFFFFF"/>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人口學背景</w:t>
            </w:r>
          </w:p>
        </w:tc>
        <w:tc>
          <w:tcPr>
            <w:tcW w:type="dxa" w:w="1872"/>
            <w:shd w:fill="FFFFFF"/>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1 或 2</w:t>
            </w:r>
          </w:p>
        </w:tc>
        <w:tc>
          <w:tcPr>
            <w:tcW w:type="dxa" w:w="1872"/>
            <w:shd w:fill="FFFFFF"/>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pPr>
            <w:r>
              <w:rPr>
                <w:rFonts w:ascii="微軟正黑體" w:hAnsi="微軟正黑體"/>
                <w:color w:val="282828"/>
                <w:sz w:val="17"/>
              </w:rPr>
              <w:t>1 = 男性 (n=10)；2 = 女性 (n=12)</w:t>
            </w:r>
          </w:p>
        </w:tc>
      </w:tr>
      <w:tr>
        <w:tc>
          <w:tcPr>
            <w:tcW w:type="dxa" w:w="1872"/>
            <w:shd w:fill="F7F9FB"/>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年齡</w:t>
            </w:r>
          </w:p>
        </w:tc>
        <w:tc>
          <w:tcPr>
            <w:tcW w:type="dxa" w:w="1872"/>
            <w:shd w:fill="F7F9FB"/>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整數 (int64)</w:t>
            </w:r>
          </w:p>
        </w:tc>
        <w:tc>
          <w:tcPr>
            <w:tcW w:type="dxa" w:w="1872"/>
            <w:shd w:fill="F7F9FB"/>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人口學背景</w:t>
            </w:r>
          </w:p>
        </w:tc>
        <w:tc>
          <w:tcPr>
            <w:tcW w:type="dxa" w:w="1872"/>
            <w:shd w:fill="F7F9FB"/>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35 ~ 60 歲</w:t>
            </w:r>
          </w:p>
        </w:tc>
        <w:tc>
          <w:tcPr>
            <w:tcW w:type="dxa" w:w="1872"/>
            <w:shd w:fill="F7F9FB"/>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pPr>
            <w:r>
              <w:rPr>
                <w:rFonts w:ascii="微軟正黑體" w:hAnsi="微軟正黑體"/>
                <w:color w:val="282828"/>
                <w:sz w:val="17"/>
              </w:rPr>
              <w:t>受試者足歲年齡（平均 48.6 歲）</w:t>
            </w:r>
          </w:p>
        </w:tc>
      </w:tr>
      <w:tr>
        <w:tc>
          <w:tcPr>
            <w:tcW w:type="dxa" w:w="1872"/>
            <w:shd w:fill="FFFFFF"/>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收縮壓 (mmHg)</w:t>
            </w:r>
          </w:p>
        </w:tc>
        <w:tc>
          <w:tcPr>
            <w:tcW w:type="dxa" w:w="1872"/>
            <w:shd w:fill="FFFFFF"/>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整數 (int64)</w:t>
            </w:r>
          </w:p>
        </w:tc>
        <w:tc>
          <w:tcPr>
            <w:tcW w:type="dxa" w:w="1872"/>
            <w:shd w:fill="FFFFFF"/>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應變數 (Y1)</w:t>
            </w:r>
          </w:p>
        </w:tc>
        <w:tc>
          <w:tcPr>
            <w:tcW w:type="dxa" w:w="1872"/>
            <w:shd w:fill="FFFFFF"/>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118 ~ 162</w:t>
            </w:r>
          </w:p>
        </w:tc>
        <w:tc>
          <w:tcPr>
            <w:tcW w:type="dxa" w:w="1872"/>
            <w:shd w:fill="FFFFFF"/>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pPr>
            <w:r>
              <w:rPr>
                <w:rFonts w:ascii="微軟正黑體" w:hAnsi="微軟正黑體"/>
                <w:color w:val="282828"/>
                <w:sz w:val="17"/>
              </w:rPr>
              <w:t>動脈收縮壓 (mmHg)</w:t>
            </w:r>
          </w:p>
        </w:tc>
      </w:tr>
      <w:tr>
        <w:tc>
          <w:tcPr>
            <w:tcW w:type="dxa" w:w="1872"/>
            <w:shd w:fill="F7F9FB"/>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血糖 (mg/dL)</w:t>
            </w:r>
          </w:p>
        </w:tc>
        <w:tc>
          <w:tcPr>
            <w:tcW w:type="dxa" w:w="1872"/>
            <w:shd w:fill="F7F9FB"/>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整數 (int64)</w:t>
            </w:r>
          </w:p>
        </w:tc>
        <w:tc>
          <w:tcPr>
            <w:tcW w:type="dxa" w:w="1872"/>
            <w:shd w:fill="F7F9FB"/>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應變數 (Y2)</w:t>
            </w:r>
          </w:p>
        </w:tc>
        <w:tc>
          <w:tcPr>
            <w:tcW w:type="dxa" w:w="1872"/>
            <w:shd w:fill="F7F9FB"/>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88 ~ 212</w:t>
            </w:r>
          </w:p>
        </w:tc>
        <w:tc>
          <w:tcPr>
            <w:tcW w:type="dxa" w:w="1872"/>
            <w:shd w:fill="F7F9FB"/>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pPr>
            <w:r>
              <w:rPr>
                <w:rFonts w:ascii="微軟正黑體" w:hAnsi="微軟正黑體"/>
                <w:color w:val="282828"/>
                <w:sz w:val="17"/>
              </w:rPr>
              <w:t>血液葡萄糖濃度 (mg/dL)</w:t>
            </w:r>
          </w:p>
        </w:tc>
      </w:tr>
      <w:tr>
        <w:tc>
          <w:tcPr>
            <w:tcW w:type="dxa" w:w="1872"/>
            <w:shd w:fill="FFFFFF"/>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BMI (kg/m²)</w:t>
            </w:r>
          </w:p>
        </w:tc>
        <w:tc>
          <w:tcPr>
            <w:tcW w:type="dxa" w:w="1872"/>
            <w:shd w:fill="FFFFFF"/>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浮點數 (float64)</w:t>
            </w:r>
          </w:p>
        </w:tc>
        <w:tc>
          <w:tcPr>
            <w:tcW w:type="dxa" w:w="1872"/>
            <w:shd w:fill="FFFFFF"/>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應變數 (Y3)</w:t>
            </w:r>
          </w:p>
        </w:tc>
        <w:tc>
          <w:tcPr>
            <w:tcW w:type="dxa" w:w="1872"/>
            <w:shd w:fill="FFFFFF"/>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21.7 ~ 32.3</w:t>
            </w:r>
          </w:p>
        </w:tc>
        <w:tc>
          <w:tcPr>
            <w:tcW w:type="dxa" w:w="1872"/>
            <w:shd w:fill="FFFFFF"/>
            <w:tcMar>
              <w:top w:w="60" w:type="dxa"/>
              <w:bottom w:w="60" w:type="dxa"/>
              <w:left w:w="90" w:type="dxa"/>
              <w:right w:w="90" w:type="dxa"/>
            </w:tcMar>
            <w:tcBorders>
              <w:top w:val="single" w:sz="4" w:space="0" w:color="D0D7DE"/>
              <w:left w:val="single" w:sz="4" w:space="0" w:color="D0D7DE"/>
              <w:bottom w:val="single" w:sz="4" w:space="0" w:color="D0D7DE"/>
              <w:right w:val="single" w:sz="4" w:space="0" w:color="D0D7DE"/>
            </w:tcBorders>
          </w:tcPr>
          <w:p>
            <w:pPr>
              <w:spacing w:after="0"/>
            </w:pPr>
            <w:r>
              <w:rPr>
                <w:rFonts w:ascii="微軟正黑體" w:hAnsi="微軟正黑體"/>
                <w:color w:val="282828"/>
                <w:sz w:val="17"/>
              </w:rPr>
              <w:t>身體質量指數 (kg/m²)</w:t>
            </w:r>
          </w:p>
        </w:tc>
      </w:tr>
    </w:tbl>
    <w:p>
      <w:pPr>
        <w:spacing w:after="160"/>
      </w:pPr>
    </w:p>
    <w:p>
      <w:pPr>
        <w:pStyle w:val="Heading1"/>
        <w:spacing w:before="280" w:after="120"/>
      </w:pPr>
      <w:r>
        <w:rPr>
          <w:rFonts w:ascii="微軟正黑體" w:hAnsi="微軟正黑體"/>
          <w:b/>
          <w:color w:val="1B365D"/>
          <w:sz w:val="28"/>
        </w:rPr>
        <w:t>第三章、完整統計方法學 (Statistical Methodology)</w:t>
      </w:r>
    </w:p>
    <w:p>
      <w:pPr>
        <w:spacing w:line="300" w:lineRule="auto" w:after="120"/>
      </w:pPr>
      <w:r>
        <w:t>為使接手團隊能完全理解本專案之統計決策與數理依據，本章詳列自資料前處理、常態性與同質性檢定、母數與無母數假設檢定、效應量計算到顯著水準設定之完整數理規範與執行準則。</w:t>
      </w:r>
    </w:p>
    <w:p>
      <w:pPr>
        <w:pStyle w:val="Heading2"/>
        <w:spacing w:before="200" w:after="60"/>
      </w:pPr>
      <w:r>
        <w:rPr>
          <w:rFonts w:ascii="微軟正黑體" w:hAnsi="微軟正黑體"/>
          <w:b/>
          <w:color w:val="2C5E8A"/>
          <w:sz w:val="23"/>
        </w:rPr>
        <w:t>3.1 變數分類與操作型定義</w:t>
      </w:r>
    </w:p>
    <w:p>
      <w:pPr>
        <w:spacing w:line="288" w:lineRule="auto"/>
      </w:pPr>
      <w:r>
        <w:t>1. 自變數 (Independent Variable)：組別（類別型名義尺度，Dichotomous Categorical Variable）。分為「組別 1」與「組別 2」，樣本量各為 n₁ = 11、n₂ = 11。</w:t>
        <w:br/>
        <w:t>2. 應變數 (Dependent Variables)：血糖、收縮壓、BMI。三者皆為連續型等比尺度變數 (Continuous Ratio Scale Variables)。</w:t>
      </w:r>
    </w:p>
    <w:p>
      <w:pPr>
        <w:pStyle w:val="Heading2"/>
        <w:spacing w:before="200" w:after="60"/>
      </w:pPr>
      <w:r>
        <w:rPr>
          <w:rFonts w:ascii="微軟正黑體" w:hAnsi="微軟正黑體"/>
          <w:b/>
          <w:color w:val="2C5E8A"/>
          <w:sz w:val="23"/>
        </w:rPr>
        <w:t>3.2 描述性統計量運算準則</w:t>
      </w:r>
    </w:p>
    <w:p>
      <w:pPr>
        <w:spacing w:line="288" w:lineRule="auto"/>
      </w:pPr>
      <w:r>
        <w:t>針對各組連續變數計算下列描述性統計量以刻劃資料分佈特徵：</w:t>
        <w:br/>
        <w:t>• 集中趨勢 (Central Tendency)：</w:t>
        <w:br/>
        <w:t xml:space="preserve">  - 算術平均數 (Sample Mean)：X̄ = (1/n) ∑ Xᵢ</w:t>
        <w:br/>
        <w:t xml:space="preserve">  - 中位數 (Sample Median, M)：排序後第 50 百分位數，對偏態與極端值具穩健性 (Robustness)。</w:t>
        <w:br/>
        <w:t>• 離散程度 (Dispersion)：</w:t>
        <w:br/>
        <w:t xml:space="preserve">  - 樣本標準差 (Sample Standard Deviation, SD)：s = √[ (1/(n-1)) ∑ (Xᵢ - X̄)² ]</w:t>
        <w:br/>
        <w:t xml:space="preserve">  - 四分位距 (Interquartile Range, IQR)：IQR = Q₃ - Q₁（第 75 百分位數減第 25 百分位數），為箱型圖箱體長度之數學定義。</w:t>
        <w:br/>
        <w:t xml:space="preserve">  - 全距與極值：最小值 (Min) 與最大值 (Max)。</w:t>
      </w:r>
    </w:p>
    <w:p>
      <w:pPr>
        <w:pStyle w:val="Heading2"/>
        <w:spacing w:before="200" w:after="60"/>
      </w:pPr>
      <w:r>
        <w:rPr>
          <w:rFonts w:ascii="微軟正黑體" w:hAnsi="微軟正黑體"/>
          <w:b/>
          <w:color w:val="2C5E8A"/>
          <w:sz w:val="23"/>
        </w:rPr>
        <w:t>3.3 統計模型前提假設檢驗 (Assumption Testing)</w:t>
      </w:r>
    </w:p>
    <w:p>
      <w:pPr>
        <w:spacing w:line="300" w:lineRule="auto"/>
      </w:pPr>
      <w:r>
        <w:t>在執行組間推論統計前，必須先嚴格檢驗母數分析之兩大基本前提假設：</w:t>
        <w:br/>
        <w:br/>
        <w:t>【1. 常態性檢定 (Normality Test) — Shapiro-Wilk 檢定】：</w:t>
        <w:br/>
        <w:t>由於本研究兩組樣本數各為 11 (屬於小樣本 n &lt; 30)，檢驗力最高之常態性檢定為 Shapiro-Wilk W 檢定。</w:t>
        <w:br/>
        <w:t>• 虛無假設 H₀：該組樣本來自常態分佈母體。</w:t>
        <w:br/>
        <w:t>• 對立假設 H₁：該組樣本非來自常態分佈母體。</w:t>
        <w:br/>
        <w:t>• 判定準則：顯著水準設為 α = 0.05。若 p &gt; 0.05，則無法拒絕 H₀，判定資料符合常態分配假設。</w:t>
        <w:br/>
        <w:br/>
        <w:t>【2. 變異數同質性檢定 (Homogeneity of Variance Test) — Levene 檢定】：</w:t>
        <w:br/>
        <w:t>評估組別 1 與組別 2 的母體變異數是否相等 (齊一性)。</w:t>
        <w:br/>
        <w:t>• 虛無假設 H₀：σ₁² = σ₂²（兩組母體變異數同質）。</w:t>
        <w:br/>
        <w:t>• 對立假設 H₁：σ₁² ≠ σ₂²（兩組母體變異數不同質）。</w:t>
        <w:br/>
        <w:t>• 判定準則：若 p &lt; 0.05，則拒絕變異數齊一假設，推論統計時必須採用 Welch 校正。</w:t>
      </w:r>
    </w:p>
    <w:p>
      <w:pPr>
        <w:pStyle w:val="Heading2"/>
        <w:spacing w:before="200" w:after="60"/>
      </w:pPr>
      <w:r>
        <w:rPr>
          <w:rFonts w:ascii="微軟正黑體" w:hAnsi="微軟正黑體"/>
          <w:b/>
          <w:color w:val="2C5E8A"/>
          <w:sz w:val="23"/>
        </w:rPr>
        <w:t>3.4 組間差異推論統計檢定模型</w:t>
      </w:r>
    </w:p>
    <w:p>
      <w:pPr>
        <w:spacing w:line="300" w:lineRule="auto"/>
      </w:pPr>
      <w:r>
        <w:t>本專案同時採用「母數檢定」與「無母數檢定」雙軌驗證，以確保統計推論結論無懈可擊：</w:t>
        <w:br/>
        <w:br/>
        <w:t>【1. 韋爾奇獨立樣本 t 檢定 (Welch's Independent Two-Sample t-test)】：</w:t>
        <w:br/>
        <w:t>• 採用原因：Levene 檢定結果顯示血糖變數之變異數顯著不同質 (p = 0.0391)；且統計學文獻 (Delacre et al., 2017) 強烈建議：無論變異數是否同質，小樣本下 Welch's t-test 皆比傳統 Student's t-test 更能有效控制第一型錯誤率 (Type I Error Rate) 並維持檢定力。</w:t>
        <w:br/>
        <w:t>• 假設設定：H₀: μ₁ = μ₂  vs  H₁: μ₁ ≠ μ₂（雙尾檢定）。</w:t>
        <w:br/>
        <w:t>• 檢定統計量公式：</w:t>
        <w:br/>
        <w:t xml:space="preserve">    t = (X̄₁ - X̄₂) / √[ (s₁²/n₁) + (s₂²/n₂) ]</w:t>
        <w:br/>
        <w:t>• 自由度 (Welch-Satterthwaite 公式)：</w:t>
        <w:br/>
        <w:t xml:space="preserve">    df = [ (s₁²/n₁) + (s₂²/n₂) ]² / [ ((s₁²/n₁)² / (n₁ - 1)) + ((s₂²/n₂)² / (n₂ - 1)) ]</w:t>
        <w:br/>
        <w:br/>
        <w:t>【2. 曼-惠特尼 U 檢定 (Mann-Whitney U Test / Wilcoxon Rank-Sum Test)】：</w:t>
        <w:br/>
        <w:t>• 採用原因：作為無母數檢定之備援驗證，不預設母體分配型態，直接比較兩組排序等級總和 (Rank Sum)，防範小樣本常態偏離之風險。</w:t>
        <w:br/>
        <w:t>• 假設設定：兩組母體之分佈連續型態無差異。</w:t>
        <w:br/>
        <w:t>• 檢定統計量：U₁ = n₁n₂ + (n₁(n₁+1)/2) - R₁，其中 R₁ 為組別 1 之等級和。</w:t>
        <w:br/>
        <w:br/>
        <w:t>【3. 平均數差值 95% 信賴區間 (95% Confidence Interval of Difference)】：</w:t>
        <w:br/>
        <w:t xml:space="preserve">    95% CI = (X̄₁ - X̄₂) ± t_crit(0.025, df) × SE_diff</w:t>
        <w:br/>
        <w:t>若信賴區間不包含 0，表示兩組母體平均數在 95% 信心水準下具有統計顯著差異。</w:t>
      </w:r>
    </w:p>
    <w:p>
      <w:pPr>
        <w:pStyle w:val="Heading2"/>
        <w:spacing w:before="200" w:after="60"/>
      </w:pPr>
      <w:r>
        <w:rPr>
          <w:rFonts w:ascii="微軟正黑體" w:hAnsi="微軟正黑體"/>
          <w:b/>
          <w:color w:val="2C5E8A"/>
          <w:sz w:val="23"/>
        </w:rPr>
        <w:t>3.5 效應量評估標準 (Effect Size)</w:t>
      </w:r>
    </w:p>
    <w:p>
      <w:pPr>
        <w:spacing w:line="300" w:lineRule="auto"/>
      </w:pPr>
      <w:r>
        <w:t>p 值僅反映差異是否具統計顯著性（是否由隨機抽樣誤差引起），無法代表差異幅度之實質大小。本專案引入兩項標準化平均差效應量指標：</w:t>
        <w:br/>
        <w:t>• 柯恩氏 d (Cohen's d)：</w:t>
        <w:br/>
        <w:t xml:space="preserve">    d = (X̄₁ - X̄₂) / s_pooled，其中 s_pooled = √[ ((n₁-1)s₁² + (n₂-1)s₂²) / (n₁ + n₂ - 2) ]</w:t>
        <w:br/>
        <w:t>• 海吉斯 g (Hedges' g，小樣本校正)：</w:t>
        <w:br/>
        <w:t xml:space="preserve">    g = d × [ 1 - 3 / (4(n₁ + n₂) - 9) ]</w:t>
        <w:br/>
        <w:t>• 評估基準（Cohen, 1988）：d ≈ 0.2 為小效應；d ≈ 0.5 為中效應；d ≈ 0.8 為大效應；d &gt; 1.2 為極大效應 (Huge Effect)。</w:t>
      </w:r>
    </w:p>
    <w:p>
      <w:pPr>
        <w:pStyle w:val="Heading2"/>
        <w:spacing w:before="200" w:after="60"/>
      </w:pPr>
      <w:r>
        <w:rPr>
          <w:rFonts w:ascii="微軟正黑體" w:hAnsi="微軟正黑體"/>
          <w:b/>
          <w:color w:val="2C5E8A"/>
          <w:sz w:val="23"/>
        </w:rPr>
        <w:t>3.6 顯著水準與型 I 錯誤控制</w:t>
      </w:r>
    </w:p>
    <w:p>
      <w:pPr>
        <w:spacing w:line="288" w:lineRule="auto"/>
      </w:pPr>
      <w:r>
        <w:t>全部分析均採雙尾檢定 (Two-tailed test)，顯著水準訂為 α = 0.05。</w:t>
        <w:br/>
        <w:t>統計顯著性符號標準：* p &lt; 0.05；** p &lt; 0.01；*** p &lt; 0.001。</w:t>
      </w:r>
    </w:p>
    <w:p>
      <w:pPr>
        <w:pStyle w:val="Heading2"/>
        <w:spacing w:before="200" w:after="60"/>
      </w:pPr>
      <w:r>
        <w:rPr>
          <w:rFonts w:ascii="微軟正黑體" w:hAnsi="微軟正黑體"/>
          <w:b/>
          <w:color w:val="2C5E8A"/>
          <w:sz w:val="23"/>
        </w:rPr>
        <w:t>3.7 統計軟體環境與運算庫規格</w:t>
      </w:r>
    </w:p>
    <w:p>
      <w:pPr>
        <w:spacing w:line="288" w:lineRule="auto"/>
      </w:pPr>
      <w:r>
        <w:t>• 語言與核心直譯器：Python 3.9.6 (arm64-apple-darwin)</w:t>
        <w:br/>
        <w:t>• 推論統計演算法庫：scipy.stats (v1.13.1)</w:t>
        <w:br/>
        <w:t>• 資料結構處理：pandas (v2.3.3), numpy (v2.0.2)</w:t>
        <w:br/>
        <w:t>• 統計視覺化引擎：seaborn (v0.13.2), matplotlib (v3.9.4)</w:t>
      </w:r>
    </w:p>
    <w:p>
      <w:pPr>
        <w:pStyle w:val="Heading1"/>
        <w:spacing w:before="280" w:after="120"/>
      </w:pPr>
      <w:r>
        <w:rPr>
          <w:rFonts w:ascii="微軟正黑體" w:hAnsi="微軟正黑體"/>
          <w:b/>
          <w:color w:val="1B365D"/>
          <w:sz w:val="28"/>
        </w:rPr>
        <w:t>第四章、統計分析檢定成果與數據總表</w:t>
      </w:r>
    </w:p>
    <w:p>
      <w:pPr>
        <w:spacing w:line="300" w:lineRule="auto" w:after="80"/>
      </w:pPr>
      <w:r>
        <w:t>本章呈現依據前述統計方法學所產出之完整數據檢驗結果，包含前提假設檢定表與兩組比較推論總表。</w:t>
      </w:r>
    </w:p>
    <w:p>
      <w:pPr>
        <w:spacing w:before="160" w:after="60"/>
      </w:pPr>
      <w:r>
        <w:rPr>
          <w:rFonts w:ascii="微軟正黑體" w:hAnsi="微軟正黑體"/>
          <w:b/>
          <w:color w:val="1B365D"/>
          <w:sz w:val="19"/>
        </w:rPr>
        <w:t>表 4-1：常態性檢定 (Shapiro-Wilk) 與變異數同質性檢定 (Levene) 結果表</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65D"/>
            <w:tcMar>
              <w:top w:w="80" w:type="dxa"/>
              <w:bottom w:w="80" w:type="dxa"/>
              <w:left w:w="80" w:type="dxa"/>
              <w:right w:w="80" w:type="dxa"/>
            </w:tcMar>
          </w:tcPr>
          <w:p>
            <w:pPr>
              <w:spacing w:after="0"/>
              <w:jc w:val="center"/>
            </w:pPr>
            <w:r>
              <w:rPr>
                <w:rFonts w:ascii="微軟正黑體" w:hAnsi="微軟正黑體"/>
                <w:b/>
                <w:color w:val="FFFFFF"/>
                <w:sz w:val="17"/>
              </w:rPr>
              <w:t>分析指標</w:t>
            </w:r>
          </w:p>
        </w:tc>
        <w:tc>
          <w:tcPr>
            <w:tcW w:type="dxa" w:w="1560"/>
            <w:shd w:fill="1B365D"/>
            <w:tcMar>
              <w:top w:w="80" w:type="dxa"/>
              <w:bottom w:w="80" w:type="dxa"/>
              <w:left w:w="80" w:type="dxa"/>
              <w:right w:w="80" w:type="dxa"/>
            </w:tcMar>
          </w:tcPr>
          <w:p>
            <w:pPr>
              <w:spacing w:after="0"/>
              <w:jc w:val="center"/>
            </w:pPr>
            <w:r>
              <w:rPr>
                <w:rFonts w:ascii="微軟正黑體" w:hAnsi="微軟正黑體"/>
                <w:b/>
                <w:color w:val="FFFFFF"/>
                <w:sz w:val="17"/>
              </w:rPr>
              <w:t>組別 1 常態性</w:t>
              <w:br/>
              <w:t>(W 統計量, p值)</w:t>
            </w:r>
          </w:p>
        </w:tc>
        <w:tc>
          <w:tcPr>
            <w:tcW w:type="dxa" w:w="1560"/>
            <w:shd w:fill="1B365D"/>
            <w:tcMar>
              <w:top w:w="80" w:type="dxa"/>
              <w:bottom w:w="80" w:type="dxa"/>
              <w:left w:w="80" w:type="dxa"/>
              <w:right w:w="80" w:type="dxa"/>
            </w:tcMar>
          </w:tcPr>
          <w:p>
            <w:pPr>
              <w:spacing w:after="0"/>
              <w:jc w:val="center"/>
            </w:pPr>
            <w:r>
              <w:rPr>
                <w:rFonts w:ascii="微軟正黑體" w:hAnsi="微軟正黑體"/>
                <w:b/>
                <w:color w:val="FFFFFF"/>
                <w:sz w:val="17"/>
              </w:rPr>
              <w:t>組別 2 常態性</w:t>
              <w:br/>
              <w:t>(W 統計量, p值)</w:t>
            </w:r>
          </w:p>
        </w:tc>
        <w:tc>
          <w:tcPr>
            <w:tcW w:type="dxa" w:w="1560"/>
            <w:shd w:fill="1B365D"/>
            <w:tcMar>
              <w:top w:w="80" w:type="dxa"/>
              <w:bottom w:w="80" w:type="dxa"/>
              <w:left w:w="80" w:type="dxa"/>
              <w:right w:w="80" w:type="dxa"/>
            </w:tcMar>
          </w:tcPr>
          <w:p>
            <w:pPr>
              <w:spacing w:after="0"/>
              <w:jc w:val="center"/>
            </w:pPr>
            <w:r>
              <w:rPr>
                <w:rFonts w:ascii="微軟正黑體" w:hAnsi="微軟正黑體"/>
                <w:b/>
                <w:color w:val="FFFFFF"/>
                <w:sz w:val="17"/>
              </w:rPr>
              <w:t>常態性結論</w:t>
              <w:br/>
              <w:t>(α=0.05)</w:t>
            </w:r>
          </w:p>
        </w:tc>
        <w:tc>
          <w:tcPr>
            <w:tcW w:type="dxa" w:w="1560"/>
            <w:shd w:fill="1B365D"/>
            <w:tcMar>
              <w:top w:w="80" w:type="dxa"/>
              <w:bottom w:w="80" w:type="dxa"/>
              <w:left w:w="80" w:type="dxa"/>
              <w:right w:w="80" w:type="dxa"/>
            </w:tcMar>
          </w:tcPr>
          <w:p>
            <w:pPr>
              <w:spacing w:after="0"/>
              <w:jc w:val="center"/>
            </w:pPr>
            <w:r>
              <w:rPr>
                <w:rFonts w:ascii="微軟正黑體" w:hAnsi="微軟正黑體"/>
                <w:b/>
                <w:color w:val="FFFFFF"/>
                <w:sz w:val="17"/>
              </w:rPr>
              <w:t>Levene 檢定</w:t>
              <w:br/>
              <w:t>(F 統計量, p值)</w:t>
            </w:r>
          </w:p>
        </w:tc>
        <w:tc>
          <w:tcPr>
            <w:tcW w:type="dxa" w:w="1560"/>
            <w:shd w:fill="1B365D"/>
            <w:tcMar>
              <w:top w:w="80" w:type="dxa"/>
              <w:bottom w:w="80" w:type="dxa"/>
              <w:left w:w="80" w:type="dxa"/>
              <w:right w:w="80" w:type="dxa"/>
            </w:tcMar>
          </w:tcPr>
          <w:p>
            <w:pPr>
              <w:spacing w:after="0"/>
              <w:jc w:val="center"/>
            </w:pPr>
            <w:r>
              <w:rPr>
                <w:rFonts w:ascii="微軟正黑體" w:hAnsi="微軟正黑體"/>
                <w:b/>
                <w:color w:val="FFFFFF"/>
                <w:sz w:val="17"/>
              </w:rPr>
              <w:t>變異數齊一性結論</w:t>
            </w:r>
          </w:p>
        </w:tc>
      </w:tr>
      <w:tr>
        <w:tc>
          <w:tcPr>
            <w:tcW w:type="dxa" w:w="1560"/>
            <w:shd w:fill="FFFFFF"/>
            <w:tcMar>
              <w:top w:w="60" w:type="dxa"/>
              <w:bottom w:w="60" w:type="dxa"/>
              <w:left w:w="80" w:type="dxa"/>
              <w:right w:w="8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血糖 (mg/dL)</w:t>
            </w:r>
          </w:p>
        </w:tc>
        <w:tc>
          <w:tcPr>
            <w:tcW w:type="dxa" w:w="1560"/>
            <w:shd w:fill="FFFFFF"/>
            <w:tcMar>
              <w:top w:w="60" w:type="dxa"/>
              <w:bottom w:w="60" w:type="dxa"/>
              <w:left w:w="80" w:type="dxa"/>
              <w:right w:w="8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W = 0.935, p = 0.461</w:t>
            </w:r>
          </w:p>
        </w:tc>
        <w:tc>
          <w:tcPr>
            <w:tcW w:type="dxa" w:w="1560"/>
            <w:shd w:fill="FFFFFF"/>
            <w:tcMar>
              <w:top w:w="60" w:type="dxa"/>
              <w:bottom w:w="60" w:type="dxa"/>
              <w:left w:w="80" w:type="dxa"/>
              <w:right w:w="8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W = 0.919, p = 0.311</w:t>
            </w:r>
          </w:p>
        </w:tc>
        <w:tc>
          <w:tcPr>
            <w:tcW w:type="dxa" w:w="1560"/>
            <w:shd w:fill="FFFFFF"/>
            <w:tcMar>
              <w:top w:w="60" w:type="dxa"/>
              <w:bottom w:w="60" w:type="dxa"/>
              <w:left w:w="80" w:type="dxa"/>
              <w:right w:w="8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符合常態 (p &gt; 0.05)</w:t>
            </w:r>
          </w:p>
        </w:tc>
        <w:tc>
          <w:tcPr>
            <w:tcW w:type="dxa" w:w="1560"/>
            <w:shd w:fill="FFFFFF"/>
            <w:tcMar>
              <w:top w:w="60" w:type="dxa"/>
              <w:bottom w:w="60" w:type="dxa"/>
              <w:left w:w="80" w:type="dxa"/>
              <w:right w:w="8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F = 4.875, p = 0.039 *</w:t>
            </w:r>
          </w:p>
        </w:tc>
        <w:tc>
          <w:tcPr>
            <w:tcW w:type="dxa" w:w="1560"/>
            <w:shd w:fill="FFFFFF"/>
            <w:tcMar>
              <w:top w:w="60" w:type="dxa"/>
              <w:bottom w:w="60" w:type="dxa"/>
              <w:left w:w="80" w:type="dxa"/>
              <w:right w:w="8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不齊一 (採用 Welch 檢定)</w:t>
            </w:r>
          </w:p>
        </w:tc>
      </w:tr>
      <w:tr>
        <w:tc>
          <w:tcPr>
            <w:tcW w:type="dxa" w:w="1560"/>
            <w:shd w:fill="F7F9FB"/>
            <w:tcMar>
              <w:top w:w="60" w:type="dxa"/>
              <w:bottom w:w="60" w:type="dxa"/>
              <w:left w:w="80" w:type="dxa"/>
              <w:right w:w="8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收縮壓 (mmHg)</w:t>
            </w:r>
          </w:p>
        </w:tc>
        <w:tc>
          <w:tcPr>
            <w:tcW w:type="dxa" w:w="1560"/>
            <w:shd w:fill="F7F9FB"/>
            <w:tcMar>
              <w:top w:w="60" w:type="dxa"/>
              <w:bottom w:w="60" w:type="dxa"/>
              <w:left w:w="80" w:type="dxa"/>
              <w:right w:w="8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W = 0.954, p = 0.699</w:t>
            </w:r>
          </w:p>
        </w:tc>
        <w:tc>
          <w:tcPr>
            <w:tcW w:type="dxa" w:w="1560"/>
            <w:shd w:fill="F7F9FB"/>
            <w:tcMar>
              <w:top w:w="60" w:type="dxa"/>
              <w:bottom w:w="60" w:type="dxa"/>
              <w:left w:w="80" w:type="dxa"/>
              <w:right w:w="8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W = 0.939, p = 0.512</w:t>
            </w:r>
          </w:p>
        </w:tc>
        <w:tc>
          <w:tcPr>
            <w:tcW w:type="dxa" w:w="1560"/>
            <w:shd w:fill="F7F9FB"/>
            <w:tcMar>
              <w:top w:w="60" w:type="dxa"/>
              <w:bottom w:w="60" w:type="dxa"/>
              <w:left w:w="80" w:type="dxa"/>
              <w:right w:w="8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符合常態 (p &gt; 0.05)</w:t>
            </w:r>
          </w:p>
        </w:tc>
        <w:tc>
          <w:tcPr>
            <w:tcW w:type="dxa" w:w="1560"/>
            <w:shd w:fill="F7F9FB"/>
            <w:tcMar>
              <w:top w:w="60" w:type="dxa"/>
              <w:bottom w:w="60" w:type="dxa"/>
              <w:left w:w="80" w:type="dxa"/>
              <w:right w:w="8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F = 0.005, p = 0.944</w:t>
            </w:r>
          </w:p>
        </w:tc>
        <w:tc>
          <w:tcPr>
            <w:tcW w:type="dxa" w:w="1560"/>
            <w:shd w:fill="F7F9FB"/>
            <w:tcMar>
              <w:top w:w="60" w:type="dxa"/>
              <w:bottom w:w="60" w:type="dxa"/>
              <w:left w:w="80" w:type="dxa"/>
              <w:right w:w="8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齊一 (p &gt; 0.05)</w:t>
            </w:r>
          </w:p>
        </w:tc>
      </w:tr>
      <w:tr>
        <w:tc>
          <w:tcPr>
            <w:tcW w:type="dxa" w:w="1560"/>
            <w:shd w:fill="FFFFFF"/>
            <w:tcMar>
              <w:top w:w="60" w:type="dxa"/>
              <w:bottom w:w="60" w:type="dxa"/>
              <w:left w:w="80" w:type="dxa"/>
              <w:right w:w="8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BMI (kg/m²)</w:t>
            </w:r>
          </w:p>
        </w:tc>
        <w:tc>
          <w:tcPr>
            <w:tcW w:type="dxa" w:w="1560"/>
            <w:shd w:fill="FFFFFF"/>
            <w:tcMar>
              <w:top w:w="60" w:type="dxa"/>
              <w:bottom w:w="60" w:type="dxa"/>
              <w:left w:w="80" w:type="dxa"/>
              <w:right w:w="8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W = 0.916, p = 0.284</w:t>
            </w:r>
          </w:p>
        </w:tc>
        <w:tc>
          <w:tcPr>
            <w:tcW w:type="dxa" w:w="1560"/>
            <w:shd w:fill="FFFFFF"/>
            <w:tcMar>
              <w:top w:w="60" w:type="dxa"/>
              <w:bottom w:w="60" w:type="dxa"/>
              <w:left w:w="80" w:type="dxa"/>
              <w:right w:w="8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W = 0.934, p = 0.447</w:t>
            </w:r>
          </w:p>
        </w:tc>
        <w:tc>
          <w:tcPr>
            <w:tcW w:type="dxa" w:w="1560"/>
            <w:shd w:fill="FFFFFF"/>
            <w:tcMar>
              <w:top w:w="60" w:type="dxa"/>
              <w:bottom w:w="60" w:type="dxa"/>
              <w:left w:w="80" w:type="dxa"/>
              <w:right w:w="8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符合常態 (p &gt; 0.05)</w:t>
            </w:r>
          </w:p>
        </w:tc>
        <w:tc>
          <w:tcPr>
            <w:tcW w:type="dxa" w:w="1560"/>
            <w:shd w:fill="FFFFFF"/>
            <w:tcMar>
              <w:top w:w="60" w:type="dxa"/>
              <w:bottom w:w="60" w:type="dxa"/>
              <w:left w:w="80" w:type="dxa"/>
              <w:right w:w="8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F = 0.586, p = 0.453</w:t>
            </w:r>
          </w:p>
        </w:tc>
        <w:tc>
          <w:tcPr>
            <w:tcW w:type="dxa" w:w="1560"/>
            <w:shd w:fill="FFFFFF"/>
            <w:tcMar>
              <w:top w:w="60" w:type="dxa"/>
              <w:bottom w:w="60" w:type="dxa"/>
              <w:left w:w="80" w:type="dxa"/>
              <w:right w:w="8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齊一 (p &gt; 0.05)</w:t>
            </w:r>
          </w:p>
        </w:tc>
      </w:tr>
    </w:tbl>
    <w:p>
      <w:pPr>
        <w:spacing w:after="160"/>
      </w:pPr>
    </w:p>
    <w:p>
      <w:pPr>
        <w:spacing w:before="160" w:after="60"/>
      </w:pPr>
      <w:r>
        <w:rPr>
          <w:rFonts w:ascii="微軟正黑體" w:hAnsi="微軟正黑體"/>
          <w:b/>
          <w:color w:val="1B365D"/>
          <w:sz w:val="19"/>
        </w:rPr>
        <w:t>表 4-2：血糖、收縮壓與 BMI 之組別推論統計檢定完整總表</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B365D"/>
            <w:tcMar>
              <w:top w:w="80" w:type="dxa"/>
              <w:bottom w:w="80" w:type="dxa"/>
              <w:left w:w="60" w:type="dxa"/>
              <w:right w:w="60" w:type="dxa"/>
            </w:tcMar>
          </w:tcPr>
          <w:p>
            <w:pPr>
              <w:spacing w:after="0"/>
              <w:jc w:val="center"/>
            </w:pPr>
            <w:r>
              <w:rPr>
                <w:rFonts w:ascii="微軟正黑體" w:hAnsi="微軟正黑體"/>
                <w:b/>
                <w:color w:val="FFFFFF"/>
                <w:sz w:val="16"/>
              </w:rPr>
              <w:t>指標名稱</w:t>
            </w:r>
          </w:p>
        </w:tc>
        <w:tc>
          <w:tcPr>
            <w:tcW w:type="dxa" w:w="1170"/>
            <w:shd w:fill="1B365D"/>
            <w:tcMar>
              <w:top w:w="80" w:type="dxa"/>
              <w:bottom w:w="80" w:type="dxa"/>
              <w:left w:w="60" w:type="dxa"/>
              <w:right w:w="60" w:type="dxa"/>
            </w:tcMar>
          </w:tcPr>
          <w:p>
            <w:pPr>
              <w:spacing w:after="0"/>
              <w:jc w:val="center"/>
            </w:pPr>
            <w:r>
              <w:rPr>
                <w:rFonts w:ascii="微軟正黑體" w:hAnsi="微軟正黑體"/>
                <w:b/>
                <w:color w:val="FFFFFF"/>
                <w:sz w:val="16"/>
              </w:rPr>
              <w:t>組別 1 (n=11)</w:t>
              <w:br/>
              <w:t>Mean±SD (IQR)</w:t>
            </w:r>
          </w:p>
        </w:tc>
        <w:tc>
          <w:tcPr>
            <w:tcW w:type="dxa" w:w="1170"/>
            <w:shd w:fill="1B365D"/>
            <w:tcMar>
              <w:top w:w="80" w:type="dxa"/>
              <w:bottom w:w="80" w:type="dxa"/>
              <w:left w:w="60" w:type="dxa"/>
              <w:right w:w="60" w:type="dxa"/>
            </w:tcMar>
          </w:tcPr>
          <w:p>
            <w:pPr>
              <w:spacing w:after="0"/>
              <w:jc w:val="center"/>
            </w:pPr>
            <w:r>
              <w:rPr>
                <w:rFonts w:ascii="微軟正黑體" w:hAnsi="微軟正黑體"/>
                <w:b/>
                <w:color w:val="FFFFFF"/>
                <w:sz w:val="16"/>
              </w:rPr>
              <w:t>組別 2 (n=11)</w:t>
              <w:br/>
              <w:t>Mean±SD (IQR)</w:t>
            </w:r>
          </w:p>
        </w:tc>
        <w:tc>
          <w:tcPr>
            <w:tcW w:type="dxa" w:w="1170"/>
            <w:shd w:fill="1B365D"/>
            <w:tcMar>
              <w:top w:w="80" w:type="dxa"/>
              <w:bottom w:w="80" w:type="dxa"/>
              <w:left w:w="60" w:type="dxa"/>
              <w:right w:w="60" w:type="dxa"/>
            </w:tcMar>
          </w:tcPr>
          <w:p>
            <w:pPr>
              <w:spacing w:after="0"/>
              <w:jc w:val="center"/>
            </w:pPr>
            <w:r>
              <w:rPr>
                <w:rFonts w:ascii="微軟正黑體" w:hAnsi="微軟正黑體"/>
                <w:b/>
                <w:color w:val="FFFFFF"/>
                <w:sz w:val="16"/>
              </w:rPr>
              <w:t>平均差值</w:t>
              <w:br/>
              <w:t>(95% CI)</w:t>
            </w:r>
          </w:p>
        </w:tc>
        <w:tc>
          <w:tcPr>
            <w:tcW w:type="dxa" w:w="1170"/>
            <w:shd w:fill="1B365D"/>
            <w:tcMar>
              <w:top w:w="80" w:type="dxa"/>
              <w:bottom w:w="80" w:type="dxa"/>
              <w:left w:w="60" w:type="dxa"/>
              <w:right w:w="60" w:type="dxa"/>
            </w:tcMar>
          </w:tcPr>
          <w:p>
            <w:pPr>
              <w:spacing w:after="0"/>
              <w:jc w:val="center"/>
            </w:pPr>
            <w:r>
              <w:rPr>
                <w:rFonts w:ascii="微軟正黑體" w:hAnsi="微軟正黑體"/>
                <w:b/>
                <w:color w:val="FFFFFF"/>
                <w:sz w:val="16"/>
              </w:rPr>
              <w:t>Welch's t</w:t>
              <w:br/>
              <w:t>(自由度 df)</w:t>
            </w:r>
          </w:p>
        </w:tc>
        <w:tc>
          <w:tcPr>
            <w:tcW w:type="dxa" w:w="1170"/>
            <w:shd w:fill="1B365D"/>
            <w:tcMar>
              <w:top w:w="80" w:type="dxa"/>
              <w:bottom w:w="80" w:type="dxa"/>
              <w:left w:w="60" w:type="dxa"/>
              <w:right w:w="60" w:type="dxa"/>
            </w:tcMar>
          </w:tcPr>
          <w:p>
            <w:pPr>
              <w:spacing w:after="0"/>
              <w:jc w:val="center"/>
            </w:pPr>
            <w:r>
              <w:rPr>
                <w:rFonts w:ascii="微軟正黑體" w:hAnsi="微軟正黑體"/>
                <w:b/>
                <w:color w:val="FFFFFF"/>
                <w:sz w:val="16"/>
              </w:rPr>
              <w:t>雙尾檢定</w:t>
              <w:br/>
              <w:t>p 值</w:t>
            </w:r>
          </w:p>
        </w:tc>
        <w:tc>
          <w:tcPr>
            <w:tcW w:type="dxa" w:w="1170"/>
            <w:shd w:fill="1B365D"/>
            <w:tcMar>
              <w:top w:w="80" w:type="dxa"/>
              <w:bottom w:w="80" w:type="dxa"/>
              <w:left w:w="60" w:type="dxa"/>
              <w:right w:w="60" w:type="dxa"/>
            </w:tcMar>
          </w:tcPr>
          <w:p>
            <w:pPr>
              <w:spacing w:after="0"/>
              <w:jc w:val="center"/>
            </w:pPr>
            <w:r>
              <w:rPr>
                <w:rFonts w:ascii="微軟正黑體" w:hAnsi="微軟正黑體"/>
                <w:b/>
                <w:color w:val="FFFFFF"/>
                <w:sz w:val="16"/>
              </w:rPr>
              <w:t>Mann-Whitney</w:t>
              <w:br/>
              <w:t>U 統計量</w:t>
            </w:r>
          </w:p>
        </w:tc>
        <w:tc>
          <w:tcPr>
            <w:tcW w:type="dxa" w:w="1170"/>
            <w:shd w:fill="1B365D"/>
            <w:tcMar>
              <w:top w:w="80" w:type="dxa"/>
              <w:bottom w:w="80" w:type="dxa"/>
              <w:left w:w="60" w:type="dxa"/>
              <w:right w:w="60" w:type="dxa"/>
            </w:tcMar>
          </w:tcPr>
          <w:p>
            <w:pPr>
              <w:spacing w:after="0"/>
              <w:jc w:val="center"/>
            </w:pPr>
            <w:r>
              <w:rPr>
                <w:rFonts w:ascii="微軟正黑體" w:hAnsi="微軟正黑體"/>
                <w:b/>
                <w:color w:val="FFFFFF"/>
                <w:sz w:val="16"/>
              </w:rPr>
              <w:t>效應量</w:t>
              <w:br/>
              <w:t>Cohen's d (g)</w:t>
            </w:r>
          </w:p>
        </w:tc>
      </w:tr>
      <w:tr>
        <w:tc>
          <w:tcPr>
            <w:tcW w:type="dxa" w:w="1170"/>
            <w:shd w:fill="FFFFFF"/>
            <w:tcMar>
              <w:top w:w="60" w:type="dxa"/>
              <w:bottom w:w="60" w:type="dxa"/>
              <w:left w:w="60" w:type="dxa"/>
              <w:right w:w="6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6"/>
              </w:rPr>
              <w:t>血糖</w:t>
              <w:br/>
              <w:t>(mg/dL)</w:t>
            </w:r>
          </w:p>
        </w:tc>
        <w:tc>
          <w:tcPr>
            <w:tcW w:type="dxa" w:w="1170"/>
            <w:shd w:fill="FFFFFF"/>
            <w:tcMar>
              <w:top w:w="60" w:type="dxa"/>
              <w:bottom w:w="60" w:type="dxa"/>
              <w:left w:w="60" w:type="dxa"/>
              <w:right w:w="6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6"/>
              </w:rPr>
              <w:t>193.36 ± 12.04</w:t>
              <w:br/>
              <w:t>(IQR: 19.00)</w:t>
            </w:r>
          </w:p>
        </w:tc>
        <w:tc>
          <w:tcPr>
            <w:tcW w:type="dxa" w:w="1170"/>
            <w:shd w:fill="FFFFFF"/>
            <w:tcMar>
              <w:top w:w="60" w:type="dxa"/>
              <w:bottom w:w="60" w:type="dxa"/>
              <w:left w:w="60" w:type="dxa"/>
              <w:right w:w="6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6"/>
              </w:rPr>
              <w:t>95.45 ± 6.28</w:t>
              <w:br/>
              <w:t>(IQR: 9.50)</w:t>
            </w:r>
          </w:p>
        </w:tc>
        <w:tc>
          <w:tcPr>
            <w:tcW w:type="dxa" w:w="1170"/>
            <w:shd w:fill="FFFFFF"/>
            <w:tcMar>
              <w:top w:w="60" w:type="dxa"/>
              <w:bottom w:w="60" w:type="dxa"/>
              <w:left w:w="60" w:type="dxa"/>
              <w:right w:w="6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6"/>
              </w:rPr>
              <w:t>+97.91 mg/dL</w:t>
              <w:br/>
              <w:t>[89.18, 106.64]</w:t>
            </w:r>
          </w:p>
        </w:tc>
        <w:tc>
          <w:tcPr>
            <w:tcW w:type="dxa" w:w="1170"/>
            <w:shd w:fill="FFFFFF"/>
            <w:tcMar>
              <w:top w:w="60" w:type="dxa"/>
              <w:bottom w:w="60" w:type="dxa"/>
              <w:left w:w="60" w:type="dxa"/>
              <w:right w:w="6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6"/>
              </w:rPr>
              <w:t>t = 23.91</w:t>
              <w:br/>
              <w:t>(df = 15.07)</w:t>
            </w:r>
          </w:p>
        </w:tc>
        <w:tc>
          <w:tcPr>
            <w:tcW w:type="dxa" w:w="1170"/>
            <w:shd w:fill="FFFFFF"/>
            <w:tcMar>
              <w:top w:w="60" w:type="dxa"/>
              <w:bottom w:w="60" w:type="dxa"/>
              <w:left w:w="60" w:type="dxa"/>
              <w:right w:w="6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b/>
                <w:color w:val="B42828"/>
                <w:sz w:val="16"/>
              </w:rPr>
              <w:t>2.14 × 10⁻¹³</w:t>
              <w:br/>
              <w:t>(p &lt; 0.001 ***)</w:t>
            </w:r>
          </w:p>
        </w:tc>
        <w:tc>
          <w:tcPr>
            <w:tcW w:type="dxa" w:w="1170"/>
            <w:shd w:fill="FFFFFF"/>
            <w:tcMar>
              <w:top w:w="60" w:type="dxa"/>
              <w:bottom w:w="60" w:type="dxa"/>
              <w:left w:w="60" w:type="dxa"/>
              <w:right w:w="6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6"/>
              </w:rPr>
              <w:t>U = 121.0</w:t>
              <w:br/>
              <w:t>(p &lt; 0.001 ***)</w:t>
            </w:r>
          </w:p>
        </w:tc>
        <w:tc>
          <w:tcPr>
            <w:tcW w:type="dxa" w:w="1170"/>
            <w:shd w:fill="FFFFFF"/>
            <w:tcMar>
              <w:top w:w="60" w:type="dxa"/>
              <w:bottom w:w="60" w:type="dxa"/>
              <w:left w:w="60" w:type="dxa"/>
              <w:right w:w="6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6"/>
              </w:rPr>
              <w:t>d = 10.19</w:t>
              <w:br/>
              <w:t>(g = 9.81)</w:t>
            </w:r>
          </w:p>
        </w:tc>
      </w:tr>
      <w:tr>
        <w:tc>
          <w:tcPr>
            <w:tcW w:type="dxa" w:w="1170"/>
            <w:shd w:fill="F7F9FB"/>
            <w:tcMar>
              <w:top w:w="60" w:type="dxa"/>
              <w:bottom w:w="60" w:type="dxa"/>
              <w:left w:w="60" w:type="dxa"/>
              <w:right w:w="6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6"/>
              </w:rPr>
              <w:t>收縮壓</w:t>
              <w:br/>
              <w:t>(mmHg)</w:t>
            </w:r>
          </w:p>
        </w:tc>
        <w:tc>
          <w:tcPr>
            <w:tcW w:type="dxa" w:w="1170"/>
            <w:shd w:fill="F7F9FB"/>
            <w:tcMar>
              <w:top w:w="60" w:type="dxa"/>
              <w:bottom w:w="60" w:type="dxa"/>
              <w:left w:w="60" w:type="dxa"/>
              <w:right w:w="6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6"/>
              </w:rPr>
              <w:t>152.64 ± 5.55</w:t>
              <w:br/>
              <w:t>(IQR: 8.00)</w:t>
            </w:r>
          </w:p>
        </w:tc>
        <w:tc>
          <w:tcPr>
            <w:tcW w:type="dxa" w:w="1170"/>
            <w:shd w:fill="F7F9FB"/>
            <w:tcMar>
              <w:top w:w="60" w:type="dxa"/>
              <w:bottom w:w="60" w:type="dxa"/>
              <w:left w:w="60" w:type="dxa"/>
              <w:right w:w="6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6"/>
              </w:rPr>
              <w:t>124.91 ± 5.49</w:t>
              <w:br/>
              <w:t>(IQR: 8.50)</w:t>
            </w:r>
          </w:p>
        </w:tc>
        <w:tc>
          <w:tcPr>
            <w:tcW w:type="dxa" w:w="1170"/>
            <w:shd w:fill="F7F9FB"/>
            <w:tcMar>
              <w:top w:w="60" w:type="dxa"/>
              <w:bottom w:w="60" w:type="dxa"/>
              <w:left w:w="60" w:type="dxa"/>
              <w:right w:w="6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6"/>
              </w:rPr>
              <w:t>+27.73 mmHg</w:t>
              <w:br/>
              <w:t>[22.82, 32.64]</w:t>
            </w:r>
          </w:p>
        </w:tc>
        <w:tc>
          <w:tcPr>
            <w:tcW w:type="dxa" w:w="1170"/>
            <w:shd w:fill="F7F9FB"/>
            <w:tcMar>
              <w:top w:w="60" w:type="dxa"/>
              <w:bottom w:w="60" w:type="dxa"/>
              <w:left w:w="60" w:type="dxa"/>
              <w:right w:w="6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6"/>
              </w:rPr>
              <w:t>t = 11.78</w:t>
              <w:br/>
              <w:t>(df = 20.00)</w:t>
            </w:r>
          </w:p>
        </w:tc>
        <w:tc>
          <w:tcPr>
            <w:tcW w:type="dxa" w:w="1170"/>
            <w:shd w:fill="F7F9FB"/>
            <w:tcMar>
              <w:top w:w="60" w:type="dxa"/>
              <w:bottom w:w="60" w:type="dxa"/>
              <w:left w:w="60" w:type="dxa"/>
              <w:right w:w="6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b/>
                <w:color w:val="B42828"/>
                <w:sz w:val="16"/>
              </w:rPr>
              <w:t>1.89 × 10⁻¹⁰</w:t>
              <w:br/>
              <w:t>(p &lt; 0.001 ***)</w:t>
            </w:r>
          </w:p>
        </w:tc>
        <w:tc>
          <w:tcPr>
            <w:tcW w:type="dxa" w:w="1170"/>
            <w:shd w:fill="F7F9FB"/>
            <w:tcMar>
              <w:top w:w="60" w:type="dxa"/>
              <w:bottom w:w="60" w:type="dxa"/>
              <w:left w:w="60" w:type="dxa"/>
              <w:right w:w="6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6"/>
              </w:rPr>
              <w:t>U = 121.0</w:t>
              <w:br/>
              <w:t>(p &lt; 0.001 ***)</w:t>
            </w:r>
          </w:p>
        </w:tc>
        <w:tc>
          <w:tcPr>
            <w:tcW w:type="dxa" w:w="1170"/>
            <w:shd w:fill="F7F9FB"/>
            <w:tcMar>
              <w:top w:w="60" w:type="dxa"/>
              <w:bottom w:w="60" w:type="dxa"/>
              <w:left w:w="60" w:type="dxa"/>
              <w:right w:w="6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6"/>
              </w:rPr>
              <w:t>d = 5.02</w:t>
              <w:br/>
              <w:t>(g = 4.83)</w:t>
            </w:r>
          </w:p>
        </w:tc>
      </w:tr>
      <w:tr>
        <w:tc>
          <w:tcPr>
            <w:tcW w:type="dxa" w:w="1170"/>
            <w:shd w:fill="FFFFFF"/>
            <w:tcMar>
              <w:top w:w="60" w:type="dxa"/>
              <w:bottom w:w="60" w:type="dxa"/>
              <w:left w:w="60" w:type="dxa"/>
              <w:right w:w="6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6"/>
              </w:rPr>
              <w:t>BMI</w:t>
              <w:br/>
              <w:t>(kg/m²)</w:t>
            </w:r>
          </w:p>
        </w:tc>
        <w:tc>
          <w:tcPr>
            <w:tcW w:type="dxa" w:w="1170"/>
            <w:shd w:fill="FFFFFF"/>
            <w:tcMar>
              <w:top w:w="60" w:type="dxa"/>
              <w:bottom w:w="60" w:type="dxa"/>
              <w:left w:w="60" w:type="dxa"/>
              <w:right w:w="6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6"/>
              </w:rPr>
              <w:t>30.68 ± 0.99</w:t>
              <w:br/>
              <w:t>(IQR: 1.60)</w:t>
            </w:r>
          </w:p>
        </w:tc>
        <w:tc>
          <w:tcPr>
            <w:tcW w:type="dxa" w:w="1170"/>
            <w:shd w:fill="FFFFFF"/>
            <w:tcMar>
              <w:top w:w="60" w:type="dxa"/>
              <w:bottom w:w="60" w:type="dxa"/>
              <w:left w:w="60" w:type="dxa"/>
              <w:right w:w="6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6"/>
              </w:rPr>
              <w:t>23.34 ± 1.25</w:t>
              <w:br/>
              <w:t>(IQR: 1.90)</w:t>
            </w:r>
          </w:p>
        </w:tc>
        <w:tc>
          <w:tcPr>
            <w:tcW w:type="dxa" w:w="1170"/>
            <w:shd w:fill="FFFFFF"/>
            <w:tcMar>
              <w:top w:w="60" w:type="dxa"/>
              <w:bottom w:w="60" w:type="dxa"/>
              <w:left w:w="60" w:type="dxa"/>
              <w:right w:w="6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6"/>
              </w:rPr>
              <w:t>+7.35 kg/m²</w:t>
              <w:br/>
              <w:t>[6.34, 8.35]</w:t>
            </w:r>
          </w:p>
        </w:tc>
        <w:tc>
          <w:tcPr>
            <w:tcW w:type="dxa" w:w="1170"/>
            <w:shd w:fill="FFFFFF"/>
            <w:tcMar>
              <w:top w:w="60" w:type="dxa"/>
              <w:bottom w:w="60" w:type="dxa"/>
              <w:left w:w="60" w:type="dxa"/>
              <w:right w:w="6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6"/>
              </w:rPr>
              <w:t>t = 15.32</w:t>
              <w:br/>
              <w:t>(df = 19.03)</w:t>
            </w:r>
          </w:p>
        </w:tc>
        <w:tc>
          <w:tcPr>
            <w:tcW w:type="dxa" w:w="1170"/>
            <w:shd w:fill="FFFFFF"/>
            <w:tcMar>
              <w:top w:w="60" w:type="dxa"/>
              <w:bottom w:w="60" w:type="dxa"/>
              <w:left w:w="60" w:type="dxa"/>
              <w:right w:w="6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b/>
                <w:color w:val="B42828"/>
                <w:sz w:val="16"/>
              </w:rPr>
              <w:t>3.71 × 10⁻¹²</w:t>
              <w:br/>
              <w:t>(p &lt; 0.001 ***)</w:t>
            </w:r>
          </w:p>
        </w:tc>
        <w:tc>
          <w:tcPr>
            <w:tcW w:type="dxa" w:w="1170"/>
            <w:shd w:fill="FFFFFF"/>
            <w:tcMar>
              <w:top w:w="60" w:type="dxa"/>
              <w:bottom w:w="60" w:type="dxa"/>
              <w:left w:w="60" w:type="dxa"/>
              <w:right w:w="6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6"/>
              </w:rPr>
              <w:t>U = 121.0</w:t>
              <w:br/>
              <w:t>(p &lt; 0.001 ***)</w:t>
            </w:r>
          </w:p>
        </w:tc>
        <w:tc>
          <w:tcPr>
            <w:tcW w:type="dxa" w:w="1170"/>
            <w:shd w:fill="FFFFFF"/>
            <w:tcMar>
              <w:top w:w="60" w:type="dxa"/>
              <w:bottom w:w="60" w:type="dxa"/>
              <w:left w:w="60" w:type="dxa"/>
              <w:right w:w="6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6"/>
              </w:rPr>
              <w:t>d = 6.53</w:t>
              <w:br/>
              <w:t>(g = 6.28)</w:t>
            </w:r>
          </w:p>
        </w:tc>
      </w:tr>
    </w:tbl>
    <w:p>
      <w:pPr>
        <w:spacing w:after="160"/>
      </w:pPr>
    </w:p>
    <w:p>
      <w:pPr>
        <w:pStyle w:val="Heading2"/>
        <w:spacing w:before="200" w:after="60"/>
      </w:pPr>
      <w:r>
        <w:rPr>
          <w:rFonts w:ascii="微軟正黑體" w:hAnsi="微軟正黑體"/>
          <w:b/>
          <w:color w:val="2C5E8A"/>
          <w:sz w:val="23"/>
        </w:rPr>
        <w:t>4.3 臨床與生理指標之統計學實質意義分析</w:t>
      </w:r>
    </w:p>
    <w:p>
      <w:pPr>
        <w:spacing w:line="300" w:lineRule="auto"/>
      </w:pPr>
      <w:r>
        <w:t>1. 血糖極端分群效應：組別 1 全體處於糖尿病嚴重高血糖狀態（178 ~ 212 mg/dL，均值 193.36），組別 2 全體均在正常值範圍（88 ~ 106 mg/dL，均值 95.45）。兩組數據完全無重疊，U 檢定達到理論最大分離值 U = 121.0，Cohen's d 高達 10.19，證實組別 1 為典型糖尿病病患群。</w:t>
        <w:br/>
        <w:t>2. 收縮壓高血壓相關：組別 1 平均收縮壓高達 152.64 mmHg（全數 ≥ 145 mmHg，達第二期高血壓診斷標準）；組別 2 平均 124.91 mmHg 處於理想血壓區間。平均差達 +27.73 mmHg (p = 1.89 × 10⁻¹⁰, d = 5.02)，顯示糖尿病族群伴隨高度顯著的心血管高壓負荷。</w:t>
        <w:br/>
        <w:t>3. BMI 體位肥胖分界：組別 1 平均 BMI 為 30.68 kg/m²（全數 ≥ 29.5 kg/m²，遠超台灣國健署定義之肥胖門檻 27.0）；組別 2 平均為 23.34 kg/m²，落於理想健康體位 (18.5 ~ 24.0)。平均差 +7.35 kg/m² (p = 3.71 × 10⁻¹², d = 6.53)。</w:t>
      </w:r>
    </w:p>
    <w:p>
      <w:pPr>
        <w:pStyle w:val="Heading1"/>
        <w:spacing w:before="280" w:after="120"/>
      </w:pPr>
      <w:r>
        <w:rPr>
          <w:rFonts w:ascii="微軟正黑體" w:hAnsi="微軟正黑體"/>
          <w:b/>
          <w:color w:val="1B365D"/>
          <w:sz w:val="28"/>
        </w:rPr>
        <w:t>第五章、Seaborn 箱型圖視覺化分析成果</w:t>
      </w:r>
    </w:p>
    <w:p>
      <w:pPr>
        <w:spacing w:line="300" w:lineRule="auto" w:after="120"/>
      </w:pPr>
      <w:r>
        <w:t>依據使用者指定，圖表採用 Python 專業統計繪圖庫 Seaborn 結合 Matplotlib 繪製，設定 300 DPI 超高解析度輸出，完整呈現兩組在三項指標之箱型圖與原始樣本點散佈抖動：</w:t>
      </w:r>
    </w:p>
    <w:p>
      <w:pPr>
        <w:spacing w:before="120" w:after="80"/>
        <w:jc w:val="center"/>
      </w:pPr>
      <w:r>
        <w:drawing>
          <wp:inline xmlns:a="http://schemas.openxmlformats.org/drawingml/2006/main" xmlns:pic="http://schemas.openxmlformats.org/drawingml/2006/picture">
            <wp:extent cx="5852160" cy="2380562"/>
            <wp:docPr id="1" name="Picture 1"/>
            <wp:cNvGraphicFramePr>
              <a:graphicFrameLocks noChangeAspect="1"/>
            </wp:cNvGraphicFramePr>
            <a:graphic>
              <a:graphicData uri="http://schemas.openxmlformats.org/drawingml/2006/picture">
                <pic:pic>
                  <pic:nvPicPr>
                    <pic:cNvPr id="0" name="dm_boxplot_group.png"/>
                    <pic:cNvPicPr/>
                  </pic:nvPicPr>
                  <pic:blipFill>
                    <a:blip r:embed="rId9"/>
                    <a:stretch>
                      <a:fillRect/>
                    </a:stretch>
                  </pic:blipFill>
                  <pic:spPr>
                    <a:xfrm>
                      <a:off x="0" y="0"/>
                      <a:ext cx="5852160" cy="2380562"/>
                    </a:xfrm>
                    <a:prstGeom prst="rect"/>
                  </pic:spPr>
                </pic:pic>
              </a:graphicData>
            </a:graphic>
          </wp:inline>
        </w:drawing>
      </w:r>
    </w:p>
    <w:p>
      <w:pPr>
        <w:spacing w:after="200"/>
        <w:jc w:val="center"/>
      </w:pPr>
      <w:r>
        <w:rPr>
          <w:rFonts w:ascii="微軟正黑體" w:hAnsi="微軟正黑體"/>
          <w:b/>
          <w:color w:val="2C5E8A"/>
          <w:sz w:val="18"/>
        </w:rPr>
        <w:t>圖 5-1：DM.xls 血糖、收縮壓與 BMI 之組別比較箱型圖 (Seaborn 繪製，含 Stripplot 散點)</w:t>
      </w:r>
    </w:p>
    <w:p>
      <w:pPr>
        <w:spacing w:line="288" w:lineRule="auto"/>
      </w:pPr>
      <w:r>
        <w:t>【圖表視覺設計與統計標記規範】：</w:t>
        <w:br/>
        <w:t>• 箱體主體 (Box)：長度代表四分位距 (IQR = Q3 - Q1)，組別 1 為暖橘 (#E76F51)，組別 2 為青綠 (#2A9D8F)。</w:t>
        <w:br/>
        <w:t>• 中位數實線 (Median Line)：箱體內部深紅實線 (Dark Red Line, lw=2.5)，代表組中位數。</w:t>
        <w:br/>
        <w:t>• 平均值標記 (Mean Marker)：金色實心菱形 (♦, Gold Diamond)，反映算術平均值。</w:t>
        <w:br/>
        <w:t>• 鬍鬚 (Whiskers)：由四分位數向外延伸至 1.5 倍 IQR 範圍內之最遠觀測值。</w:t>
        <w:br/>
        <w:t>• 原始樣本點 (Stripplot Jitter)：疊加半透明灰色圓點 (Alpha=0.6, Jitter=0.15)，完整展示 22 位受試者全貌。</w:t>
        <w:br/>
        <w:t>• 顯著性括弧 (Significance Bracket)：圖頂標註 Welch's t 檢定結果：p &lt; 0.001 ***。</w:t>
        <w:br/>
        <w:t>• 臨床參考值卡片 (Reference Box)：底部附帶 WHO 及醫學臨床標準值，協助非統計專業讀者判讀。</w:t>
      </w:r>
    </w:p>
    <w:p>
      <w:pPr>
        <w:pStyle w:val="Heading1"/>
        <w:spacing w:before="280" w:after="120"/>
      </w:pPr>
      <w:r>
        <w:rPr>
          <w:rFonts w:ascii="微軟正黑體" w:hAnsi="微軟正黑體"/>
          <w:b/>
          <w:color w:val="1B365D"/>
          <w:sz w:val="28"/>
        </w:rPr>
        <w:t>第六章、程式碼架構與交接維護手冊</w:t>
      </w:r>
    </w:p>
    <w:p>
      <w:pPr>
        <w:spacing w:line="300" w:lineRule="auto" w:after="120"/>
      </w:pPr>
      <w:r>
        <w:t>本章提供接手技術人員維護、重新執行或將模型嵌入自動化工作管線所需之完整指引：</w:t>
      </w:r>
    </w:p>
    <w:p>
      <w:pPr>
        <w:pStyle w:val="Heading2"/>
        <w:spacing w:before="200" w:after="60"/>
      </w:pPr>
      <w:r>
        <w:rPr>
          <w:rFonts w:ascii="微軟正黑體" w:hAnsi="微軟正黑體"/>
          <w:b/>
          <w:color w:val="2C5E8A"/>
          <w:sz w:val="23"/>
        </w:rPr>
        <w:t>6.1 腳本模組架構 (analyze_DM.py)</w:t>
      </w:r>
    </w:p>
    <w:p>
      <w:pPr>
        <w:spacing w:line="288" w:lineRule="auto"/>
      </w:pPr>
      <w:r>
        <w:t>腳本檔案路徑：/Users/iammine/Downloads/test/analyze_DM.py</w:t>
        <w:br/>
        <w:t>主要處理流程：</w:t>
        <w:br/>
        <w:t>1. 環境與繪圖風格初始化：載入中文字型 (Heiti TC, Arial Unicode MS) 並套用 seaborn.whitegrid 風格。</w:t>
        <w:br/>
        <w:t>2. 資料載入與前處理：透過 pandas.read_excel('DM.xls') 讀取資料並建立組別標籤。</w:t>
        <w:br/>
        <w:t>3. 統計檢驗模組：呼叫 scipy.stats 依序執行 Shapiro-Wilk、Levene、Welch's t、Mann-Whitney U 與 Cohen's d 計算。</w:t>
        <w:br/>
        <w:t>4. 成果表格匯出：自動生成 DM_group_summary.xlsx 與 DM_group_summary.csv。</w:t>
        <w:br/>
        <w:t>5. 繪圖與自動儲存：利用 matplotlib 子圖架構繪製三聯箱型圖，以 300 DPI 輸出 dm_boxplot_group.png。</w:t>
      </w:r>
    </w:p>
    <w:p>
      <w:pPr>
        <w:pStyle w:val="Heading2"/>
        <w:spacing w:before="200" w:after="60"/>
      </w:pPr>
      <w:r>
        <w:rPr>
          <w:rFonts w:ascii="微軟正黑體" w:hAnsi="微軟正黑體"/>
          <w:b/>
          <w:color w:val="2C5E8A"/>
          <w:sz w:val="23"/>
        </w:rPr>
        <w:t>6.2 終端機執行與重現步驟 (CLI Commands)</w:t>
      </w:r>
    </w:p>
    <w:tbl>
      <w:tblPr>
        <w:tblW w:type="auto" w:w="0"/>
        <w:jc w:val="center"/>
        <w:tblLook w:firstColumn="1" w:firstRow="1" w:lastColumn="0" w:lastRow="0" w:noHBand="0" w:noVBand="1" w:val="04A0"/>
      </w:tblPr>
      <w:tblGrid>
        <w:gridCol w:w="9360"/>
      </w:tblGrid>
      <w:tr>
        <w:tc>
          <w:tcPr>
            <w:tcW w:type="dxa" w:w="9360"/>
            <w:shd w:fill="2D3748"/>
            <w:tcMar>
              <w:top w:w="100" w:type="dxa"/>
              <w:bottom w:w="100" w:type="dxa"/>
              <w:left w:w="120" w:type="dxa"/>
              <w:right w:w="120" w:type="dxa"/>
            </w:tcMar>
          </w:tcPr>
          <w:p>
            <w:pPr>
              <w:spacing w:after="0"/>
            </w:pPr>
            <w:r>
              <w:rPr>
                <w:rFonts w:ascii="Consolas" w:hAnsi="Consolas"/>
                <w:color w:val="F0F0F0"/>
                <w:sz w:val="18"/>
              </w:rPr>
              <w:t># 1. 進入專案工作目錄</w:t>
              <w:br/>
              <w:t>cd /Users/iammine/Downloads/test</w:t>
              <w:br/>
              <w:br/>
              <w:t># 2. 啟動虛擬環境 (如使用專案現成 .venv)</w:t>
              <w:br/>
              <w:t>source .venv/bin/activate</w:t>
              <w:br/>
              <w:br/>
              <w:t># 3. 執行統計分析與箱型圖產出腳本</w:t>
              <w:br/>
              <w:t>python analyze_DM.py</w:t>
              <w:br/>
              <w:br/>
              <w:t># 4. 重新產出本 Word 交接手冊</w:t>
              <w:br/>
              <w:t>python generate_handover_word.py</w:t>
            </w:r>
          </w:p>
        </w:tc>
      </w:tr>
    </w:tbl>
    <w:p>
      <w:pPr>
        <w:spacing w:after="120"/>
      </w:pPr>
    </w:p>
    <w:p>
      <w:pPr>
        <w:pStyle w:val="Heading1"/>
        <w:spacing w:before="280" w:after="120"/>
      </w:pPr>
      <w:r>
        <w:rPr>
          <w:rFonts w:ascii="微軟正黑體" w:hAnsi="微軟正黑體"/>
          <w:b/>
          <w:color w:val="1B365D"/>
          <w:sz w:val="28"/>
        </w:rPr>
        <w:t>第七章、專案交付資產清單與簽核驗收</w:t>
      </w:r>
    </w:p>
    <w:p>
      <w:pPr>
        <w:spacing w:line="300" w:lineRule="auto" w:after="120"/>
      </w:pPr>
      <w:r>
        <w:t>本專案完成後交付之全套實體資產與對應路徑如下表所示：</w:t>
      </w:r>
    </w:p>
    <w:tbl>
      <w:tblPr>
        <w:tblW w:type="auto" w:w="0"/>
        <w:jc w:val="center"/>
        <w:tblLook w:firstColumn="1" w:firstRow="1" w:lastColumn="0" w:lastRow="0" w:noHBand="0" w:noVBand="1" w:val="04A0"/>
      </w:tblPr>
      <w:tblGrid>
        <w:gridCol w:w="3120"/>
        <w:gridCol w:w="3120"/>
        <w:gridCol w:w="3120"/>
      </w:tblGrid>
      <w:tr>
        <w:tc>
          <w:tcPr>
            <w:tcW w:type="dxa" w:w="3120"/>
            <w:shd w:fill="1B365D"/>
            <w:tcMar>
              <w:top w:w="80" w:type="dxa"/>
              <w:bottom w:w="80" w:type="dxa"/>
              <w:left w:w="100" w:type="dxa"/>
              <w:right w:w="100" w:type="dxa"/>
            </w:tcMar>
          </w:tcPr>
          <w:p>
            <w:pPr>
              <w:spacing w:after="0"/>
              <w:jc w:val="center"/>
            </w:pPr>
            <w:r>
              <w:rPr>
                <w:rFonts w:ascii="微軟正黑體" w:hAnsi="微軟正黑體"/>
                <w:b/>
                <w:color w:val="FFFFFF"/>
                <w:sz w:val="18"/>
              </w:rPr>
              <w:t>檔案名稱</w:t>
            </w:r>
          </w:p>
        </w:tc>
        <w:tc>
          <w:tcPr>
            <w:tcW w:type="dxa" w:w="3120"/>
            <w:shd w:fill="1B365D"/>
            <w:tcMar>
              <w:top w:w="80" w:type="dxa"/>
              <w:bottom w:w="80" w:type="dxa"/>
              <w:left w:w="100" w:type="dxa"/>
              <w:right w:w="100" w:type="dxa"/>
            </w:tcMar>
          </w:tcPr>
          <w:p>
            <w:pPr>
              <w:spacing w:after="0"/>
              <w:jc w:val="center"/>
            </w:pPr>
            <w:r>
              <w:rPr>
                <w:rFonts w:ascii="微軟正黑體" w:hAnsi="微軟正黑體"/>
                <w:b/>
                <w:color w:val="FFFFFF"/>
                <w:sz w:val="18"/>
              </w:rPr>
              <w:t>檔案格式與屬性</w:t>
            </w:r>
          </w:p>
        </w:tc>
        <w:tc>
          <w:tcPr>
            <w:tcW w:type="dxa" w:w="3120"/>
            <w:shd w:fill="1B365D"/>
            <w:tcMar>
              <w:top w:w="80" w:type="dxa"/>
              <w:bottom w:w="80" w:type="dxa"/>
              <w:left w:w="100" w:type="dxa"/>
              <w:right w:w="100" w:type="dxa"/>
            </w:tcMar>
          </w:tcPr>
          <w:p>
            <w:pPr>
              <w:spacing w:after="0"/>
              <w:jc w:val="center"/>
            </w:pPr>
            <w:r>
              <w:rPr>
                <w:rFonts w:ascii="微軟正黑體" w:hAnsi="微軟正黑體"/>
                <w:b/>
                <w:color w:val="FFFFFF"/>
                <w:sz w:val="18"/>
              </w:rPr>
              <w:t>交付資產說明與用途</w:t>
            </w:r>
          </w:p>
        </w:tc>
      </w:tr>
      <w:tr>
        <w:tc>
          <w:tcPr>
            <w:tcW w:type="dxa" w:w="3120"/>
            <w:shd w:fill="FFFFFF"/>
            <w:tcMar>
              <w:top w:w="60" w:type="dxa"/>
              <w:bottom w:w="60" w:type="dxa"/>
              <w:left w:w="100" w:type="dxa"/>
              <w:right w:w="10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b/>
                <w:color w:val="2C5E8A"/>
                <w:sz w:val="17"/>
              </w:rPr>
              <w:t>DM.xls</w:t>
            </w:r>
          </w:p>
        </w:tc>
        <w:tc>
          <w:tcPr>
            <w:tcW w:type="dxa" w:w="3120"/>
            <w:shd w:fill="FFFFFF"/>
            <w:tcMar>
              <w:top w:w="60" w:type="dxa"/>
              <w:bottom w:w="60" w:type="dxa"/>
              <w:left w:w="100" w:type="dxa"/>
              <w:right w:w="10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原始資料檔 (BIFF8 Excel)</w:t>
            </w:r>
          </w:p>
        </w:tc>
        <w:tc>
          <w:tcPr>
            <w:tcW w:type="dxa" w:w="3120"/>
            <w:shd w:fill="FFFFFF"/>
            <w:tcMar>
              <w:top w:w="60" w:type="dxa"/>
              <w:bottom w:w="60" w:type="dxa"/>
              <w:left w:w="100" w:type="dxa"/>
              <w:right w:w="100" w:type="dxa"/>
            </w:tcMar>
            <w:tcBorders>
              <w:top w:val="single" w:sz="4" w:space="0" w:color="D0D7DE"/>
              <w:left w:val="single" w:sz="4" w:space="0" w:color="D0D7DE"/>
              <w:bottom w:val="single" w:sz="4" w:space="0" w:color="D0D7DE"/>
              <w:right w:val="single" w:sz="4" w:space="0" w:color="D0D7DE"/>
            </w:tcBorders>
          </w:tcPr>
          <w:p>
            <w:pPr>
              <w:spacing w:after="0"/>
            </w:pPr>
            <w:r>
              <w:rPr>
                <w:rFonts w:ascii="微軟正黑體" w:hAnsi="微軟正黑體"/>
                <w:color w:val="282828"/>
                <w:sz w:val="17"/>
              </w:rPr>
              <w:t>原始 22 位受試者健康量測母檔</w:t>
            </w:r>
          </w:p>
        </w:tc>
      </w:tr>
      <w:tr>
        <w:tc>
          <w:tcPr>
            <w:tcW w:type="dxa" w:w="3120"/>
            <w:shd w:fill="F7F9FB"/>
            <w:tcMar>
              <w:top w:w="60" w:type="dxa"/>
              <w:bottom w:w="60" w:type="dxa"/>
              <w:left w:w="100" w:type="dxa"/>
              <w:right w:w="10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b/>
                <w:color w:val="2C5E8A"/>
                <w:sz w:val="17"/>
              </w:rPr>
              <w:t>analyze_DM.py</w:t>
            </w:r>
          </w:p>
        </w:tc>
        <w:tc>
          <w:tcPr>
            <w:tcW w:type="dxa" w:w="3120"/>
            <w:shd w:fill="F7F9FB"/>
            <w:tcMar>
              <w:top w:w="60" w:type="dxa"/>
              <w:bottom w:w="60" w:type="dxa"/>
              <w:left w:w="100" w:type="dxa"/>
              <w:right w:w="10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核心 Python 程式碼</w:t>
            </w:r>
          </w:p>
        </w:tc>
        <w:tc>
          <w:tcPr>
            <w:tcW w:type="dxa" w:w="3120"/>
            <w:shd w:fill="F7F9FB"/>
            <w:tcMar>
              <w:top w:w="60" w:type="dxa"/>
              <w:bottom w:w="60" w:type="dxa"/>
              <w:left w:w="100" w:type="dxa"/>
              <w:right w:w="100" w:type="dxa"/>
            </w:tcMar>
            <w:tcBorders>
              <w:top w:val="single" w:sz="4" w:space="0" w:color="D0D7DE"/>
              <w:left w:val="single" w:sz="4" w:space="0" w:color="D0D7DE"/>
              <w:bottom w:val="single" w:sz="4" w:space="0" w:color="D0D7DE"/>
              <w:right w:val="single" w:sz="4" w:space="0" w:color="D0D7DE"/>
            </w:tcBorders>
          </w:tcPr>
          <w:p>
            <w:pPr>
              <w:spacing w:after="0"/>
            </w:pPr>
            <w:r>
              <w:rPr>
                <w:rFonts w:ascii="微軟正黑體" w:hAnsi="微軟正黑體"/>
                <w:color w:val="282828"/>
                <w:sz w:val="17"/>
              </w:rPr>
              <w:t>單一自變數組別統計檢定與 Seaborn 箱型圖繪製主程式</w:t>
            </w:r>
          </w:p>
        </w:tc>
      </w:tr>
      <w:tr>
        <w:tc>
          <w:tcPr>
            <w:tcW w:type="dxa" w:w="3120"/>
            <w:shd w:fill="FFFFFF"/>
            <w:tcMar>
              <w:top w:w="60" w:type="dxa"/>
              <w:bottom w:w="60" w:type="dxa"/>
              <w:left w:w="100" w:type="dxa"/>
              <w:right w:w="10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b/>
                <w:color w:val="2C5E8A"/>
                <w:sz w:val="17"/>
              </w:rPr>
              <w:t>dm_boxplot_group.png</w:t>
            </w:r>
          </w:p>
        </w:tc>
        <w:tc>
          <w:tcPr>
            <w:tcW w:type="dxa" w:w="3120"/>
            <w:shd w:fill="FFFFFF"/>
            <w:tcMar>
              <w:top w:w="60" w:type="dxa"/>
              <w:bottom w:w="60" w:type="dxa"/>
              <w:left w:w="100" w:type="dxa"/>
              <w:right w:w="10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高解析度圖檔 (300 DPI)</w:t>
            </w:r>
          </w:p>
        </w:tc>
        <w:tc>
          <w:tcPr>
            <w:tcW w:type="dxa" w:w="3120"/>
            <w:shd w:fill="FFFFFF"/>
            <w:tcMar>
              <w:top w:w="60" w:type="dxa"/>
              <w:bottom w:w="60" w:type="dxa"/>
              <w:left w:w="100" w:type="dxa"/>
              <w:right w:w="100" w:type="dxa"/>
            </w:tcMar>
            <w:tcBorders>
              <w:top w:val="single" w:sz="4" w:space="0" w:color="D0D7DE"/>
              <w:left w:val="single" w:sz="4" w:space="0" w:color="D0D7DE"/>
              <w:bottom w:val="single" w:sz="4" w:space="0" w:color="D0D7DE"/>
              <w:right w:val="single" w:sz="4" w:space="0" w:color="D0D7DE"/>
            </w:tcBorders>
          </w:tcPr>
          <w:p>
            <w:pPr>
              <w:spacing w:after="0"/>
            </w:pPr>
            <w:r>
              <w:rPr>
                <w:rFonts w:ascii="微軟正黑體" w:hAnsi="微軟正黑體"/>
                <w:color w:val="282828"/>
                <w:sz w:val="17"/>
              </w:rPr>
              <w:t>組別箱型圖與散點圖成果發布檔</w:t>
            </w:r>
          </w:p>
        </w:tc>
      </w:tr>
      <w:tr>
        <w:tc>
          <w:tcPr>
            <w:tcW w:type="dxa" w:w="3120"/>
            <w:shd w:fill="F7F9FB"/>
            <w:tcMar>
              <w:top w:w="60" w:type="dxa"/>
              <w:bottom w:w="60" w:type="dxa"/>
              <w:left w:w="100" w:type="dxa"/>
              <w:right w:w="10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b/>
                <w:color w:val="2C5E8A"/>
                <w:sz w:val="17"/>
              </w:rPr>
              <w:t>DM_group_summary.xlsx</w:t>
            </w:r>
          </w:p>
        </w:tc>
        <w:tc>
          <w:tcPr>
            <w:tcW w:type="dxa" w:w="3120"/>
            <w:shd w:fill="F7F9FB"/>
            <w:tcMar>
              <w:top w:w="60" w:type="dxa"/>
              <w:bottom w:w="60" w:type="dxa"/>
              <w:left w:w="100" w:type="dxa"/>
              <w:right w:w="10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統計成果報表 (Excel)</w:t>
            </w:r>
          </w:p>
        </w:tc>
        <w:tc>
          <w:tcPr>
            <w:tcW w:type="dxa" w:w="3120"/>
            <w:shd w:fill="F7F9FB"/>
            <w:tcMar>
              <w:top w:w="60" w:type="dxa"/>
              <w:bottom w:w="60" w:type="dxa"/>
              <w:left w:w="100" w:type="dxa"/>
              <w:right w:w="100" w:type="dxa"/>
            </w:tcMar>
            <w:tcBorders>
              <w:top w:val="single" w:sz="4" w:space="0" w:color="D0D7DE"/>
              <w:left w:val="single" w:sz="4" w:space="0" w:color="D0D7DE"/>
              <w:bottom w:val="single" w:sz="4" w:space="0" w:color="D0D7DE"/>
              <w:right w:val="single" w:sz="4" w:space="0" w:color="D0D7DE"/>
            </w:tcBorders>
          </w:tcPr>
          <w:p>
            <w:pPr>
              <w:spacing w:after="0"/>
            </w:pPr>
            <w:r>
              <w:rPr>
                <w:rFonts w:ascii="微軟正黑體" w:hAnsi="微軟正黑體"/>
                <w:color w:val="282828"/>
                <w:sz w:val="17"/>
              </w:rPr>
              <w:t>含描述統計、95% CI 與假設檢定結果之匯總試算表</w:t>
            </w:r>
          </w:p>
        </w:tc>
      </w:tr>
      <w:tr>
        <w:tc>
          <w:tcPr>
            <w:tcW w:type="dxa" w:w="3120"/>
            <w:shd w:fill="FFFFFF"/>
            <w:tcMar>
              <w:top w:w="60" w:type="dxa"/>
              <w:bottom w:w="60" w:type="dxa"/>
              <w:left w:w="100" w:type="dxa"/>
              <w:right w:w="10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b/>
                <w:color w:val="2C5E8A"/>
                <w:sz w:val="17"/>
              </w:rPr>
              <w:t>DM_group_summary.csv</w:t>
            </w:r>
          </w:p>
        </w:tc>
        <w:tc>
          <w:tcPr>
            <w:tcW w:type="dxa" w:w="3120"/>
            <w:shd w:fill="FFFFFF"/>
            <w:tcMar>
              <w:top w:w="60" w:type="dxa"/>
              <w:bottom w:w="60" w:type="dxa"/>
              <w:left w:w="100" w:type="dxa"/>
              <w:right w:w="10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統計成果資料表 (CSV)</w:t>
            </w:r>
          </w:p>
        </w:tc>
        <w:tc>
          <w:tcPr>
            <w:tcW w:type="dxa" w:w="3120"/>
            <w:shd w:fill="FFFFFF"/>
            <w:tcMar>
              <w:top w:w="60" w:type="dxa"/>
              <w:bottom w:w="60" w:type="dxa"/>
              <w:left w:w="100" w:type="dxa"/>
              <w:right w:w="100" w:type="dxa"/>
            </w:tcMar>
            <w:tcBorders>
              <w:top w:val="single" w:sz="4" w:space="0" w:color="D0D7DE"/>
              <w:left w:val="single" w:sz="4" w:space="0" w:color="D0D7DE"/>
              <w:bottom w:val="single" w:sz="4" w:space="0" w:color="D0D7DE"/>
              <w:right w:val="single" w:sz="4" w:space="0" w:color="D0D7DE"/>
            </w:tcBorders>
          </w:tcPr>
          <w:p>
            <w:pPr>
              <w:spacing w:after="0"/>
            </w:pPr>
            <w:r>
              <w:rPr>
                <w:rFonts w:ascii="微軟正黑體" w:hAnsi="微軟正黑體"/>
                <w:color w:val="282828"/>
                <w:sz w:val="17"/>
              </w:rPr>
              <w:t>可直接匯入資料倉儲或 BI 儀表板之數據檔</w:t>
            </w:r>
          </w:p>
        </w:tc>
      </w:tr>
      <w:tr>
        <w:tc>
          <w:tcPr>
            <w:tcW w:type="dxa" w:w="3120"/>
            <w:shd w:fill="F7F9FB"/>
            <w:tcMar>
              <w:top w:w="60" w:type="dxa"/>
              <w:bottom w:w="60" w:type="dxa"/>
              <w:left w:w="100" w:type="dxa"/>
              <w:right w:w="10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b/>
                <w:color w:val="2C5E8A"/>
                <w:sz w:val="17"/>
              </w:rPr>
              <w:t>DM_專案交接手冊.docx</w:t>
            </w:r>
          </w:p>
        </w:tc>
        <w:tc>
          <w:tcPr>
            <w:tcW w:type="dxa" w:w="3120"/>
            <w:shd w:fill="F7F9FB"/>
            <w:tcMar>
              <w:top w:w="60" w:type="dxa"/>
              <w:bottom w:w="60" w:type="dxa"/>
              <w:left w:w="100" w:type="dxa"/>
              <w:right w:w="100" w:type="dxa"/>
            </w:tcMar>
            <w:tcBorders>
              <w:top w:val="single" w:sz="4" w:space="0" w:color="D0D7DE"/>
              <w:left w:val="single" w:sz="4" w:space="0" w:color="D0D7DE"/>
              <w:bottom w:val="single" w:sz="4" w:space="0" w:color="D0D7DE"/>
              <w:right w:val="single" w:sz="4" w:space="0" w:color="D0D7DE"/>
            </w:tcBorders>
          </w:tcPr>
          <w:p>
            <w:pPr>
              <w:spacing w:after="0"/>
              <w:jc w:val="center"/>
            </w:pPr>
            <w:r>
              <w:rPr>
                <w:rFonts w:ascii="微軟正黑體" w:hAnsi="微軟正黑體"/>
                <w:color w:val="282828"/>
                <w:sz w:val="17"/>
              </w:rPr>
              <w:t>Word 交付文件 (Office Open XML)</w:t>
            </w:r>
          </w:p>
        </w:tc>
        <w:tc>
          <w:tcPr>
            <w:tcW w:type="dxa" w:w="3120"/>
            <w:shd w:fill="F7F9FB"/>
            <w:tcMar>
              <w:top w:w="60" w:type="dxa"/>
              <w:bottom w:w="60" w:type="dxa"/>
              <w:left w:w="100" w:type="dxa"/>
              <w:right w:w="100" w:type="dxa"/>
            </w:tcMar>
            <w:tcBorders>
              <w:top w:val="single" w:sz="4" w:space="0" w:color="D0D7DE"/>
              <w:left w:val="single" w:sz="4" w:space="0" w:color="D0D7DE"/>
              <w:bottom w:val="single" w:sz="4" w:space="0" w:color="D0D7DE"/>
              <w:right w:val="single" w:sz="4" w:space="0" w:color="D0D7DE"/>
            </w:tcBorders>
          </w:tcPr>
          <w:p>
            <w:pPr>
              <w:spacing w:after="0"/>
            </w:pPr>
            <w:r>
              <w:rPr>
                <w:rFonts w:ascii="微軟正黑體" w:hAnsi="微軟正黑體"/>
                <w:color w:val="282828"/>
                <w:sz w:val="17"/>
              </w:rPr>
              <w:t>含完整統計方法學之技術移轉手冊</w:t>
            </w:r>
          </w:p>
        </w:tc>
      </w:tr>
    </w:tbl>
    <w:p>
      <w:pPr>
        <w:spacing w:after="320"/>
      </w:pPr>
    </w:p>
    <w:p>
      <w:pPr>
        <w:spacing w:line="312" w:lineRule="auto"/>
      </w:pPr>
      <w:r>
        <w:rPr>
          <w:rFonts w:ascii="微軟正黑體" w:hAnsi="微軟正黑體"/>
          <w:i/>
          <w:color w:val="6E6E6E"/>
          <w:sz w:val="19"/>
        </w:rPr>
        <w:t>【專案交付與驗收確認】</w:t>
        <w:br/>
        <w:t>本手冊所記載之統計模型、數學公式、數據檢驗值與程式腳本均已通過交叉複核，確認數據正確無誤，特此交付。</w:t>
        <w:br/>
        <w:br/>
        <w:t>移交簽署人：___________________________ ｜ 日期：2026 年 10 月 08 日</w:t>
        <w:br/>
        <w:t>接收驗收人：___________________________ ｜ 日期：2026 年 10 月 08 日</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