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"/>
      </w:pPr>
      <w:r>
        <w:rPr>
          <w:b/>
          <w:color w:val="103955"/>
          <w:sz w:val="46"/>
        </w:rPr>
        <w:t>新藥存活分析報告</w:t>
      </w:r>
    </w:p>
    <w:p>
      <w:pPr>
        <w:spacing w:after="280"/>
      </w:pPr>
      <w:r>
        <w:rPr>
          <w:b w:val="0"/>
          <w:color w:val="577081"/>
          <w:sz w:val="18"/>
        </w:rPr>
        <w:t>KAPLAN–MEIER  ·  COX PROPORTIONAL HAZARDS  ·  SPSS VALIDATION</w:t>
      </w:r>
    </w:p>
    <w:p>
      <w:r>
        <w:t>資料版本：Survival test example.xlsx  |  比對依據：生物統計學1029.doc（SPSS）  |  分析日期：2026-10-29</w:t>
      </w:r>
    </w:p>
    <w:p>
      <w:pPr>
        <w:pStyle w:val="Heading1"/>
      </w:pPr>
      <w:r>
        <w:t>執行摘要</w:t>
      </w:r>
    </w:p>
    <w:p>
      <w:r>
        <w:t>本分析納入 12 位受試者，安慰劑組（Group 1）與新藥組（Group 2）各 6 人。事件代碼 1 代表發生研究事件、0 代表設限。由於來源未說明事件的臨床定義，報告以「事件風險」及「事件未發生機率」呈現，避免誤將事件解讀為死亡。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685"/>
            <w:shd w:fill="103955"/>
            <w:vAlign w:val="center"/>
          </w:tcPr>
          <w:p>
            <w:r>
              <w:rPr>
                <w:b/>
                <w:color w:val="FFFFFF"/>
                <w:sz w:val="16"/>
              </w:rPr>
              <w:t>重點指標</w:t>
            </w:r>
          </w:p>
        </w:tc>
        <w:tc>
          <w:tcPr>
            <w:tcW w:type="dxa" w:w="2835"/>
            <w:shd w:fill="103955"/>
            <w:vAlign w:val="center"/>
          </w:tcPr>
          <w:p>
            <w:r>
              <w:rPr>
                <w:b/>
                <w:color w:val="FFFFFF"/>
                <w:sz w:val="16"/>
              </w:rPr>
              <w:t>安慰劑組</w:t>
            </w:r>
          </w:p>
        </w:tc>
        <w:tc>
          <w:tcPr>
            <w:tcW w:type="dxa" w:w="2835"/>
            <w:shd w:fill="103955"/>
            <w:vAlign w:val="center"/>
          </w:tcPr>
          <w:p>
            <w:r>
              <w:rPr>
                <w:b/>
                <w:color w:val="FFFFFF"/>
                <w:sz w:val="16"/>
              </w:rPr>
              <w:t>新藥組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>
              <w:rPr>
                <w:sz w:val="16"/>
              </w:rPr>
              <w:t>樣本數 / 事件數 / 設限數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16"/>
              </w:rPr>
              <w:t>6 / 3 / 3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16"/>
              </w:rPr>
              <w:t>6 / 6 / 0</w:t>
            </w:r>
          </w:p>
        </w:tc>
      </w:tr>
      <w:tr>
        <w:tc>
          <w:tcPr>
            <w:tcW w:type="dxa" w:w="3685"/>
            <w:shd w:fill="EDF3F7"/>
          </w:tcPr>
          <w:p>
            <w:pPr>
              <w:spacing w:after="20"/>
            </w:pPr>
            <w:r>
              <w:rPr>
                <w:sz w:val="16"/>
              </w:rPr>
              <w:t>中位事件未發生時間</w:t>
            </w:r>
          </w:p>
        </w:tc>
        <w:tc>
          <w:tcPr>
            <w:tcW w:type="dxa" w:w="2835"/>
            <w:shd w:fill="EDF3F7"/>
          </w:tcPr>
          <w:p>
            <w:pPr>
              <w:spacing w:after="20"/>
            </w:pPr>
            <w:r>
              <w:rPr>
                <w:sz w:val="16"/>
              </w:rPr>
              <w:t>6.5 月</w:t>
            </w:r>
          </w:p>
        </w:tc>
        <w:tc>
          <w:tcPr>
            <w:tcW w:type="dxa" w:w="2835"/>
            <w:shd w:fill="EDF3F7"/>
          </w:tcPr>
          <w:p>
            <w:pPr>
              <w:spacing w:after="20"/>
            </w:pPr>
            <w:r>
              <w:rPr>
                <w:sz w:val="16"/>
              </w:rPr>
              <w:t>5.0 月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>
              <w:rPr>
                <w:sz w:val="16"/>
              </w:rPr>
              <w:t>中位數 95% CI（SPSS）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16"/>
              </w:rPr>
              <w:t>3.560–9.440 月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16"/>
              </w:rPr>
              <w:t>4.040–5.960 月</w:t>
            </w:r>
          </w:p>
        </w:tc>
      </w:tr>
      <w:tr>
        <w:tc>
          <w:tcPr>
            <w:tcW w:type="dxa" w:w="3685"/>
            <w:shd w:fill="EDF3F7"/>
          </w:tcPr>
          <w:p>
            <w:pPr>
              <w:spacing w:after="20"/>
            </w:pPr>
            <w:r>
              <w:rPr>
                <w:sz w:val="16"/>
              </w:rPr>
              <w:t>7.2 月限制平均存活時間（RMST）</w:t>
            </w:r>
          </w:p>
        </w:tc>
        <w:tc>
          <w:tcPr>
            <w:tcW w:type="dxa" w:w="2835"/>
            <w:shd w:fill="EDF3F7"/>
          </w:tcPr>
          <w:p>
            <w:pPr>
              <w:spacing w:after="20"/>
            </w:pPr>
            <w:r>
              <w:rPr>
                <w:sz w:val="16"/>
              </w:rPr>
              <w:t>6.228 月</w:t>
            </w:r>
          </w:p>
        </w:tc>
        <w:tc>
          <w:tcPr>
            <w:tcW w:type="dxa" w:w="2835"/>
            <w:shd w:fill="EDF3F7"/>
          </w:tcPr>
          <w:p>
            <w:pPr>
              <w:spacing w:after="20"/>
            </w:pPr>
            <w:r>
              <w:rPr>
                <w:sz w:val="16"/>
              </w:rPr>
              <w:t>5.533 月</w:t>
            </w:r>
          </w:p>
        </w:tc>
      </w:tr>
    </w:tbl>
    <w:p>
      <w:pPr>
        <w:spacing w:after="0"/>
      </w:pPr>
    </w:p>
    <w:p>
      <w:pPr>
        <w:pStyle w:val="Heading1"/>
      </w:pPr>
      <w:r>
        <w:t>主要比較結果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402"/>
            <w:shd w:fill="103955"/>
            <w:vAlign w:val="center"/>
          </w:tcPr>
          <w:p>
            <w:r>
              <w:rPr>
                <w:b/>
                <w:color w:val="FFFFFF"/>
                <w:sz w:val="16"/>
              </w:rPr>
              <w:t>檢定／模型</w:t>
            </w:r>
          </w:p>
        </w:tc>
        <w:tc>
          <w:tcPr>
            <w:tcW w:type="dxa" w:w="4762"/>
            <w:shd w:fill="103955"/>
            <w:vAlign w:val="center"/>
          </w:tcPr>
          <w:p>
            <w:r>
              <w:rPr>
                <w:b/>
                <w:color w:val="FFFFFF"/>
                <w:sz w:val="16"/>
              </w:rPr>
              <w:t>估計值</w:t>
            </w:r>
          </w:p>
        </w:tc>
        <w:tc>
          <w:tcPr>
            <w:tcW w:type="dxa" w:w="1191"/>
            <w:shd w:fill="103955"/>
            <w:vAlign w:val="center"/>
          </w:tcPr>
          <w:p>
            <w:r>
              <w:rPr>
                <w:b/>
                <w:color w:val="FFFFFF"/>
                <w:sz w:val="16"/>
              </w:rPr>
              <w:t>p 值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6"/>
              </w:rPr>
              <w:t>Log-rank (Mantel–Cox)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6"/>
              </w:rPr>
              <w:t>χ² = 2.3038</w:t>
            </w:r>
          </w:p>
        </w:tc>
        <w:tc>
          <w:tcPr>
            <w:tcW w:type="dxa" w:w="1191"/>
          </w:tcPr>
          <w:p>
            <w:pPr>
              <w:spacing w:after="20"/>
            </w:pPr>
            <w:r>
              <w:rPr>
                <w:sz w:val="16"/>
              </w:rPr>
              <w:t>0.1291</w:t>
            </w:r>
          </w:p>
        </w:tc>
      </w:tr>
      <w:tr>
        <w:tc>
          <w:tcPr>
            <w:tcW w:type="dxa" w:w="3402"/>
            <w:shd w:fill="EDF3F7"/>
          </w:tcPr>
          <w:p>
            <w:pPr>
              <w:spacing w:after="20"/>
            </w:pPr>
            <w:r>
              <w:rPr>
                <w:sz w:val="16"/>
              </w:rPr>
              <w:t>Cox PH（新藥組／安慰劑組）</w:t>
            </w:r>
          </w:p>
        </w:tc>
        <w:tc>
          <w:tcPr>
            <w:tcW w:type="dxa" w:w="4762"/>
            <w:shd w:fill="EDF3F7"/>
          </w:tcPr>
          <w:p>
            <w:pPr>
              <w:spacing w:after="20"/>
            </w:pPr>
            <w:r>
              <w:rPr>
                <w:sz w:val="16"/>
              </w:rPr>
              <w:t>HR = 2.7397  [95% CI 0.6702–11.1996]</w:t>
            </w:r>
          </w:p>
        </w:tc>
        <w:tc>
          <w:tcPr>
            <w:tcW w:type="dxa" w:w="1191"/>
            <w:shd w:fill="EDF3F7"/>
          </w:tcPr>
          <w:p>
            <w:pPr>
              <w:spacing w:after="20"/>
            </w:pPr>
            <w:r>
              <w:rPr>
                <w:sz w:val="16"/>
              </w:rPr>
              <w:t>0.1606</w:t>
            </w:r>
          </w:p>
        </w:tc>
      </w:tr>
    </w:tbl>
    <w:p>
      <w:pPr>
        <w:spacing w:after="0"/>
      </w:pPr>
    </w:p>
    <w:p>
      <w:pPr>
        <w:pStyle w:val="Heading1"/>
      </w:pPr>
      <w:r>
        <w:t>主要結論</w:t>
      </w:r>
    </w:p>
    <w:p>
      <w:r>
        <w:t>新藥組的中位事件未發生時間較安慰劑組短 1.5 個月，Cox 模型估計的新藥組事件瞬時風險較高。然而，Log-rank 檢定 p = 0.1291、HR 95% 信賴區間包含 1，均未達傳統雙側 α = 0.05 的統計顯著標準。本研究樣本數極小，結果僅應視為探索性證據；不能據此證明新藥有效、無效或有害。</w:t>
      </w:r>
    </w:p>
    <w:p>
      <w:pPr>
        <w:spacing w:before="60" w:after="140"/>
      </w:pPr>
      <w:r>
        <w:rPr>
          <w:i/>
          <w:color w:val="657A86"/>
          <w:sz w:val="16"/>
        </w:rPr>
        <w:t>統計解讀提醒：HR 為瞬時事件風險之相對比值，並非「死亡機率」或「累積發生率」的直接比值。</w:t>
      </w:r>
    </w:p>
    <w:p>
      <w:r>
        <w:br w:type="page"/>
      </w:r>
    </w:p>
    <w:p>
      <w:pPr>
        <w:pStyle w:val="Heading1"/>
      </w:pPr>
      <w:r>
        <w:t>01  Kaplan–Meier 存活曲線</w:t>
      </w:r>
    </w:p>
    <w:p>
      <w:r>
        <w:t>以觀察到的事件時間建構階梯型 Kaplan–Meier 曲線；設限時間以短線標示。風險人數表呈現各時間點之前仍處於追蹤且尚未發生事件的人數。</w:t>
      </w:r>
    </w:p>
    <w:p>
      <w:r>
        <w:drawing>
          <wp:inline xmlns:a="http://schemas.openxmlformats.org/drawingml/2006/main" xmlns:pic="http://schemas.openxmlformats.org/drawingml/2006/picture">
            <wp:extent cx="5868000" cy="4535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_存活曲線_重新驗證_202610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535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</w:pPr>
      <w:r>
        <w:rPr>
          <w:i/>
          <w:color w:val="657A86"/>
          <w:sz w:val="16"/>
        </w:rPr>
        <w:t>圖 1. 事件未發生機率隨追蹤時間之變化（Group 1：安慰劑；Group 2：新藥）。同一時間發生多件事件時視為同一事件時間點處理。</w:t>
      </w:r>
    </w:p>
    <w:p>
      <w:r>
        <w:t>圖形重點：新藥組在第 5.0 個月有兩件事件，使其 Kaplan–Meier 估計由 83.3% 降至 50.0%；在第 7.0 個月降至 0%。安慰劑組於第 6.5 個月降至 44.4%，其後設限不再改變曲線高度。</w:t>
      </w:r>
    </w:p>
    <w:p>
      <w:r>
        <w:br w:type="page"/>
      </w:r>
    </w:p>
    <w:p>
      <w:pPr>
        <w:pStyle w:val="Heading1"/>
      </w:pPr>
      <w:r>
        <w:t>02  存活機率與時間估計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4082"/>
            <w:shd w:fill="103955"/>
            <w:vAlign w:val="center"/>
          </w:tcPr>
          <w:p>
            <w:r>
              <w:rPr>
                <w:b/>
                <w:color w:val="FFFFFF"/>
                <w:sz w:val="16"/>
              </w:rPr>
              <w:t>統計量</w:t>
            </w:r>
          </w:p>
        </w:tc>
        <w:tc>
          <w:tcPr>
            <w:tcW w:type="dxa" w:w="2665"/>
            <w:shd w:fill="103955"/>
            <w:vAlign w:val="center"/>
          </w:tcPr>
          <w:p>
            <w:r>
              <w:rPr>
                <w:b/>
                <w:color w:val="FFFFFF"/>
                <w:sz w:val="16"/>
              </w:rPr>
              <w:t>安慰劑組</w:t>
            </w:r>
          </w:p>
        </w:tc>
        <w:tc>
          <w:tcPr>
            <w:tcW w:type="dxa" w:w="2665"/>
            <w:shd w:fill="103955"/>
            <w:vAlign w:val="center"/>
          </w:tcPr>
          <w:p>
            <w:r>
              <w:rPr>
                <w:b/>
                <w:color w:val="FFFFFF"/>
                <w:sz w:val="16"/>
              </w:rPr>
              <w:t>新藥組</w:t>
            </w:r>
          </w:p>
        </w:tc>
      </w:tr>
      <w:tr>
        <w:tc>
          <w:tcPr>
            <w:tcW w:type="dxa" w:w="4082"/>
          </w:tcPr>
          <w:p>
            <w:pPr>
              <w:spacing w:after="20"/>
            </w:pPr>
            <w:r>
              <w:rPr>
                <w:sz w:val="16"/>
              </w:rPr>
              <w:t>事件發生率（描述性）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sz w:val="16"/>
              </w:rPr>
              <w:t>3/6（50.0%）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sz w:val="16"/>
              </w:rPr>
              <w:t>6/6（100.0%）</w:t>
            </w:r>
          </w:p>
        </w:tc>
      </w:tr>
      <w:tr>
        <w:tc>
          <w:tcPr>
            <w:tcW w:type="dxa" w:w="4082"/>
            <w:shd w:fill="EDF3F7"/>
          </w:tcPr>
          <w:p>
            <w:pPr>
              <w:spacing w:after="20"/>
            </w:pPr>
            <w:r>
              <w:rPr>
                <w:sz w:val="16"/>
              </w:rPr>
              <w:t>第 5 個月 KM 事件未發生率</w:t>
            </w:r>
          </w:p>
        </w:tc>
        <w:tc>
          <w:tcPr>
            <w:tcW w:type="dxa" w:w="2665"/>
            <w:shd w:fill="EDF3F7"/>
          </w:tcPr>
          <w:p>
            <w:pPr>
              <w:spacing w:after="20"/>
            </w:pPr>
            <w:r>
              <w:rPr>
                <w:sz w:val="16"/>
              </w:rPr>
              <w:t>66.7%</w:t>
            </w:r>
          </w:p>
        </w:tc>
        <w:tc>
          <w:tcPr>
            <w:tcW w:type="dxa" w:w="2665"/>
            <w:shd w:fill="EDF3F7"/>
          </w:tcPr>
          <w:p>
            <w:pPr>
              <w:spacing w:after="20"/>
            </w:pPr>
            <w:r>
              <w:rPr>
                <w:sz w:val="16"/>
              </w:rPr>
              <w:t>50.0%</w:t>
            </w:r>
          </w:p>
        </w:tc>
      </w:tr>
      <w:tr>
        <w:tc>
          <w:tcPr>
            <w:tcW w:type="dxa" w:w="4082"/>
          </w:tcPr>
          <w:p>
            <w:pPr>
              <w:spacing w:after="20"/>
            </w:pPr>
            <w:r>
              <w:rPr>
                <w:sz w:val="16"/>
              </w:rPr>
              <w:t>第 6 個月 KM 事件未發生率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sz w:val="16"/>
              </w:rPr>
              <w:t>66.7%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sz w:val="16"/>
              </w:rPr>
              <w:t>33.3%</w:t>
            </w:r>
          </w:p>
        </w:tc>
      </w:tr>
      <w:tr>
        <w:tc>
          <w:tcPr>
            <w:tcW w:type="dxa" w:w="4082"/>
            <w:shd w:fill="EDF3F7"/>
          </w:tcPr>
          <w:p>
            <w:pPr>
              <w:spacing w:after="20"/>
            </w:pPr>
            <w:r>
              <w:rPr>
                <w:sz w:val="16"/>
              </w:rPr>
              <w:t>第 7 個月 KM 事件未發生率</w:t>
            </w:r>
          </w:p>
        </w:tc>
        <w:tc>
          <w:tcPr>
            <w:tcW w:type="dxa" w:w="2665"/>
            <w:shd w:fill="EDF3F7"/>
          </w:tcPr>
          <w:p>
            <w:pPr>
              <w:spacing w:after="20"/>
            </w:pPr>
            <w:r>
              <w:rPr>
                <w:sz w:val="16"/>
              </w:rPr>
              <w:t>44.4%</w:t>
            </w:r>
          </w:p>
        </w:tc>
        <w:tc>
          <w:tcPr>
            <w:tcW w:type="dxa" w:w="2665"/>
            <w:shd w:fill="EDF3F7"/>
          </w:tcPr>
          <w:p>
            <w:pPr>
              <w:spacing w:after="20"/>
            </w:pP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4082"/>
          </w:tcPr>
          <w:p>
            <w:pPr>
              <w:spacing w:after="20"/>
            </w:pPr>
            <w:r>
              <w:rPr>
                <w:sz w:val="16"/>
              </w:rPr>
              <w:t>中位事件未發生時間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sz w:val="16"/>
              </w:rPr>
              <w:t>6.5 月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sz w:val="16"/>
              </w:rPr>
              <w:t>5.0 月</w:t>
            </w:r>
          </w:p>
        </w:tc>
      </w:tr>
      <w:tr>
        <w:tc>
          <w:tcPr>
            <w:tcW w:type="dxa" w:w="4082"/>
            <w:shd w:fill="EDF3F7"/>
          </w:tcPr>
          <w:p>
            <w:pPr>
              <w:spacing w:after="20"/>
            </w:pPr>
            <w:r>
              <w:rPr>
                <w:sz w:val="16"/>
              </w:rPr>
              <w:t>中位數 95% CI（SPSS）</w:t>
            </w:r>
          </w:p>
        </w:tc>
        <w:tc>
          <w:tcPr>
            <w:tcW w:type="dxa" w:w="2665"/>
            <w:shd w:fill="EDF3F7"/>
          </w:tcPr>
          <w:p>
            <w:pPr>
              <w:spacing w:after="20"/>
            </w:pPr>
            <w:r>
              <w:rPr>
                <w:sz w:val="16"/>
              </w:rPr>
              <w:t>3.560–9.440 月</w:t>
            </w:r>
          </w:p>
        </w:tc>
        <w:tc>
          <w:tcPr>
            <w:tcW w:type="dxa" w:w="2665"/>
            <w:shd w:fill="EDF3F7"/>
          </w:tcPr>
          <w:p>
            <w:pPr>
              <w:spacing w:after="20"/>
            </w:pPr>
            <w:r>
              <w:rPr>
                <w:sz w:val="16"/>
              </w:rPr>
              <w:t>4.040–5.960 月</w:t>
            </w:r>
          </w:p>
        </w:tc>
      </w:tr>
      <w:tr>
        <w:tc>
          <w:tcPr>
            <w:tcW w:type="dxa" w:w="4082"/>
          </w:tcPr>
          <w:p>
            <w:pPr>
              <w:spacing w:after="20"/>
            </w:pPr>
            <w:r>
              <w:rPr>
                <w:sz w:val="16"/>
              </w:rPr>
              <w:t>RMST（截至 7.2 月）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sz w:val="16"/>
              </w:rPr>
              <w:t>6.228 月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sz w:val="16"/>
              </w:rPr>
              <w:t>5.533 月</w:t>
            </w:r>
          </w:p>
        </w:tc>
      </w:tr>
    </w:tbl>
    <w:p>
      <w:pPr>
        <w:spacing w:after="0"/>
      </w:pPr>
    </w:p>
    <w:p>
      <w:pPr>
        <w:pStyle w:val="Heading2"/>
      </w:pPr>
      <w:r>
        <w:t>中位數判定與軟體差異</w:t>
      </w:r>
    </w:p>
    <w:p>
      <w:r>
        <w:t>此報告依 SPSS 慣例，將中位數定義為 Kaplan–Meier 估計 S(t) 首次達到或低於 0.50 的時間。新藥組於 5.0 月恰達 50%，因此報告中位數為 5.0 月。部分程式採首次嚴格低於 0.50 的演算法，可能回傳 5.5 月；兩者反映的是中位數定義不同，而非原始資料不同。</w:t>
      </w:r>
    </w:p>
    <w:p>
      <w:pPr>
        <w:pStyle w:val="Heading2"/>
      </w:pPr>
      <w:r>
        <w:t>平均存活時間與 RMST</w:t>
      </w:r>
    </w:p>
    <w:p>
      <w:r>
        <w:t>由於安慰劑組尾端存在設限，無法可靠估計完整存活分布的無限制平均值。此處使用限制平均存活時間（Restricted Mean Survival Time, RMST），共同截點 τ = 7.2 個月；安慰劑組為 6.228 月、新藥組為 5.533 月，描述性差距約 0.694 月。SPSS 輸出的平均值為截尾的存活時間平均估計，不宜稱作完整平均壽命。</w:t>
      </w:r>
    </w:p>
    <w:p>
      <w:pPr>
        <w:spacing w:before="60" w:after="140"/>
      </w:pPr>
      <w:r>
        <w:rPr>
          <w:i/>
          <w:color w:val="657A86"/>
          <w:sz w:val="16"/>
        </w:rPr>
        <w:t>註：上表中位數 95% CI 擷取自使用者提供的 SPSS 輸出；存活率、RMST 與中位數點估計由原始 Excel 獨立重算。</w:t>
      </w:r>
    </w:p>
    <w:p>
      <w:r>
        <w:br w:type="page"/>
      </w:r>
    </w:p>
    <w:p>
      <w:pPr>
        <w:pStyle w:val="Heading1"/>
      </w:pPr>
      <w:r>
        <w:t>03  組間比較與風險比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4309"/>
            <w:shd w:fill="103955"/>
            <w:vAlign w:val="center"/>
          </w:tcPr>
          <w:p>
            <w:r>
              <w:rPr>
                <w:b/>
                <w:color w:val="FFFFFF"/>
                <w:sz w:val="16"/>
              </w:rPr>
              <w:t>組間比較方法</w:t>
            </w:r>
          </w:p>
        </w:tc>
        <w:tc>
          <w:tcPr>
            <w:tcW w:type="dxa" w:w="2551"/>
            <w:shd w:fill="103955"/>
            <w:vAlign w:val="center"/>
          </w:tcPr>
          <w:p>
            <w:r>
              <w:rPr>
                <w:b/>
                <w:color w:val="FFFFFF"/>
                <w:sz w:val="16"/>
              </w:rPr>
              <w:t>χ²（df = 1）</w:t>
            </w:r>
          </w:p>
        </w:tc>
        <w:tc>
          <w:tcPr>
            <w:tcW w:type="dxa" w:w="2551"/>
            <w:shd w:fill="103955"/>
            <w:vAlign w:val="center"/>
          </w:tcPr>
          <w:p>
            <w:r>
              <w:rPr>
                <w:b/>
                <w:color w:val="FFFFFF"/>
                <w:sz w:val="16"/>
              </w:rPr>
              <w:t>雙側 p 值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>
              <w:rPr>
                <w:sz w:val="16"/>
              </w:rPr>
              <w:t>Log-rank（Mantel–Cox）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6"/>
              </w:rPr>
              <w:t>2.3038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6"/>
              </w:rPr>
              <w:t>0.1291</w:t>
            </w:r>
          </w:p>
        </w:tc>
      </w:tr>
      <w:tr>
        <w:tc>
          <w:tcPr>
            <w:tcW w:type="dxa" w:w="4309"/>
            <w:shd w:fill="EDF3F7"/>
          </w:tcPr>
          <w:p>
            <w:pPr>
              <w:spacing w:after="20"/>
            </w:pPr>
            <w:r>
              <w:rPr>
                <w:sz w:val="16"/>
              </w:rPr>
              <w:t>Breslow（Generalized Wilcoxon）</w:t>
            </w:r>
          </w:p>
        </w:tc>
        <w:tc>
          <w:tcPr>
            <w:tcW w:type="dxa" w:w="2551"/>
            <w:shd w:fill="EDF3F7"/>
          </w:tcPr>
          <w:p>
            <w:pPr>
              <w:spacing w:after="20"/>
            </w:pPr>
            <w:r>
              <w:rPr>
                <w:sz w:val="16"/>
              </w:rPr>
              <w:t>1.3303</w:t>
            </w:r>
          </w:p>
        </w:tc>
        <w:tc>
          <w:tcPr>
            <w:tcW w:type="dxa" w:w="2551"/>
            <w:shd w:fill="EDF3F7"/>
          </w:tcPr>
          <w:p>
            <w:pPr>
              <w:spacing w:after="20"/>
            </w:pPr>
            <w:r>
              <w:rPr>
                <w:sz w:val="16"/>
              </w:rPr>
              <w:t>0.2487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>
              <w:rPr>
                <w:sz w:val="16"/>
              </w:rPr>
              <w:t>Tarone–Ware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6"/>
              </w:rPr>
              <w:t>1.7768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6"/>
              </w:rPr>
              <w:t>0.1825</w:t>
            </w:r>
          </w:p>
        </w:tc>
      </w:tr>
    </w:tbl>
    <w:p>
      <w:pPr>
        <w:spacing w:after="0"/>
      </w:pPr>
    </w:p>
    <w:p>
      <w:r>
        <w:t>三種加權方式均未達 α = 0.05。Log-rank 為主要兩組曲線比較；其餘兩項為敏感度檢視，並不能視為獨立確認藥物療效的重複證據。</w:t>
      </w:r>
    </w:p>
    <w:p>
      <w:r>
        <w:drawing>
          <wp:inline xmlns:a="http://schemas.openxmlformats.org/drawingml/2006/main" xmlns:pic="http://schemas.openxmlformats.org/drawingml/2006/picture">
            <wp:extent cx="5903999" cy="19847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_Cox風險比_重新驗證_2026102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84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</w:pPr>
      <w:r>
        <w:rPr>
          <w:i/>
          <w:color w:val="657A86"/>
          <w:sz w:val="16"/>
        </w:rPr>
        <w:t>圖 2. 單變項 Cox 比例風險模型（新藥組相對安慰劑組）；Efron 與 Breslow 對同時事件的估計可不同，本報告固定採 Breslow。</w:t>
      </w:r>
    </w:p>
    <w:p>
      <w:r>
        <w:t>Cox 迴歸係數 β = 1.007845，標準誤 SE = 0.718398；HR = exp(β) = 2.7397，95% CI 0.6702–11.1996，Wald p = 0.1606。HR 大於 1 表示新藥組估計事件發生速率較高，但區間很寬，統計不確定性大。</w:t>
      </w:r>
    </w:p>
    <w:p>
      <w:r>
        <w:br w:type="page"/>
      </w:r>
    </w:p>
    <w:p>
      <w:pPr>
        <w:pStyle w:val="Heading1"/>
      </w:pPr>
      <w:r>
        <w:t>04  SPSS 核對與研究品質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91"/>
            <w:shd w:fill="103955"/>
            <w:vAlign w:val="center"/>
          </w:tcPr>
          <w:p>
            <w:r>
              <w:rPr>
                <w:b/>
                <w:color w:val="FFFFFF"/>
                <w:sz w:val="16"/>
              </w:rPr>
              <w:t>核對項目</w:t>
            </w:r>
          </w:p>
        </w:tc>
        <w:tc>
          <w:tcPr>
            <w:tcW w:type="dxa" w:w="2381"/>
            <w:shd w:fill="103955"/>
            <w:vAlign w:val="center"/>
          </w:tcPr>
          <w:p>
            <w:r>
              <w:rPr>
                <w:b/>
                <w:color w:val="FFFFFF"/>
                <w:sz w:val="16"/>
              </w:rPr>
              <w:t>獨立重算</w:t>
            </w:r>
          </w:p>
        </w:tc>
        <w:tc>
          <w:tcPr>
            <w:tcW w:type="dxa" w:w="2494"/>
            <w:shd w:fill="103955"/>
            <w:vAlign w:val="center"/>
          </w:tcPr>
          <w:p>
            <w:r>
              <w:rPr>
                <w:b/>
                <w:color w:val="FFFFFF"/>
                <w:sz w:val="16"/>
              </w:rPr>
              <w:t>SPSS 輸出</w:t>
            </w:r>
          </w:p>
        </w:tc>
        <w:tc>
          <w:tcPr>
            <w:tcW w:type="dxa" w:w="1531"/>
            <w:shd w:fill="103955"/>
            <w:vAlign w:val="center"/>
          </w:tcPr>
          <w:p>
            <w:r>
              <w:rPr>
                <w:b/>
                <w:color w:val="FFFFFF"/>
                <w:sz w:val="16"/>
              </w:rPr>
              <w:t>判定</w:t>
            </w:r>
          </w:p>
        </w:tc>
      </w:tr>
      <w:tr>
        <w:tc>
          <w:tcPr>
            <w:tcW w:type="dxa" w:w="2891"/>
          </w:tcPr>
          <w:p>
            <w:pPr>
              <w:spacing w:after="20"/>
            </w:pPr>
            <w:r>
              <w:rPr>
                <w:sz w:val="16"/>
              </w:rPr>
              <w:t>Log-rank χ² / p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6"/>
              </w:rPr>
              <w:t>2.304 / 0.129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sz w:val="16"/>
              </w:rPr>
              <w:t>2.304 / .129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2891"/>
            <w:shd w:fill="EDF3F7"/>
          </w:tcPr>
          <w:p>
            <w:pPr>
              <w:spacing w:after="20"/>
            </w:pPr>
            <w:r>
              <w:rPr>
                <w:sz w:val="16"/>
              </w:rPr>
              <w:t>Breslow χ² / p</w:t>
            </w:r>
          </w:p>
        </w:tc>
        <w:tc>
          <w:tcPr>
            <w:tcW w:type="dxa" w:w="2381"/>
            <w:shd w:fill="EDF3F7"/>
          </w:tcPr>
          <w:p>
            <w:pPr>
              <w:spacing w:after="20"/>
            </w:pPr>
            <w:r>
              <w:rPr>
                <w:sz w:val="16"/>
              </w:rPr>
              <w:t>1.330 / 0.249</w:t>
            </w:r>
          </w:p>
        </w:tc>
        <w:tc>
          <w:tcPr>
            <w:tcW w:type="dxa" w:w="2494"/>
            <w:shd w:fill="EDF3F7"/>
          </w:tcPr>
          <w:p>
            <w:pPr>
              <w:spacing w:after="20"/>
            </w:pPr>
            <w:r>
              <w:rPr>
                <w:sz w:val="16"/>
              </w:rPr>
              <w:t>1.330 / .249</w:t>
            </w:r>
          </w:p>
        </w:tc>
        <w:tc>
          <w:tcPr>
            <w:tcW w:type="dxa" w:w="1531"/>
            <w:shd w:fill="EDF3F7"/>
          </w:tcPr>
          <w:p>
            <w:pPr>
              <w:spacing w:after="20"/>
            </w:pP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2891"/>
          </w:tcPr>
          <w:p>
            <w:pPr>
              <w:spacing w:after="20"/>
            </w:pPr>
            <w:r>
              <w:rPr>
                <w:sz w:val="16"/>
              </w:rPr>
              <w:t>Tarone–Ware χ² / p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6"/>
              </w:rPr>
              <w:t>1.777 / 0.183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sz w:val="16"/>
              </w:rPr>
              <w:t>1.777 / .183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2891"/>
            <w:shd w:fill="EDF3F7"/>
          </w:tcPr>
          <w:p>
            <w:pPr>
              <w:spacing w:after="20"/>
            </w:pPr>
            <w:r>
              <w:rPr>
                <w:sz w:val="16"/>
              </w:rPr>
              <w:t>安慰劑中位數</w:t>
            </w:r>
          </w:p>
        </w:tc>
        <w:tc>
          <w:tcPr>
            <w:tcW w:type="dxa" w:w="2381"/>
            <w:shd w:fill="EDF3F7"/>
          </w:tcPr>
          <w:p>
            <w:pPr>
              <w:spacing w:after="20"/>
            </w:pPr>
            <w:r>
              <w:rPr>
                <w:sz w:val="16"/>
              </w:rPr>
              <w:t>6.5 月</w:t>
            </w:r>
          </w:p>
        </w:tc>
        <w:tc>
          <w:tcPr>
            <w:tcW w:type="dxa" w:w="2494"/>
            <w:shd w:fill="EDF3F7"/>
          </w:tcPr>
          <w:p>
            <w:pPr>
              <w:spacing w:after="20"/>
            </w:pPr>
            <w:r>
              <w:rPr>
                <w:sz w:val="16"/>
              </w:rPr>
              <w:t>6.500 月</w:t>
            </w:r>
          </w:p>
        </w:tc>
        <w:tc>
          <w:tcPr>
            <w:tcW w:type="dxa" w:w="1531"/>
            <w:shd w:fill="EDF3F7"/>
          </w:tcPr>
          <w:p>
            <w:pPr>
              <w:spacing w:after="20"/>
            </w:pP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2891"/>
          </w:tcPr>
          <w:p>
            <w:pPr>
              <w:spacing w:after="20"/>
            </w:pPr>
            <w:r>
              <w:rPr>
                <w:sz w:val="16"/>
              </w:rPr>
              <w:t>新藥中位數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6"/>
              </w:rPr>
              <w:t>5.0 月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sz w:val="16"/>
              </w:rPr>
              <w:t>5.000 月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sz w:val="16"/>
              </w:rPr>
              <w:t>一致</w:t>
            </w:r>
          </w:p>
        </w:tc>
      </w:tr>
    </w:tbl>
    <w:p>
      <w:pPr>
        <w:spacing w:after="0"/>
      </w:pPr>
    </w:p>
    <w:p>
      <w:pPr>
        <w:pStyle w:val="Heading2"/>
      </w:pPr>
      <w:r>
        <w:t>方法與推論限制</w:t>
      </w:r>
    </w:p>
    <w:p>
      <w:pPr>
        <w:pStyle w:val="ListBullet"/>
      </w:pPr>
      <w:r>
        <w:t>樣本數與事件數：每組僅 6 人，合計 9 件事件；估計敏感、信賴區間寬，缺乏足夠檢定力。</w:t>
      </w:r>
    </w:p>
    <w:p>
      <w:pPr>
        <w:pStyle w:val="ListBullet"/>
      </w:pPr>
      <w:r>
        <w:t>隨訪與設限：安慰劑組有 3 件設限，新藥組無設限；需確認是否符合非資訊性設限假設。</w:t>
      </w:r>
    </w:p>
    <w:p>
      <w:pPr>
        <w:pStyle w:val="ListBullet"/>
      </w:pPr>
      <w:r>
        <w:t>比例風險假設：本次模型為單變項 Cox，樣本極小；未能可靠建立比例風險假設成立的充分證據。</w:t>
      </w:r>
    </w:p>
    <w:p>
      <w:pPr>
        <w:pStyle w:val="ListBullet"/>
      </w:pPr>
      <w:r>
        <w:t>基線差異與設計：原始檔未提供年齡、疾病嚴重度、隨機分派、盲法、治療交叉或混雜變項。</w:t>
      </w:r>
    </w:p>
    <w:p>
      <w:pPr>
        <w:pStyle w:val="ListBullet"/>
      </w:pPr>
      <w:r>
        <w:t>事件的臨床意義：尚未提供 Status=1 的具體事件定義，不得直接宣稱 HR 為死亡風險比。</w:t>
      </w:r>
    </w:p>
    <w:p>
      <w:pPr>
        <w:pStyle w:val="ListBullet"/>
      </w:pPr>
      <w:r>
        <w:t>效果大小：RMST 差值與中位數差屬描述性比較，本報告未針對其差值建立額外推論區間。</w:t>
      </w:r>
    </w:p>
    <w:p>
      <w:pPr>
        <w:pStyle w:val="Heading2"/>
      </w:pPr>
      <w:r>
        <w:t>解讀建議</w:t>
      </w:r>
    </w:p>
    <w:p>
      <w:r>
        <w:t>在事件為死亡、復發等不利結局的前提下，觀察方向對新藥較不利；但尚無統計證據足以確認真實組間差異。若事件實際代表康復或其他有利結果，則臨床解釋方向相反。應先確認臨床事件定義、資料品質與研究設計，再討論療效或安全性。</w:t>
      </w:r>
    </w:p>
    <w:p>
      <w:r>
        <w:br w:type="page"/>
      </w:r>
    </w:p>
    <w:p>
      <w:pPr>
        <w:pStyle w:val="Heading1"/>
      </w:pPr>
      <w:r>
        <w:t>05  統計分析交接文件（Handover）</w:t>
      </w:r>
    </w:p>
    <w:p>
      <w:pPr>
        <w:pStyle w:val="Heading2"/>
      </w:pPr>
      <w:r>
        <w:t>A. 資料欄位與處理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2268"/>
            <w:shd w:fill="103955"/>
            <w:vAlign w:val="center"/>
          </w:tcPr>
          <w:p>
            <w:r>
              <w:rPr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835"/>
            <w:shd w:fill="103955"/>
            <w:vAlign w:val="center"/>
          </w:tcPr>
          <w:p>
            <w:r>
              <w:rPr>
                <w:b/>
                <w:color w:val="FFFFFF"/>
                <w:sz w:val="16"/>
              </w:rPr>
              <w:t>定義</w:t>
            </w:r>
          </w:p>
        </w:tc>
        <w:tc>
          <w:tcPr>
            <w:tcW w:type="dxa" w:w="4309"/>
            <w:shd w:fill="103955"/>
            <w:vAlign w:val="center"/>
          </w:tcPr>
          <w:p>
            <w:r>
              <w:rPr>
                <w:b/>
                <w:color w:val="FFFFFF"/>
                <w:sz w:val="16"/>
              </w:rPr>
              <w:t>分析處理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16"/>
              </w:rPr>
              <w:t>受試者識別碼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6"/>
              </w:rPr>
              <w:t>僅檢核與去重；不進入模型</w:t>
            </w:r>
          </w:p>
        </w:tc>
      </w:tr>
      <w:tr>
        <w:tc>
          <w:tcPr>
            <w:tcW w:type="dxa" w:w="2268"/>
            <w:shd w:fill="EDF3F7"/>
          </w:tcPr>
          <w:p>
            <w:pPr>
              <w:spacing w:after="20"/>
            </w:pPr>
            <w:r>
              <w:rPr>
                <w:sz w:val="16"/>
              </w:rPr>
              <w:t>Group</w:t>
            </w:r>
          </w:p>
        </w:tc>
        <w:tc>
          <w:tcPr>
            <w:tcW w:type="dxa" w:w="2835"/>
            <w:shd w:fill="EDF3F7"/>
          </w:tcPr>
          <w:p>
            <w:pPr>
              <w:spacing w:after="20"/>
            </w:pPr>
            <w:r>
              <w:rPr>
                <w:sz w:val="16"/>
              </w:rPr>
              <w:t>1 = 安慰劑；2 = 新藥</w:t>
            </w:r>
          </w:p>
        </w:tc>
        <w:tc>
          <w:tcPr>
            <w:tcW w:type="dxa" w:w="4309"/>
            <w:shd w:fill="EDF3F7"/>
          </w:tcPr>
          <w:p>
            <w:pPr>
              <w:spacing w:after="20"/>
            </w:pPr>
            <w:r>
              <w:rPr>
                <w:sz w:val="16"/>
              </w:rPr>
              <w:t>模型啞變數 G = 1（新藥），0（安慰劑）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16"/>
              </w:rPr>
              <w:t>Follow-up Months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16"/>
              </w:rPr>
              <w:t>追蹤時間（月）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6"/>
              </w:rPr>
              <w:t>正值；使用原始小數</w:t>
            </w:r>
          </w:p>
        </w:tc>
      </w:tr>
      <w:tr>
        <w:tc>
          <w:tcPr>
            <w:tcW w:type="dxa" w:w="2268"/>
            <w:shd w:fill="EDF3F7"/>
          </w:tcPr>
          <w:p>
            <w:pPr>
              <w:spacing w:after="20"/>
            </w:pPr>
            <w:r>
              <w:rPr>
                <w:sz w:val="16"/>
              </w:rPr>
              <w:t>Status 1=event 0=censor</w:t>
            </w:r>
          </w:p>
        </w:tc>
        <w:tc>
          <w:tcPr>
            <w:tcW w:type="dxa" w:w="2835"/>
            <w:shd w:fill="EDF3F7"/>
          </w:tcPr>
          <w:p>
            <w:pPr>
              <w:spacing w:after="20"/>
            </w:pPr>
            <w:r>
              <w:rPr>
                <w:sz w:val="16"/>
              </w:rPr>
              <w:t>事件狀態</w:t>
            </w:r>
          </w:p>
        </w:tc>
        <w:tc>
          <w:tcPr>
            <w:tcW w:type="dxa" w:w="4309"/>
            <w:shd w:fill="EDF3F7"/>
          </w:tcPr>
          <w:p>
            <w:pPr>
              <w:spacing w:after="20"/>
            </w:pPr>
            <w:r>
              <w:rPr>
                <w:sz w:val="16"/>
              </w:rPr>
              <w:t>1 = 事件；0 = 右設限</w:t>
            </w:r>
          </w:p>
        </w:tc>
      </w:tr>
    </w:tbl>
    <w:p>
      <w:pPr>
        <w:spacing w:after="0"/>
      </w:pPr>
    </w:p>
    <w:p>
      <w:pPr>
        <w:pStyle w:val="Heading2"/>
      </w:pPr>
      <w:r>
        <w:t>B. 統計方法與規格</w:t>
      </w:r>
    </w:p>
    <w:p>
      <w:r>
        <w:t>Kaplan–Meier：S(t) = ∏(1 − dᵢ/nᵢ)，dᵢ 為事件數、nᵢ 為該時間點的風險人數；同時事件同一時間合併。設限不造成曲線下降。中位數採首次 S(t) ≤ 0.50 之時間。</w:t>
      </w:r>
    </w:p>
    <w:p>
      <w:r>
        <w:t>比較檢定：Log-rank（等權重）、Breslow/Generalized Wilcoxon（風險人數權重）及 Tarone–Ware（風險人數平方根權重）；χ² df=1，雙側 α=0.05，不做多重比較校正。</w:t>
      </w:r>
    </w:p>
    <w:p>
      <w:r>
        <w:t>Cox PH：單一組別解釋變數，新藥組／安慰劑組；Breslow 方法處理 tied events；HR = exp(β)，95% CI = exp(β ± 1.96 × SE)，p 值使用 Wald 檢定。</w:t>
      </w:r>
    </w:p>
    <w:p>
      <w:r>
        <w:t>RMST：τ = 7.2 月；計算 ∫₀ᵗ S(u)du，至共同截點的曲線下面積。SPSS 95% 中位數信賴區間直接對照使用者提供的 SPSS 輸出，並未以其他軟體的不同區間演算法替換。</w:t>
      </w:r>
    </w:p>
    <w:p>
      <w:pPr>
        <w:pStyle w:val="Heading2"/>
      </w:pPr>
      <w:r>
        <w:t>C. 結果重現與驗證</w:t>
      </w:r>
    </w:p>
    <w:p>
      <w:r>
        <w:t>隨附 rebuild_km_report_20261029.py；以 Python 執行時，請將原始 Survival test example.xlsx 放在 /mnt/data，安裝 artifact_tool、numpy、scipy、statsmodels、matplotlib、seaborn 與 python-docx。執行後會輸出 Word、兩張 PNG 及 JSON 統計摘要。</w:t>
      </w:r>
    </w:p>
    <w:p>
      <w:r>
        <w:t>必要檢查：N=12；安慰劑／新藥組各 6 人；事件 3／6；設限 3／0；Log-rank χ² ≈ 2.30379；Cox Breslow HR ≈ 2.73969；SPSS 中位數 6.5／5.0 月。程式內包含基本斷言以防止資料異動造成靜默錯誤。</w:t>
      </w:r>
    </w:p>
    <w:p>
      <w:pPr>
        <w:spacing w:before="60" w:after="140"/>
      </w:pPr>
      <w:r>
        <w:rPr>
          <w:i/>
          <w:color w:val="657A86"/>
          <w:sz w:val="16"/>
        </w:rPr>
        <w:t>交接範圍：僅統計重現，不包含尚未提供的研究計畫書、事件裁定標準、個案層級資料驗證、Schoenfeld 殘差診斷或正式 SAP 審核。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276" w:bottom="964" w:left="1276" w:header="482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8B99"/>
        <w:sz w:val="16"/>
      </w:rPr>
      <w:t xml:space="preserve">Kaplan–Meier 分析  |  第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58B99"/>
        <w:sz w:val="16"/>
      </w:rPr>
      <w:t>BIOSTATISTICAL ANALYSIS  /  2026.10.29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TC" w:hAnsi="Noto Sans CJK TC"/>
      <w:color w:val="263C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TC" w:hAnsi="Noto Sans CJK TC"/>
      <w:b/>
      <w:bCs/>
      <w:color w:val="1039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TC" w:hAnsi="Noto Sans CJK TC"/>
      <w:b/>
      <w:bCs/>
      <w:color w:val="176A9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TC" w:hAnsi="Noto Sans CJK TC"/>
      <w:b/>
      <w:color w:val="10395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