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tbl>
      <w:tblPr>
        <w:tblW w:type="auto" w:w="0"/>
        <w:tblLayout w:type="fixed"/>
        <w:tblLook w:firstColumn="1" w:firstRow="1" w:lastColumn="0" w:lastRow="0" w:noHBand="0" w:noVBand="1" w:val="04A0"/>
      </w:tblPr>
      <w:tblGrid>
        <w:gridCol w:w="4320"/>
        <w:gridCol w:w="4320"/>
      </w:tblGrid>
      <w:tr>
        <w:tc>
          <w:tcPr>
            <w:tcW w:type="dxa" w:w="360"/>
            <w:shd w:val="clear" w:color="auto" w:fill="1F4E79"/>
          </w:tcPr>
          <w:p>
            <w:r/>
          </w:p>
        </w:tc>
        <w:tc>
          <w:tcPr>
            <w:tcW w:type="dxa" w:w="9000"/>
          </w:tcPr>
          <w:p>
            <w:pPr>
              <w:ind w:left="288"/>
              <w:jc w:val="left"/>
            </w:pPr>
            <w:r>
              <w:rPr>
                <w:rFonts w:ascii="Calibri" w:hAnsi="Calibri"/>
                <w:b/>
                <w:sz w:val="56"/>
              </w:rPr>
              <w:t>How Will the Free Market Respond to Global Birth Rate Decline? A Comprehensive Analysis</w:t>
            </w:r>
          </w:p>
          <w:p>
            <w:pPr>
              <w:ind w:left="288"/>
              <w:jc w:val="left"/>
            </w:pPr>
            <w:r>
              <w:rPr>
                <w:rFonts w:ascii="Calibri" w:hAnsi="Calibri"/>
                <w:color w:val="646464"/>
                <w:sz w:val="32"/>
              </w:rPr>
              <w:t>A Synthesis of the Evidence on Global Fertility Decline</w:t>
            </w:r>
          </w:p>
        </w:tc>
      </w:tr>
    </w:tbl>
    <w:p>
      <w:pPr>
        <w:spacing w:after="320"/>
      </w:pPr>
    </w:p>
    <w:p>
      <w:pPr>
        <w:spacing w:after="160"/>
        <w:jc w:val="center"/>
      </w:pPr>
      <w:r>
        <w:rPr>
          <w:rFonts w:ascii="Calibri" w:hAnsi="Calibri"/>
          <w:sz w:val="28"/>
        </w:rPr>
        <w:t>Annabelle Body</w:t>
      </w:r>
    </w:p>
    <w:p>
      <w:pPr>
        <w:spacing w:after="320"/>
        <w:jc w:val="center"/>
      </w:pPr>
      <w:r>
        <w:rPr>
          <w:rFonts w:ascii="Calibri" w:hAnsi="Calibri"/>
          <w:color w:val="787878"/>
          <w:sz w:val="24"/>
        </w:rPr>
        <w:t>March 2026</w:t>
      </w:r>
    </w:p>
    <w:p>
      <w:r>
        <w:br w:type="page"/>
      </w:r>
    </w:p>
    <w:p>
      <w:pPr>
        <w:pStyle w:val="Heading1"/>
        <w:spacing w:after="240"/>
      </w:pPr>
      <w:r>
        <w:t>Table of Contents</w:t>
      </w:r>
    </w:p>
    <w:p>
      <w:r>
        <w:fldChar w:fldCharType="begin"/>
        <w:instrText xml:space="preserve"> TOC \o "1-3" \h \z \u </w:instrText>
        <w:fldChar w:fldCharType="separate"/>
      </w:r>
      <w:r>
        <w:rPr>
          <w:i/>
          <w:color w:val="808080"/>
          <w:sz w:val="20"/>
        </w:rPr>
        <w:t>Right-click and select "Update Field" to populate the Table of Contents</w:t>
        <w:fldChar w:fldCharType="end"/>
      </w:r>
    </w:p>
    <w:p>
      <w:r>
        <w:br w:type="page"/>
      </w:r>
    </w:p>
    <w:p>
      <w:pPr>
        <w:pStyle w:val="Heading1"/>
        <w:spacing w:before="320" w:after="80"/>
      </w:pPr>
      <w:r>
        <w:rPr>
          <w:sz w:val="28"/>
        </w:rPr>
        <w:t>1 Introduction: The Global Fertility Crisis and Contemporary Discourse</w:t>
      </w:r>
    </w:p>
    <w:p>
      <w:pPr>
        <w:spacing w:before="0" w:after="80" w:line="276" w:lineRule="auto"/>
        <w:jc w:val="both"/>
      </w:pPr>
      <w:r>
        <w:t>In early 2025, the global fertility crisis moved from demographic journals to popular culture and geopolitical strategy. The American legislative landscape was reshaped by the "One Big Beautiful Bill Act" (OBBBA), which codified "Trump Accounts" — a pro-family initiative providing $1,000 government contributions for every newborn. Simultaneously, Russian billionaire Pavel Durov announced he has fathered over 100 children via sperm donation and is financing full in-vitro fertilization protocols for women wishing to utilize his genetic material. These initiatives follow years of advocacy from Elon Musk characterizing population collapse as an existential threat exceeding climate change.</w:t>
      </w:r>
    </w:p>
    <w:p>
      <w:pPr>
        <w:spacing w:before="0" w:after="80" w:line="276" w:lineRule="auto"/>
        <w:jc w:val="both"/>
      </w:pPr>
      <w:r>
        <w:t>In early 2026, a podcast between Steven Bartlett and Chris Williamson attributed declining birth rates primarily to women's workforce participation, provoking widespread backlash. The controversy illustrated how readily fertility discourse collapses into gender blame when untethered from demographic evidence.</w:t>
      </w:r>
    </w:p>
    <w:p>
      <w:pPr>
        <w:spacing w:before="0" w:after="80" w:line="276" w:lineRule="auto"/>
        <w:jc w:val="both"/>
      </w:pPr>
      <w:r>
        <w:t>This paper applies a multi-mechanism analytical framework to fertility decline in advanced economies. The analysis is organized around the extensive margin thesis — that observed decline is concentrated in the share of adults entering parenthood at all, rather than in the family sizes of those who do — and examines the structural, economic, cultural, and neurochemical forces that operate on that margin. The evidence assembled here suggests that no single mechanism is sufficient, and that no single policy instrument has reversed demographic decline at scale.</w:t>
      </w:r>
    </w:p>
    <w:p>
      <w:pPr>
        <w:pStyle w:val="Heading1"/>
        <w:spacing w:before="320" w:after="80"/>
      </w:pPr>
      <w:r>
        <w:rPr>
          <w:sz w:val="28"/>
        </w:rPr>
        <w:t>2 Demographic Shifts</w:t>
      </w:r>
    </w:p>
    <w:p>
      <w:pPr>
        <w:pStyle w:val="Heading2"/>
        <w:spacing w:before="240" w:after="80"/>
      </w:pPr>
      <w:r>
        <w:rPr>
          <w:sz w:val="24"/>
        </w:rPr>
        <w:t>2.1 The Global Fertility Transition</w:t>
      </w:r>
    </w:p>
    <w:p>
      <w:pPr>
        <w:spacing w:before="0" w:after="80" w:line="276" w:lineRule="auto"/>
        <w:jc w:val="both"/>
      </w:pPr>
      <w:r>
        <w:t>The global fertility transition represents one of the most profound demographic shifts in human history. Total fertility rates declined from 4.8 children per woman in 1950 to 2.2 in 2023, with two-thirds of humanity now residing in countries with below-replacement fertility (Bhattacharjee et al. 2024; World Bank n.d.). Forty-six countries have entered "lowest-low" fertility territory with rates below 1.5 children per woman, including South Korea (0.75), Taiwan (0.89), and Hong Kong (1.24). Notably, eight of the ten lowest-fertility countries cluster in East Asia or Southern/Eastern Europe, suggesting regional institutional and cultural patterns beyond purely market-driven forces.</w:t>
      </w:r>
    </w:p>
    <w:p>
      <w:pPr>
        <w:spacing w:before="0" w:after="80" w:line="276" w:lineRule="auto"/>
        <w:jc w:val="both"/>
      </w:pPr>
      <w:r>
        <w:t>This demographic transition creates substantial economic implications. Advanced economies face dependency ratios declining from 3.2 working-age individuals per senior today to 2.0 by 2050 and 1.4 by 2100, while China's ratio shifts from 4.8 to 1.2 over the same period (McKinsey Global Institute 2024). These structural shifts generate fiscal pressures on pension and healthcare systems designed when post-retirement dependency periods were minimal. When UK pension systems were established mid-century with payments beginning at age 65, male life expectancy was 66; today it reaches 79, creating 15+ years of dependency funded by shrinking workforces (ONS n.d.).</w:t>
      </w:r>
    </w:p>
    <w:p>
      <w:pPr>
        <w:spacing w:before="0" w:after="80" w:line="276" w:lineRule="auto"/>
        <w:jc w:val="both"/>
      </w:pPr>
      <w:r>
        <w:t>Regional patterns reveal a three-wave structure. First-wave regions—advanced economies in North America, Western Europe, and East Asia—crossed below replacement fertility in the 1970s-1990s and now average 1.5-1.7 children per woman. Second-wave regions including Latin America and much of Asia fell below replacement in the 2000s-2010s. Third-wave regions, primarily Sub-Saharan Africa, maintain fertility above 4.0 but are declining rapidly, projected to reach 2.0 by 2100 (McKinsey Global Institute 2024).</w:t>
      </w:r>
    </w:p>
    <w:p>
      <w:pPr>
        <w:spacing w:before="0" w:after="80" w:line="276" w:lineRule="auto"/>
        <w:jc w:val="both"/>
      </w:pPr>
      <w:r>
        <w:t>Standard demographic transition theory posits that fertility declines represent rational adjustment to falling mortality. Since 1950, global average life expectancy has increased from approximately 46 to 73 years. Most critically, global infant mortality has declined from approximately 19.8% in 1950 to 3.7% in 2023 (UN IGME n.d.). As child survival rates improved, the "insurance strategy" of having large families to ensure surviving offspring became less necessary. However, this longevity dividend has created secondary challenges: expansion of post-retirement dependency periods strains public welfare systems, with developed nations facing widespread pension underfunding.</w:t>
      </w:r>
    </w:p>
    <w:p>
      <w:pPr>
        <w:spacing w:before="0" w:after="80" w:line="276" w:lineRule="auto"/>
        <w:jc w:val="both"/>
      </w:pPr>
      <w:r>
        <w:t>The global population currently exists in a state of "demographic momentum," masking fertility decline severity. Although fertility rates have fallen below replacement level of 2.1 in nations housing two-thirds of humanity, absolute global population continues growing (United Nations 2024). This paradox reflects age pyramid structural composition: cohorts currently at oldest ages are numerically smaller than cohorts of childbearing age. However, this buffer is temporary. As Baby Boomer generations (born c. 1946-1964) reach average life expectancy, mortality rates will naturally rise. Current projections indicate natality and mortality curves will intersect in the latter half of the 21st century, at which point total human population will enter sustained, structural decline (United Nations 2024). Historically, there is no empirical record of societies falling below replacement fertility for reasons other than war or famine and subsequently recovering to stable growth without external migration (Lee 2003).</w:t>
      </w:r>
    </w:p>
    <w:p>
      <w:pPr>
        <w:pStyle w:val="Heading1"/>
        <w:spacing w:before="320" w:after="80"/>
      </w:pPr>
      <w:r>
        <w:rPr>
          <w:sz w:val="28"/>
        </w:rPr>
        <w:t>3 Executive Summary</w:t>
      </w:r>
    </w:p>
    <w:p>
      <w:pPr>
        <w:spacing w:before="0" w:after="80" w:line="276" w:lineRule="auto"/>
        <w:jc w:val="both"/>
      </w:pPr>
      <w:r>
        <w:t>Fertility decline in advanced economies is not primarily a story of mothers choosing to have fewer children. It is a story of fewer people becoming parents at all — and the causes are structural, economic, cultural, and neurochemical, not merely biological or preferential.</w:t>
      </w:r>
    </w:p>
    <w:p>
      <w:pPr>
        <w:spacing w:before="0" w:after="80" w:line="276" w:lineRule="auto"/>
        <w:jc w:val="both"/>
      </w:pPr>
      <w:r>
        <w:t>The most important analytical finding in this paper concerns the decomposition of fertility decline. The Total Maternal Rate — the share of women who become mothers at all — has fallen from approximately 85% to 72% across high-income countries since the early 1970s. Concurrently, Children Per Mother has remained stable at 2.0 to 2.3. Fertility decline is concentrated on the extensive margin: fewer adults entering parenthood, not smaller families among those who do. Japan's case is definitive — married couples average 1.9 children, close to replacement, yet the national TFR is 1.2. The arithmetic gap is explained entirely by the collapse of marriage formation, not by any change in family size preferences.</w:t>
      </w:r>
    </w:p>
    <w:p>
      <w:pPr>
        <w:spacing w:before="0" w:after="80" w:line="276" w:lineRule="auto"/>
        <w:jc w:val="both"/>
      </w:pPr>
      <w:r>
        <w:t>Male childlessness is larger than female childlessness and systematically invisible in demographic data. Across Europe, approximately 25% of men remain childless compared to 20% of women. In Norway, childlessness among the lowest-earning 5% of men reaches 72%, compared to 11% among the highest earners — a 61-percentage-point gap that has widened over 30 years. Over 90% of childless men report having wanted children. The demographic data infrastructure, organized around birth events where the mother is always present and identifiable, has produced a body of fertility research that is structurally blind to the most significant locus of childlessness.</w:t>
      </w:r>
    </w:p>
    <w:p>
      <w:pPr>
        <w:spacing w:before="0" w:after="80" w:line="276" w:lineRule="auto"/>
        <w:jc w:val="both"/>
      </w:pPr>
      <w:r>
        <w:t>Biological infertility and government financial transfers explain little of the scale of decline. Clinical infertility rates of 11–15% have not risen proportionally to childlessness rates, which have nearly doubled in some cohorts. The average number of children per man aged 15–49 in the United States is approximately 0.9 — most childlessness is social, not medical. On the policy side, Hungary's pronatalist programme allocating approximately 6% of GDP has produced TFR gains of 0.1 to 0.25 — modest effects that are likely to reflect tempo changes rather than permanent quantum increases in completed family size. If fertility decline were purely an economics problem, larger transfers would work better than they demonstrably do.</w:t>
      </w:r>
    </w:p>
    <w:p>
      <w:pPr>
        <w:spacing w:before="0" w:after="80" w:line="276" w:lineRule="auto"/>
        <w:jc w:val="both"/>
      </w:pPr>
      <w:r>
        <w:t>Economic factors — housing unaffordability concentrated in the early-to-mid twenties window when access most influences lifetime fertility, the child cost explosion, the 42% maternal earnings penalty in the United States, the invisible double burden of sandwich caregiving, and the middle-class squeeze — are necessary but insufficient explanations. Cultural and neurochemical factors operate independently of economic conditions: partnership collapse, collective pessimism about the future, and the progressive recalibration of the dopamine reward system by digital technology each suppress fertility through mechanisms that no financial transfer addresses.</w:t>
      </w:r>
    </w:p>
    <w:p>
      <w:pPr>
        <w:spacing w:before="0" w:after="80" w:line="276" w:lineRule="auto"/>
        <w:jc w:val="both"/>
      </w:pPr>
      <w:r>
        <w:t>Counterintuitively, women with doctoral-level education show higher fertility than those with bachelor's degrees — the fertility nadir falls in the middle-income, college-educated stratum most squeezed between childcare costs and opportunity costs. This education-fertility U-curve is one of the paper's most important findings: the fertility crisis is not a failure of female ambition. It is a structural failure of the economic arrangements governing family formation in middle-income households.</w:t>
      </w:r>
    </w:p>
    <w:p>
      <w:pPr>
        <w:spacing w:before="0" w:after="80" w:line="276" w:lineRule="auto"/>
        <w:jc w:val="both"/>
      </w:pPr>
      <w:r>
        <w:t>No single policy instrument has reversed demographic decline. The analysis closes by proposing that the most important upstream intervention may not be financial at all: it is restoring the conditions under which young people feel purposeful, financially secure, biologically healthy, and capable of forming genuine romantic partnerships without technological mediation.</w:t>
      </w:r>
    </w:p>
    <w:p>
      <w:pPr>
        <w:pStyle w:val="Heading1"/>
        <w:spacing w:before="320" w:after="80"/>
      </w:pPr>
      <w:r>
        <w:rPr>
          <w:sz w:val="28"/>
        </w:rPr>
        <w:t>4 The Extensive Margin: Fewer Mothers, Not Smaller Families</w:t>
      </w:r>
    </w:p>
    <w:p>
      <w:pPr>
        <w:spacing w:before="0" w:after="80" w:line="276" w:lineRule="auto"/>
        <w:jc w:val="both"/>
      </w:pPr>
      <w:r>
        <w:t xml:space="preserve">Demographic analysis of fertility decline requires careful decomposition of aggregate statistics. The Total Fertility Rate (TFR), while widely cited, conflates two conceptually distinct phenomena: changes in the </w:t>
      </w:r>
      <w:r>
        <w:rPr>
          <w:i/>
        </w:rPr>
        <w:t>timing</w:t>
      </w:r>
      <w:r>
        <w:t xml:space="preserve"> of childbearing (tempo effects) and changes in the </w:t>
      </w:r>
      <w:r>
        <w:rPr>
          <w:i/>
        </w:rPr>
        <w:t>quantum</w:t>
      </w:r>
      <w:r>
        <w:t xml:space="preserve"> of childbearing (the ultimate number of children a cohort of women will produce over their reproductive lifetimes). When large numbers of women delay childbearing, the period TFR mechanically declines even if completed cohort fertility remains stable, because the measure captures births occurring in a single calendar year rather than tracking birth outcomes for specific cohorts across time. Bongaarts and Sobotka (2012) developed the tempo-adjusted TFR to isolate these effects, demonstrating that a substantial portion of low observed TFRs in advanced economies through the 1990s and 2000s reflected delayed, not foregone, childbearing.</w:t>
      </w:r>
    </w:p>
    <w:p>
      <w:pPr>
        <w:spacing w:before="0" w:after="80" w:line="276" w:lineRule="auto"/>
        <w:jc w:val="both"/>
      </w:pPr>
      <w:r>
        <w:t>A more analytically precise decomposition distinguishes between the Total Maternal Rate (TMR) — the proportion of women who become mothers at least once — and Children Per Mother (CPM) — the average number of children born to those who do become mothers. Research drawing on OECD population registry data reveals a striking asymmetry in how these two components have evolved. The TMR has declined substantially across high-income countries, falling from approximately 85% in the early 1970s to 72% by the mid-2010s, representing an approximately 13 percentage point contraction in the share of women entering motherhood at all (Zeman, Beaujouan, and Sobotka 2018). Concurrently, the CPM has remained comparatively stable, fluctuating within a relatively narrow band of 2.0 to 2.3 children per mother across the same period and country group.</w:t>
      </w:r>
    </w:p>
    <w:p>
      <w:pPr>
        <w:spacing w:before="0" w:after="80" w:line="276" w:lineRule="auto"/>
        <w:jc w:val="both"/>
      </w:pPr>
      <w:r>
        <w:t>This decomposition carries profound implications for policy design and analytical framing. If fertility decline were primarily an intensive margin phenomenon — mothers choosing to have fewer children — then policies targeting the cost of raising additional children (childcare subsidies, parental leave, child allowances) would logically represent the priority intervention. However, if decline is concentrated on the extensive margin — fewer women becoming mothers at all — then the causative mechanisms reside upstream: in partnership formation rates, in the structural conditions under which stable couple households form, and in the barriers that prevent economically marginal individuals from entering the reproductive pairings that historically preceded childbearing. The Zeman et al. (2018) data strongly implicate the extensive margin as the primary locus of decline, a finding that reorients the entire policy debate.</w:t>
      </w:r>
    </w:p>
    <w:p>
      <w:pPr>
        <w:spacing w:before="0" w:after="80" w:line="276" w:lineRule="auto"/>
        <w:jc w:val="both"/>
      </w:pPr>
      <w:r>
        <w:t>Japan provides a particularly instructive case study. Married Japanese couples continue to have approximately 1.9 children on average, a figure close to replacement fertility. Yet Japan's national TFR has fallen to 1.2, among the lowest in the developed world. The arithmetic residual is explained by the collapse of marriage rates: the proportion of Japanese adults ever-marrying has declined precipitously across successive cohorts, particularly among lower-income and lower-educated men who face structural exclusion from the marriage market (Raymo et al. 2015). A virtually identical pattern is observable in South Korea (TFR 0.75), where married couples' fertility within marriage remains moderate while marriage formation has collapsed. This evidence suggests that the fertility crisis in East Asia, and to an increasing degree in Western nations, is fundamentally a partnership formation crisis — a failure of the extensive margin — rather than a crisis of family size preferences among those who do form stable partnerships.</w:t>
      </w:r>
    </w:p>
    <w:p>
      <w:pPr>
        <w:spacing w:before="0" w:after="80" w:line="276" w:lineRule="auto"/>
        <w:jc w:val="both"/>
      </w:pPr>
      <w:r>
        <w:t>The United States exhibits a bimodal divergence consistent with the extensive margin thesis. Among college-educated, stably-employed Americans, fertility has remained closer to replacement levels, with completed family sizes of 2.0–2.2 remaining common. Among lower-income, less-educated, and economically precarious Americans, childlessness and delayed parenthood have risen sharply, with a growing share of individuals remaining permanently outside stable family formation. This polarization suggests that fertility decline in the United States is not a uniform cultural shift but a structural sorting process in which access to stable employment, housing, and partnership is increasingly stratified, with family formation concentrated among those with sufficient economic security and foregone among those without.</w:t>
      </w:r>
    </w:p>
    <w:p>
      <w:pPr>
        <w:pStyle w:val="Heading1"/>
        <w:spacing w:before="320" w:after="80"/>
      </w:pPr>
      <w:r>
        <w:rPr>
          <w:sz w:val="28"/>
        </w:rPr>
        <w:t>5 Who Is Childless and Why: Measurement Challenges and the Invisible Male</w:t>
      </w:r>
    </w:p>
    <w:p>
      <w:pPr>
        <w:pStyle w:val="Heading2"/>
        <w:spacing w:before="240" w:after="80"/>
      </w:pPr>
      <w:r>
        <w:rPr>
          <w:sz w:val="24"/>
        </w:rPr>
        <w:t>5.1 The Measurement Problem: Voluntary vs. Involuntary Childlessness</w:t>
      </w:r>
    </w:p>
    <w:p>
      <w:pPr>
        <w:spacing w:before="0" w:after="80" w:line="276" w:lineRule="auto"/>
        <w:jc w:val="both"/>
      </w:pPr>
      <w:r>
        <w:t>Distinguishing voluntary from involuntary childlessness presents profound methodological challenges that complicate demographic analysis and inform policy in contradictory ways. Survey-based measurements typically rely on retrospective self-reports, in which respondents categorize their childlessness as chosen or unchosen. However, retrospective reports are subject to rationalization: individuals who were unable to achieve parenthood due to structural barriers — lack of a partner, insufficient income, housing insecurity — may, over time, reconstruct their experience as a preference, particularly where voluntary childlessness carries lower social stigma than involuntary failure. This 'sour grapes' rationalization of unavoidable outcomes represents a fundamental validity threat to survey-based decompositions of childlessness by volition.</w:t>
      </w:r>
    </w:p>
    <w:p>
      <w:pPr>
        <w:spacing w:before="0" w:after="80" w:line="276" w:lineRule="auto"/>
        <w:jc w:val="both"/>
      </w:pPr>
      <w:r>
        <w:t>An apparent contradiction in available survey data illustrates the measurement problem. Approximately 10% of women in long-run surveys report zero desired children — a figure that has been relatively stable and suggests a small but consistent minority for whom voluntary childlessness represents a genuine, stable preference formed independently of economic constraints. Yet the 2024 Pew Research Center survey of childless and child-free Americans found that 57% of respondents cited personal desire as a major reason for their childlessness — a figure far exceeding the 10% who prospectively report zero desired children. This contradiction is resolved not by concluding that one source is incorrect but by recognizing that 'personal desire,' as retrospectively reported, is not equivalent to 'always wanted to be childfree': it reflects preferences that may have formed adaptively in response to structural constraints, with the constraint becoming internalized as preference over time.</w:t>
      </w:r>
    </w:p>
    <w:p>
      <w:pPr>
        <w:spacing w:before="0" w:after="80" w:line="276" w:lineRule="auto"/>
        <w:jc w:val="both"/>
      </w:pPr>
      <w:r>
        <w:t>The scale of the phenomenon lends urgency to this analytical question. Research by Kenneth Johnson of the University of New Hampshire estimates that as of 2024, there are approximately 5.7 million more childless women in the United States than would be predicted by historical fertility patterns (Johnson 2024). The Census Bureau's Current Population Survey documents that childlessness among women aged 20 to 24 has risen from 75% to 85% between 2012 and 2024, and among women aged 30 to 34 from 29% to 40% over the same period. However, a crucial finding moderates the interpretation of these rising rates: childlessness among women aged 45 to 50 — those effectively past reproductive age — has decreased from 16.7% to 14.9% over the same period. This decline in completed childlessness at the end of the reproductive window, juxtaposed against rising childlessness at younger ages, is consistent with a tempo effect: childbearing is being delayed rather than abandoned for many women, even as the aggregate stock of childlessness at any given point in time appears to rise.</w:t>
      </w:r>
    </w:p>
    <w:p>
      <w:pPr>
        <w:spacing w:before="0" w:after="80" w:line="276" w:lineRule="auto"/>
        <w:jc w:val="both"/>
      </w:pPr>
      <w:r>
        <w:t>The Pew (2024) decomposition of reasons for childlessness reveals the composite character of the phenomenon. Among respondents identifying as childless or child-free, 57% cited personal desire as a major factor, 44% cited medical reasons, 43% cited financial constraints, 38% reported the absence of a suitable partner, and 32% cited concerns about the state of the world or climate change. Notably, these categories are not mutually exclusive: an individual may simultaneously hold a genuine preference for childlessness, face financial barriers that reinforce that preference, and lack a partner with whom parenthood would be contemplated. The co-occurrence of multiple factors suggests that the binary voluntary/involuntary distinction oversimplifies a reality in which preferences, circumstances, and structural constraints interact dynamically. Demographer Tomas Sobotka's concept of 'preference endogeneity' captures this dynamic: preferences for childlessness may be partially constituted by the experience of structural constraints on parenthood, meaning that observed voluntary childlessness partly reflects circumstances first encountered as involuntary.</w:t>
      </w:r>
    </w:p>
    <w:p>
      <w:pPr>
        <w:spacing w:before="0" w:after="80" w:line="276" w:lineRule="auto"/>
        <w:jc w:val="both"/>
      </w:pPr>
      <w:r>
        <w:t>Over a 17-year observation window, Johnson (2024) estimates a cumulative shortfall of approximately 11.8 million births relative to historical trend projections in the United States alone — a figure that underscores the magnitude of demographic change occurring across successive cohorts. Whether this shortfall ultimately reflects permanent quantum decline, recoverable tempo delay, or an evolving mixture of both depends critically on whether the structural conditions that have made partnership formation and childbearing economically difficult for younger cohorts are resolved, remain stable, or intensify.</w:t>
      </w:r>
    </w:p>
    <w:p>
      <w:pPr>
        <w:pStyle w:val="Heading2"/>
        <w:spacing w:before="240" w:after="80"/>
      </w:pPr>
      <w:r>
        <w:rPr>
          <w:sz w:val="24"/>
        </w:rPr>
        <w:t>5.2 The Invisible Male</w:t>
      </w:r>
    </w:p>
    <w:p>
      <w:pPr>
        <w:spacing w:before="0" w:after="80" w:line="276" w:lineRule="auto"/>
        <w:jc w:val="both"/>
      </w:pPr>
      <w:r>
        <w:t>One of the most consequential blind spots in contemporary fertility research is the systematic undercounting and analytical neglect of male childlessness. The administrative architecture of demographic data collection is organized around birth events as recorded in hospital records, where the mother is always present and identifiable, whereas the father may be absent, unknown, or unrecorded. This structural asymmetry in data collection has produced a body of literature in which female childlessness is extensively documented, theorized, and politically debated, while male childlessness remains what the sociologist Robin Hadley (2017) termed an 'invisibility': men who remain childless are largely absent from demographic registries, policy frameworks, and popular discourse. The consequence is not merely a research gap but a systematic distortion of how societies understand, explain, and respond to fertility decline.</w:t>
      </w:r>
    </w:p>
    <w:p>
      <w:pPr>
        <w:spacing w:before="0" w:after="80" w:line="276" w:lineRule="auto"/>
        <w:jc w:val="both"/>
      </w:pPr>
      <w:r>
        <w:t>Cross-national survey data, where available, reveal that male childlessness is not only common but consistently exceeds female childlessness by a substantial margin. Across European countries, approximately 25% of men remain childless compared to approximately 20% of women (Miettinen, Rotkirch, and Szalma 2015). In the United States, data from the National Survey of Family Growth for individuals aged 40 to 49 — an age by which most reproductive activity has concluded — indicate that 76.5% of men have fathered at least one biological child, compared to 84.3% of women who have given birth: an 8 percentage point gap in lifetime parenthood rates (National Center for Health Statistics 2021). In Norway, where exceptional administrative data permit linkage of fertility outcomes to lifetime income records, the socioeconomic stratification of male childlessness is stark. Among men in the lowest-earning 5%, childlessness reaches 72%, compared to approximately 11% among the highest earners — a gap of 61 percentage points (Bratsberg, Kotsadam, and Walther 2021; IZA Discussion Paper No. 14506). Furthermore, this income gradient in male childlessness has widened by approximately 20 percentage points over a 30-year observation period, tracking the rise in income inequality.</w:t>
      </w:r>
    </w:p>
    <w:p>
      <w:pPr>
        <w:spacing w:before="0" w:after="80" w:line="276" w:lineRule="auto"/>
        <w:jc w:val="both"/>
      </w:pPr>
      <w:r>
        <w:t>Ø. Kravdal's (2021) analysis of Norwegian cohort data documents a widening gender gap in childlessness from 5.8 percentage points to 10.2 percentage points across successive birth cohorts, indicating that men are falling further behind women in achieving parenthood over time. Bratsberg et al. (2021) further demonstrate that job loss attributable to firm bankruptcy — an exogenous economic shock that severs the link between individual effort and employment — reduces male fertility for up to 15 years following the displacement event, suggesting that economic precarity during prime reproductive years generates permanent demographic consequences, not merely temporary delays. This evidence supports the concept of 'social infertility': a condition in which structurally induced barriers to stable employment, partnership formation, and household formation prevent reproduction that would otherwise occur, independent of any biological incapacity.</w:t>
      </w:r>
    </w:p>
    <w:p>
      <w:pPr>
        <w:spacing w:before="0" w:after="80" w:line="276" w:lineRule="auto"/>
        <w:jc w:val="both"/>
      </w:pPr>
      <w:r>
        <w:t>The assumption that childless men are predominantly voluntary non-parents is contradicted by attitudinal survey evidence. Hadley and Hanley (2010), in their qualitative and quantitative research on involuntarily childless men, found that over 90% of childless men reported having desired children during their reproductive years. This figure challenges the cultural presumption that men who do not father children are primarily choosing not to do so. Rather, a large majority of childless men appear to experience childlessness as a condition imposed by circumstance — particularly inadequate economic resources to attract and sustain a partner and establish a family — rather than as an expression of preference.</w:t>
      </w:r>
    </w:p>
    <w:p>
      <w:pPr>
        <w:spacing w:before="0" w:after="80" w:line="276" w:lineRule="auto"/>
        <w:jc w:val="both"/>
      </w:pPr>
      <w:r>
        <w:t>The policy implications of male childlessness data are substantial. Interventions addressing fertility decline that focus exclusively on women's choices — regarding career, relationship timing, or reproductive autonomy — overlook the extensive margin failure occurring among economically marginal men. Policies that do not address male income stratification, employment stability, and the socioeconomic conditions prerequisite to partnership formation will be structurally incapable of closing the most significant source of childlessness in populations where income inequality is high and rising.</w:t>
      </w:r>
    </w:p>
    <w:p>
      <w:pPr>
        <w:pStyle w:val="Heading1"/>
        <w:spacing w:before="320" w:after="80"/>
      </w:pPr>
      <w:r>
        <w:rPr>
          <w:sz w:val="28"/>
        </w:rPr>
        <w:t>6 Voluntary vs. Involuntary Childlessness: Measurement Challenges and Preference Endogeneity</w:t>
      </w:r>
    </w:p>
    <w:p>
      <w:pPr>
        <w:spacing w:before="0" w:after="80" w:line="276" w:lineRule="auto"/>
        <w:jc w:val="both"/>
      </w:pPr>
      <w:r>
        <w:t>Distinguishing voluntary from involuntary childlessness presents profound methodological challenges that complicate demographic analysis and inform policy in contradictory ways. Survey-based measurements typically rely on retrospective self-reports, in which respondents categorize their childlessness as chosen or unchosen. However, retrospective reports are subject to rationalization: individuals who were unable to achieve parenthood due to structural barriers — lack of a partner, insufficient income, housing insecurity — may, over time, reconstruct their experience as a preference, particularly where voluntary childlessness carries lower social stigma than involuntary failure. This 'sour grapes' rationalization of unavoidable outcomes represents a fundamental validity threat to survey-based decompositions of childlessness by volition.</w:t>
      </w:r>
    </w:p>
    <w:p>
      <w:pPr>
        <w:spacing w:before="0" w:after="80" w:line="276" w:lineRule="auto"/>
        <w:jc w:val="both"/>
      </w:pPr>
      <w:r>
        <w:t>An apparent contradiction in available survey data illustrates the measurement problem. Approximately 10% of women in long-run surveys report zero desired children — a figure that has been relatively stable and suggests a small but consistent minority for whom voluntary childlessness represents a genuine, stable preference formed independently of economic constraints. Yet the 2024 Pew Research Center survey of childless and child-free Americans found that 57% of respondents cited personal desire as a major reason for their childlessness — a figure far exceeding the 10% who prospectively report zero desired children. This contradiction is resolved not by concluding that one source is incorrect but by recognizing that 'personal desire,' as retrospectively reported, is not equivalent to 'always wanted to be childfree': it reflects preferences that may have formed adaptively in response to structural constraints, with the constraint becoming internalized as preference over time.</w:t>
      </w:r>
    </w:p>
    <w:p>
      <w:pPr>
        <w:spacing w:before="0" w:after="80" w:line="276" w:lineRule="auto"/>
        <w:jc w:val="both"/>
      </w:pPr>
      <w:r>
        <w:t xml:space="preserve">The scale of the phenomenon lends urgency to this analytical question. Research by Kenneth Johnson of the University of New Hampshire estimates that as of 2024, there are approximately 5.7 million more childless women in the United States than would be predicted by historical fertility patterns (Johnson 2024). The Census Bureau's Current Population Survey documents that childlessness among women aged 20 to 24 has risen from 75% to 85% between 2012 and 2024, and among women aged 30 to 34 from 29% to 40% over the same period. However, a crucial finding moderates the interpretation of these rising rates: childlessness among women aged 45 to 50 — those effectively past reproductive age — has </w:t>
      </w:r>
      <w:r>
        <w:rPr>
          <w:i/>
        </w:rPr>
        <w:t>decreased</w:t>
      </w:r>
      <w:r>
        <w:t xml:space="preserve"> from 16.7% to 14.9% over the same period. This decline in completed childlessness at the end of the reproductive window, juxtaposed against rising childlessness at younger ages, is consistent with a tempo effect: childbearing is being delayed rather than abandoned for many women, even as the aggregate stock of childlessness at any given point in time appears to rise.</w:t>
      </w:r>
    </w:p>
    <w:p>
      <w:pPr>
        <w:spacing w:before="0" w:after="80" w:line="276" w:lineRule="auto"/>
        <w:jc w:val="both"/>
      </w:pPr>
      <w:r>
        <w:t>The Pew (2024) decomposition of reasons for childlessness reveals the composite character of the phenomenon. Among respondents identifying as childless or child-free, 57% cited personal desire as a major factor, 44% cited medical reasons, 43% cited financial constraints, 38% reported the absence of a suitable partner, and 32% cited concerns about the state of the world or climate change. Notably, these categories are not mutually exclusive: an individual may simultaneously hold a genuine preference for childlessness, face financial barriers that reinforce that preference, and lack a partner with whom parenthood would be contemplated. The co-occurrence of multiple factors suggests that the binary voluntary/involuntary distinction oversimplifies a reality in which preferences, circumstances, and structural constraints interact dynamically. Demographer Tomas Sobotka's concept of 'preference endogeneity' captures this dynamic: preferences for childlessness may be partially constituted by the experience of structural constraints on parenthood, meaning that observed voluntary childlessness partly reflects circumstances first encountered as involuntary.</w:t>
      </w:r>
    </w:p>
    <w:p>
      <w:pPr>
        <w:spacing w:before="0" w:after="80" w:line="276" w:lineRule="auto"/>
        <w:jc w:val="both"/>
      </w:pPr>
      <w:r>
        <w:t>Over a 17-year observation window, Johnson (2024) estimates a cumulative shortfall of approximately 11.8 million births relative to historical trend projections in the United States alone — a figure that underscores the magnitude of demographic change occurring across successive cohorts. Whether this shortfall ultimately reflects permanent quantum decline, recoverable tempo delay, or an evolving mixture of both depends critically on whether the structural conditions that have made partnership formation and childbearing economically difficult for younger cohorts are resolved, remain stable, or intensify. Currently available evidence suggests that multiple structural constraints — housing unaffordability, childcare costs, student debt burdens, and male economic marginalization — are intensifying rather than resolving, providing grounds for concern that observed tempo delays may, over time, translate into permanent quantum reductions in completed family size.</w:t>
      </w:r>
    </w:p>
    <w:p>
      <w:pPr>
        <w:pStyle w:val="Heading1"/>
        <w:spacing w:before="320" w:after="80"/>
      </w:pPr>
      <w:r>
        <w:rPr>
          <w:sz w:val="28"/>
        </w:rPr>
        <w:t>7 The Marriage Paradox and Rising Singleness</w:t>
      </w:r>
    </w:p>
    <w:p>
      <w:pPr>
        <w:spacing w:before="0" w:after="80" w:line="276" w:lineRule="auto"/>
        <w:jc w:val="both"/>
      </w:pPr>
      <w:r>
        <w:t>One of the most consequential yet underappreciated dimensions of fertility decline is the transformation of partnership formation patterns across Western and East Asian societies. Marriage rates in the United States have declined approximately 60% since the 1970s, falling from 76.5 marriages per 1,000 unmarried women aged 15 and older in 1970 to approximately 30.0 in recent years (Herre et al. 2020). While crude marriage rates are sensitive to compositional changes in the adult population, age-standardized measures confirm genuine declines in partnership formation rates, not merely population aging artifacts. The proportion of adults who will never marry in their lifetimes has risen substantially across high-income countries, with permanent singlehood increasing in both the United States and Western Europe.</w:t>
      </w:r>
    </w:p>
    <w:p>
      <w:pPr>
        <w:spacing w:before="0" w:after="80" w:line="276" w:lineRule="auto"/>
        <w:jc w:val="both"/>
      </w:pPr>
      <w:r>
        <w:t>A structural paradox characterizes this transformation: divorce rates, which rose sharply from the 1960s through the 1980s, have stabilized and in some measures declined since the early 1990s in the United States and several European countries. Marriages that do occur are increasingly selective of more compatible, stable, and economically secure partnerships. The result is a bimodal distribution: a stable minority who form durable, often relatively high-fertility partnerships, and a growing majority who experience delayed, interrupted, or absent partnership formation. This distributional shift, rather than a uniform decline in partnership quality, explains why aggregate marriage stability statistics can appear relatively favorable while rates of permanent singlehood rise simultaneously — it is a compositional effect reflecting selection into marriage by those best positioned to sustain it.</w:t>
      </w:r>
    </w:p>
    <w:p>
      <w:pPr>
        <w:spacing w:before="0" w:after="80" w:line="276" w:lineRule="auto"/>
        <w:jc w:val="both"/>
      </w:pPr>
      <w:r>
        <w:t>The gender asymmetry in partnership formation failures is particularly acute at the lower end of the socioeconomic distribution. Survey data indicate that approximately 28% of men under 30 reported zero sexual partners in 2023, up from approximately 10% in 2008 (General Social Survey data, reported in The Cut 2024) — a tripling over 15 years that is without historical precedent in survey records of sexual behavior. The asymmetric pattern of sexual partner distributions — in which a minority of high-status men account for disproportionate numbers of partnerships while large numbers of men report zero romantic or sexual activity — reflects what sociologists have characterized as a 'hypercompetitive' mating market produced by the intersection of female educational advancement, male economic marginalization, and digital technology enabling both hypergamous sorting and substitution of parasocial romantic engagement for actual partnership.</w:t>
      </w:r>
    </w:p>
    <w:p>
      <w:pPr>
        <w:spacing w:before="0" w:after="80" w:line="276" w:lineRule="auto"/>
        <w:jc w:val="both"/>
      </w:pPr>
      <w:r>
        <w:t>The consequences for fertility are direct and arithmetically simple. Births within stable partnerships have remained relatively close to replacement for couples who form such partnerships. Births outside partnerships remain lower on average, though nonmarital fertility has risen substantially in Scandinavian countries where robust social infrastructure mitigates partnership dissolution risks. In low-partnership-support contexts like Japan, South Korea, and the United States, the decline of partnership formation rates closely tracks aggregate TFR decline, consistent with the extensive margin thesis. The marriage paradox — that marriages are more stable but fewer people are forming them — thus encapsulates the demographic reality: fertility has not collapsed among those with sufficient economic security to sustain partnerships; it has collapsed among those structurally excluded from stable partnership formation in the first place.</w:t>
      </w:r>
    </w:p>
    <w:p>
      <w:pPr>
        <w:pStyle w:val="Heading1"/>
        <w:spacing w:before="320" w:after="80"/>
      </w:pPr>
      <w:r>
        <w:rPr>
          <w:sz w:val="28"/>
        </w:rPr>
        <w:t>8 Economics: Necessary But Not Sufficient</w:t>
      </w:r>
    </w:p>
    <w:p>
      <w:pPr>
        <w:pStyle w:val="Heading2"/>
        <w:spacing w:before="240" w:after="80"/>
      </w:pPr>
      <w:r>
        <w:rPr>
          <w:sz w:val="24"/>
        </w:rPr>
        <w:t>8.1 What Interventions Tell Us</w:t>
      </w:r>
    </w:p>
    <w:p>
      <w:pPr>
        <w:spacing w:before="0" w:after="80" w:line="276" w:lineRule="auto"/>
        <w:jc w:val="both"/>
      </w:pPr>
      <w:r>
        <w:t>The most direct test of whether fertility decline is primarily an economics problem is the evidence from countries that have tried to reverse it through economic transfers. Hungary's pronatalist programme, one of the most ambitious in the world, allocates approximately 6% of GDP through tax exemptions, subsidized loans, and direct transfers. The observed TFR gain is 0.1 to 0.25 children per woman (Szabó 2024) — a modest effect that demographic analysis suggests reflects primarily tempo changes (recuperation of delayed births) rather than quantum increases in completed family size (Sobotka and Beaujouan 2018). The OBBBA's $1,000 Trump Account represents less than one week of US infant childcare costs. Across OECD countries, cash transfers, tax exemptions, and paid leave schemes consistently produce measurable but modest fertility responses.</w:t>
      </w:r>
    </w:p>
    <w:p>
      <w:pPr>
        <w:spacing w:before="0" w:after="80" w:line="276" w:lineRule="auto"/>
        <w:jc w:val="both"/>
      </w:pPr>
      <w:r>
        <w:t>The inference from this evidence is analytically important. Economic support is necessary and modestly effective — but no transfer amount has reversed decline. If fertility decline were purely an economics problem, larger transfers would work better than they demonstrably do. The modest effect sizes of even very generous interventions suggest additional mechanisms are operating. Economics are necessary but not sufficient. The subsequent subsections examine what, specifically within economics, operates as a driver — before the cultural section examines what economics cannot explain at all.</w:t>
      </w:r>
    </w:p>
    <w:p>
      <w:pPr>
        <w:pStyle w:val="Heading2"/>
        <w:spacing w:before="240" w:after="80"/>
      </w:pPr>
      <w:r>
        <w:rPr>
          <w:sz w:val="24"/>
        </w:rPr>
        <w:t>8.2 The Structural Transformation of Child-Rearing Costs</w:t>
      </w:r>
    </w:p>
    <w:p>
      <w:pPr>
        <w:spacing w:before="0" w:after="80" w:line="276" w:lineRule="auto"/>
        <w:jc w:val="both"/>
      </w:pPr>
      <w:r>
        <w:t>The economic theory of fertility, originating with Gary Becker's (1960) foundational work and substantially developed by John Caldwell's (1976) intergenerational wealth flows hypothesis, predicts fertility decline when children transition from economic assets to economic liabilities. Caldwell's framework identifies the pivotal role of mass education in reversing intergenerational wealth flows: in pre-modern agrarian economies, children contributed economically from early ages through labor, serving simultaneously as old-age insurance and wealth-accumulation vehicles for parents. The spread of compulsory education, by removing children from productive labor for extended periods while substantially increasing parental investment requirements, inverted this calculus. Combined with the decline of multigenerational household support structures and the rise of state-provided old-age pensions that partially substituted for offspring as retirement insurance, the economic incentive structure governing fertility was systematically transformed across the twentieth century.</w:t>
      </w:r>
    </w:p>
    <w:p>
      <w:pPr>
        <w:spacing w:before="0" w:after="80" w:line="276" w:lineRule="auto"/>
        <w:jc w:val="both"/>
      </w:pPr>
      <w:r>
        <w:t>Contemporary child-rearing cost structures in high-income countries reflect this transformation in magnified form. Direct costs of raising a child to adulthood in the United States are estimated at approximately $300,000 to $350,000 in 2024 dollars, excluding higher education costs (USDA 2023). Childcare costs, one of the largest single components of direct child-rearing expenditure, now consume 18 to 22% of household income in the United States and United Kingdom for families with children under five — compared to 6 to 7% in higher-fertility countries with publicly subsidized childcare systems such as France and the Nordic countries. These cost structures create direct economic incentives against having additional children, particularly for middle-income households where childcare costs may approach or exceed one parent's net income.</w:t>
      </w:r>
    </w:p>
    <w:p>
      <w:pPr>
        <w:spacing w:before="0" w:after="80" w:line="276" w:lineRule="auto"/>
        <w:jc w:val="both"/>
      </w:pPr>
      <w:r>
        <w:t>Garey Ramey and Valerie Ramey's (2010) analysis of the 'Rug Rat Race' documents a secular increase in the time intensity of parenting among college-educated Americans. Between 1975 and 2007, college-educated American parents increased time spent on childcare activities by approximately nine hours per week, more than doubling their childcare time investment. The Rameys argue that intensifying competition for university placement — itself a consequence of rising returns to education in a labor market increasingly stratified by credential — drove escalating parental time investment as a strategy for securing children's educational attainment. This 'concerted cultivation' of children (Lareau 2003) raises the effective cost of each child, since each additional child competes for parental time of rapidly escalating per-child required quantity, while simultaneously reducing the marginal time available per child in a multi-child household.</w:t>
      </w:r>
    </w:p>
    <w:p>
      <w:pPr>
        <w:spacing w:before="0" w:after="80" w:line="276" w:lineRule="auto"/>
        <w:jc w:val="both"/>
      </w:pPr>
      <w:r>
        <w:t>The positive externalities of childbearing — most fundamentally, the provision of future workers whose labor and tax contributions fund pension and healthcare obligations for current and future retirees — represent a classic market failure that private agents cannot internalize in their individual fertility decisions. Parents bear the full private costs of child-rearing while society captures the fiscal externalities of having produced future taxpayers. This divergence between private costs and social benefits generates systematic underinvestment in fertility from a social welfare standpoint, suggesting a structural case for public subsidy of childbearing beyond its distributional merits.</w:t>
      </w:r>
    </w:p>
    <w:p>
      <w:pPr>
        <w:pStyle w:val="Heading2"/>
        <w:spacing w:before="240" w:after="80"/>
      </w:pPr>
      <w:r>
        <w:rPr>
          <w:sz w:val="24"/>
        </w:rPr>
        <w:t>8.3 The Motherhood Penalty and the Fatherhood Premium</w:t>
      </w:r>
    </w:p>
    <w:p>
      <w:pPr>
        <w:spacing w:before="0" w:after="80" w:line="276" w:lineRule="auto"/>
        <w:jc w:val="both"/>
      </w:pPr>
      <w:r>
        <w:t>Labor market analysis consistently documents a substantial penalty on women's earnings associated with childbearing, contrasted with a frequently documented premium on men's earnings associated with fatherhood. Kleven, Landais, and Søgaard's (2019) landmark study using Danish administrative data pioneered the 'child penalty' methodology, tracking earnings trajectories of individuals before and after childbearing while controlling for individual and partner characteristics. Their analysis finds that childbirth generates approximately a 22% long-run earnings penalty for Danish women — one of the most egalitarian labor market contexts in the world. In the United States, where workplace and childcare policies are less supportive of maternal employment continuity, the estimated child penalty on women's earnings reaches approximately 42% (Kleven et al. 2019). These penalties reflect a combination of reduced hours, career interruptions, occupational downgrading, and reduced progression within firms.</w:t>
      </w:r>
    </w:p>
    <w:p>
      <w:pPr>
        <w:spacing w:before="0" w:after="80" w:line="276" w:lineRule="auto"/>
        <w:jc w:val="both"/>
      </w:pPr>
      <w:r>
        <w:t>Simultaneously, research consistently documents a 'fatherhood premium': men's earnings increase following the birth of a child, a pattern documented across the United States, the United Kingdom, Germany, and Scandinavian countries (Lundberg and Rose 2000). The asymmetry between the child penalty on mothers and the child premium on fathers represents a substantial economic structure that shapes individual incentives: for heterosexual couples contemplating childbearing, the economically rational decision — absent external intervention — is for the higher-earning partner to maintain labor force attachment, while the lower-earning partner assumes primary caregiving responsibility. Critically, for middle-income households, the magnitude of the maternal child penalty — a 42% earnings reduction on an annual salary of $75,000 representing a $31,500 annual loss — creates very strong economic incentives against, or at least toward substantial delay of, first childbirth.</w:t>
      </w:r>
    </w:p>
    <w:p>
      <w:pPr>
        <w:spacing w:before="0" w:after="80" w:line="276" w:lineRule="auto"/>
        <w:jc w:val="both"/>
      </w:pPr>
      <w:r>
        <w:t>Doepke and Kindermann's (2022) analysis of the intra-household bargaining dynamics of fertility decisions provides complementary evidence. Their theoretical and empirical work demonstrates that in low-fertility countries, women often oppose additional children beyond the first or second because they anticipate bearing a disproportionate share of the associated childcare burden — even in partnerships with ostensibly egalitarian gender attitudes. Only 40% of married families with young children can manage on a single income in the United States in 2024, compared to approximately 70% in the 1970s (Institute for Family Studies 2024), making the dual-income household the economic baseline against which family formation feasibility is assessed.</w:t>
      </w:r>
    </w:p>
    <w:p>
      <w:pPr>
        <w:pStyle w:val="Heading2"/>
        <w:spacing w:before="240" w:after="80"/>
      </w:pPr>
      <w:r>
        <w:rPr>
          <w:sz w:val="24"/>
        </w:rPr>
        <w:t>8.4 The Education-Fertility U-Curve and the Middle-Class Squeeze</w:t>
      </w:r>
    </w:p>
    <w:p>
      <w:pPr>
        <w:spacing w:before="0" w:after="80" w:line="276" w:lineRule="auto"/>
        <w:jc w:val="both"/>
      </w:pPr>
      <w:r>
        <w:t>Standard demographic theory and popular discourse alike assume a monotone negative relationship between women's educational attainment and fertility: higher education delays marriage, increases opportunity costs of childbearing, and tends to be associated with lower completed family size. While this relationship holds broadly in aggregate cross-national comparisons and for early-industrial fertility transitions, research on contemporary high-income populations reveals a more nuanced 'U-shaped' relationship between educational attainment and fertility that challenges simple linear narratives.</w:t>
      </w:r>
    </w:p>
    <w:p>
      <w:pPr>
        <w:spacing w:before="0" w:after="80" w:line="276" w:lineRule="auto"/>
        <w:jc w:val="both"/>
      </w:pPr>
      <w:r>
        <w:t>Hazan and Zoabi's (2015) theoretical framework and supporting empirical analysis demonstrate that highly educated women — specifically, those with doctoral-level or equivalent qualifications — demonstrate higher fertility than women with bachelor's degrees, despite having the highest opportunity costs of childbearing. The mechanism proposed is 'marketization': women with sufficiently high earnings can afford to purchase high-quality childcare services at market rates, enabling labor force continuity that mitigates the career penalty of motherhood while maintaining family formation. A doctoral-holder earning $150,000 to $200,000 annually can absorb nanny or premium childcare costs of $30,000 to $40,000 per year as a large but manageable expense; a college-educated woman earning $60,000 to $80,000 cannot. The fertility rate among women without a high school diploma stands at approximately 2.3 to 2.5 children; among high school graduates, 2.0 to 2.1; among those with some college but no degree, 1.8 to 1.9; among those with a bachelor's degree, approximately 1.7 to 1.8 (the nadir of the distribution); and among those with advanced or doctoral degrees, approximately 1.9 to 2.1, recovering toward the higher end.</w:t>
      </w:r>
    </w:p>
    <w:p>
      <w:pPr>
        <w:spacing w:before="0" w:after="80" w:line="276" w:lineRule="auto"/>
        <w:jc w:val="both"/>
      </w:pPr>
      <w:r>
        <w:t>This pattern is consistent with the 'middle-class squeeze' thesis: women earning between approximately $50,000 and $80,000 annually face the worst trade-offs. They earn too much for the opportunity cost of workforce exit to be negligible, but too little to absorb formal childcare costs without household financial strain reaching levels that depress desired family size. The middle-class squeeze concentrates fertility challenges among precisely the group most associated with stable, long-term-oriented family formation — and the most numerically significant educational stratum in developed economies.</w:t>
      </w:r>
    </w:p>
    <w:p>
      <w:pPr>
        <w:pStyle w:val="Heading2"/>
        <w:spacing w:before="240" w:after="80"/>
      </w:pPr>
      <w:r>
        <w:rPr>
          <w:sz w:val="24"/>
        </w:rPr>
        <w:t>8.5 Housing Access and Marriage Rates: Two Streams of Causal Evidence</w:t>
      </w:r>
    </w:p>
    <w:p>
      <w:pPr>
        <w:spacing w:before="0" w:after="80" w:line="276" w:lineRule="auto"/>
        <w:jc w:val="both"/>
      </w:pPr>
      <w:r>
        <w:t>The relationship between housing access and fertility has moved from theoretical plausibility to empirically demonstrated causal significance. Van Doornik, Fazio, Ramadorai, and Skrastins (2024) exploit random assignment of subsidized housing units to eligible applicants aged 20 to 25 in Brazil, creating experimental variation in housing access that is by construction independent of family formation intentions. Their analysis demonstrates that winning the housing lottery at ages 20 to 25 increases the probability of having at least one child by approximately 32% and increases total expected children by approximately 33% relative to lottery losers. Critically, the fertility effect diminishes sharply with age at lottery entry: a 10-year delay in housing access is estimated to produce approximately 50% lower lifetime fertility, suggesting that the window during which housing access meaningfully influences fertility outcomes is concentrated in the late teens and early to mid-twenties — an age range during which housing access barriers have intensified most dramatically across OECD nations.</w:t>
      </w:r>
    </w:p>
    <w:p>
      <w:pPr>
        <w:spacing w:before="0" w:after="80" w:line="276" w:lineRule="auto"/>
        <w:jc w:val="both"/>
      </w:pPr>
      <w:r>
        <w:t>Dettling and Kearney's (2014) analysis of US housing price variation finds that a $10,000 increase in local house prices is associated with a 5% increase in fertility among existing homeowners and a 2.4% decrease in fertility among renters, for whom rising prices represent a barrier rather than a windfall. OECD housing dashboard data document that prime urban housing markets in the United Kingdom, Australia, Canada, New Zealand, and the United States require 10 to 20 years of full household income to reach purchase affordability thresholds — placing owner-occupation effectively beyond reach for young households during peak reproductive years without substantial parental wealth transfer.</w:t>
      </w:r>
    </w:p>
    <w:p>
      <w:pPr>
        <w:spacing w:before="0" w:after="80" w:line="276" w:lineRule="auto"/>
        <w:jc w:val="both"/>
      </w:pPr>
      <w:r>
        <w:t>Marriage rate data provides a parallel stream of causal evidence pointing to the same conclusion. US marriage rates have fallen approximately 60% since the 1970s, from 76.5 to approximately 30 marriages per 1,000 unmarried women (Herre et al. 2020). Japan's case is instructive: married couples average approximately 1.9 children — close to replacement — yet Japan's TFR has fallen to 1.2. The arithmetic gap is explained entirely by the collapse of marriage formation rates, not by any change in family size preferences among those who do form partnerships. Housing access and partnership formation are distinct mechanisms converging on the same outcome: stable household formation is the single most consistent prerequisite for fertility, and both routes to it are becoming harder for younger cohorts.</w:t>
      </w:r>
    </w:p>
    <w:p>
      <w:pPr>
        <w:pStyle w:val="Heading2"/>
        <w:spacing w:before="240" w:after="80"/>
      </w:pPr>
      <w:r>
        <w:rPr>
          <w:sz w:val="24"/>
        </w:rPr>
        <w:t>8.6 The Sandwich Generation: The Hidden Double Burden</w:t>
      </w:r>
    </w:p>
    <w:p>
      <w:pPr>
        <w:spacing w:before="0" w:after="80" w:line="276" w:lineRule="auto"/>
        <w:jc w:val="both"/>
      </w:pPr>
      <w:r>
        <w:t>A structural dimension of fertility constraint that has received insufficient attention in demographic literature is the simultaneous care burden now borne by adults in their prime reproductive years: the 'sandwich generation' phenomenon, in which individuals support both aging parents requiring care assistance and young children requiring intensive investment. As of 2025, an estimated 63 million Americans — approximately 24% of the adult population — serve as family caregivers, a figure representing a 45% increase since 2015 (National Alliance for Caregiving and AARP 2025). Within this population, approximately 29% are 'sandwich caregivers' providing simultaneous support to both aging parents and children under 18.</w:t>
      </w:r>
    </w:p>
    <w:p>
      <w:pPr>
        <w:spacing w:before="0" w:after="80" w:line="276" w:lineRule="auto"/>
        <w:jc w:val="both"/>
      </w:pPr>
      <w:r>
        <w:t>The time intensity of eldercare is substantial, particularly for dementia care. Adults caring for a family member with dementia provide an average of 31 hours per week of unpaid care, compared to approximately 14 hours per week for adults caring for elders without dementia (National Alliance for Caregiving and AARP 2025). The gendered dimension of caregiving compounds fertility implications: approximately 75% of primary caretakers are female, meaning that the double burden of elder care and potential childcare falls disproportionately on women who are simultaneously navigating the peak years of career establishment.</w:t>
      </w:r>
    </w:p>
    <w:p>
      <w:pPr>
        <w:spacing w:before="0" w:after="80" w:line="276" w:lineRule="auto"/>
        <w:jc w:val="both"/>
      </w:pPr>
      <w:r>
        <w:t>A demographic timing collision amplifies the structural significance of the sandwich generation effect. The peak years of eldercare demand — when aging parents require intensive support — coincide precisely with the prime reproductive years of adults aged 30 to 45. The loss of grandparental childcare support represents an underappreciated driver of formal childcare cost escalation: in the mid-twentieth century, grandmothers who were not in the paid workforce provided substantial unpaid childcare to grandchildren. Today's grandparents are more likely to be employed into their late 60s and 70s, more likely to be geographically separated from adult children, and more likely to face their own health constraints that limit intensive childcare provision. The erosion of this historically substantial informal childcare resource represents a cost increase in child-rearing that is structurally invisible in standard analyses but fiscally and temporally significant for families navigating contemporary childcare markets.</w:t>
      </w:r>
    </w:p>
    <w:p>
      <w:pPr>
        <w:pStyle w:val="Heading1"/>
        <w:spacing w:before="320" w:after="80"/>
      </w:pPr>
      <w:r>
        <w:rPr>
          <w:sz w:val="28"/>
        </w:rPr>
        <w:t>9 The Opportunity Cost of Motherhood and the Fatherhood Premium</w:t>
      </w:r>
    </w:p>
    <w:p>
      <w:pPr>
        <w:spacing w:before="0" w:after="80" w:line="276" w:lineRule="auto"/>
        <w:jc w:val="both"/>
      </w:pPr>
      <w:r>
        <w:t>Labor market analysis consistently documents a substantial penalty on women's earnings associated with childbearing, contrasted with a frequently documented premium on men's earnings associated with fatherhood. Kleven, Landais, and Søgaard's (2019) landmark study using Danish administrative data pioneered the 'child penalty' methodology, tracking earnings trajectories of individuals before and after childbearing while controlling for individual and partner characteristics. Their analysis finds that childbirth generates approximately a 22% long-run earnings penalty for Danish women — one of the most egalitarian labor market contexts in the world. In the United States, where workplace and childcare policies are less supportive of maternal employment continuity, the estimated child penalty on women's earnings reaches approximately 42% (Kleven et al. 2019). These penalties reflect a combination of reduced hours, career interruptions, occupational downgrading, and reduced progression within firms.</w:t>
      </w:r>
    </w:p>
    <w:p>
      <w:pPr>
        <w:spacing w:before="0" w:after="80" w:line="276" w:lineRule="auto"/>
        <w:jc w:val="both"/>
      </w:pPr>
      <w:r>
        <w:t>Simultaneously, research consistently documents a 'fatherhood premium': men's earnings increase following the birth of a child, a pattern documented across the United States, the United Kingdom, Germany, and Scandinavian countries (Lundberg and Rose 2000). The mechanisms proposed include increased motivation to earn (the 'provider effect'), employer discrimination favoring stable, family-attached male workers, and selection — men who form stable partnerships and have children may be positively selected on earnings-relevant characteristics. Regardless of mechanism, the asymmetry between the child penalty on mothers and the child premium on fathers represents a substantial economic structure that shapes individual incentives: for heterosexual couples contemplating childbearing, the economically rational decision — absent external intervention — is for the higher-earning partner (usually, though not universally, the man) to maintain labor force attachment, while the lower-earning partner (usually the woman) assumes primary caregiving responsibility.</w:t>
      </w:r>
    </w:p>
    <w:p>
      <w:pPr>
        <w:spacing w:before="0" w:after="80" w:line="276" w:lineRule="auto"/>
        <w:jc w:val="both"/>
      </w:pPr>
      <w:r>
        <w:t>This rational adaptation to asymmetric labor market returns creates a self-reinforcing cycle. Women's anticipation of career penalties may lead to pre-emptive investment choices that widen the earnings gap with male counterparts, or to delay of partnership and childbearing beyond optimal biological windows while pursuing career establishment. Men's anticipation of the fatherhood premium may contribute to greater willingness to enter family formation when economically established. Critically, for middle-income households, the magnitude of the maternal child penalty — a 42% earnings reduction on an annual salary of, say, $75,000 representing a $31,500 annual loss — creates very strong economic incentives against, or at least toward substantial delay of, first childbirth.</w:t>
      </w:r>
    </w:p>
    <w:p>
      <w:pPr>
        <w:spacing w:before="0" w:after="80" w:line="276" w:lineRule="auto"/>
        <w:jc w:val="both"/>
      </w:pPr>
      <w:r>
        <w:t>The 'middle-class squeeze' on fertility represents the interaction of the maternal child penalty with childcare cost structures and the marketization thesis (Hazan and Zoabi 2015). Women with sufficiently high earnings can afford to outsource childcare to professional providers at costs that represent a modest fraction of their income, enabling continued labor force participation with minimal earnings interruption. Women at the lowest educational and income levels have historically had higher fertility, reflecting earlier partnership formation, lower opportunity costs of workforce exit, and stronger social norms supporting family formation. Women in the middle — college-educated, earning between approximately $50,000 and $100,000 annually in 2024 dollars — face maximum constraint: they earn too much for household-scale income loss to be trivial, but too little to absorb professional childcare costs of $20,000 to $35,000 annually per child without severe household financial strain. This 'U-shaped squeeze' concentrates fertility challenges among precisely the group most associated with stable, long-term-oriented family formation.</w:t>
      </w:r>
    </w:p>
    <w:p>
      <w:pPr>
        <w:pStyle w:val="Heading1"/>
        <w:spacing w:before="320" w:after="80"/>
      </w:pPr>
      <w:r>
        <w:rPr>
          <w:sz w:val="28"/>
        </w:rPr>
        <w:t>10 The Sandwich Generation: Compounding Care Burdens and Fertility Constraint</w:t>
      </w:r>
    </w:p>
    <w:p>
      <w:pPr>
        <w:spacing w:before="0" w:after="80" w:line="276" w:lineRule="auto"/>
        <w:jc w:val="both"/>
      </w:pPr>
      <w:r>
        <w:t>A structural dimension of fertility constraint that has received insufficient attention in demographic literature is the simultaneous care burden now borne by adults in their prime reproductive years: the 'sandwich generation' phenomenon, in which individuals support both aging parents requiring care assistance and young children requiring intensive investment. As of 2025, an estimated 63 million Americans — approximately 24% of the adult population — serve as family caregivers, a figure representing a 45% increase since 2015 (National Alliance for Caregiving and AARP 2025). Within this population, approximately 29% are 'sandwich caregivers' providing simultaneous support to both aging parents and children under 18. The scale and growth trajectory of this phenomenon reflect the interaction of population aging, changing household structures, and declining availability of institutional elder care at accessible price points.</w:t>
      </w:r>
    </w:p>
    <w:p>
      <w:pPr>
        <w:spacing w:before="0" w:after="80" w:line="276" w:lineRule="auto"/>
        <w:jc w:val="both"/>
      </w:pPr>
      <w:r>
        <w:t>The time intensity of eldercare is substantial, particularly for dementia care. Adults caring for a family member with dementia provide an average of 31 hours per week of unpaid care, compared to approximately 14 hours per week for adults caring for elders without dementia (National Alliance for Caregiving and AARP 2025). Approximately 24 million Americans provide unpaid elder care, a figure that has risen 32% since 2011 (Population Reference Bureau 2024). This care provision occurs predominantly during working hours and on evenings and weekends, directly competing with both labor force participation and the time investment prerequisites to partnership formation and family life. The gendered dimension of caregiving compounds fertility implications: approximately 75% of primary caretakers are female, meaning that the double burden of elder care and potential childcare falls disproportionately on women who are simultaneously navigating the peak years of career establishment.</w:t>
      </w:r>
    </w:p>
    <w:p>
      <w:pPr>
        <w:spacing w:before="0" w:after="80" w:line="276" w:lineRule="auto"/>
        <w:jc w:val="both"/>
      </w:pPr>
      <w:r>
        <w:t>A demographic timing collision amplifies the structural significance of the sandwich generation effect. The peak years of eldercare demand — when aging parents require intensive support — coincide precisely with the prime reproductive years of adults aged 30 to 45. This collision is partly a consequence of delayed parenthood across preceding generations: as first-birth ages rose across the Baby Boomer and Generation X cohorts, their children's peak reproductive years increasingly overlap with the period in which parents require eldercare support. The simultaneity of these demands — emotional, financial, and temporal — creates a compounded constraint on fertility decisions that no single economic analysis of child-rearing costs or maternal opportunity costs fully captures.</w:t>
      </w:r>
    </w:p>
    <w:p>
      <w:pPr>
        <w:spacing w:before="0" w:after="80" w:line="276" w:lineRule="auto"/>
        <w:jc w:val="both"/>
      </w:pPr>
      <w:r>
        <w:t>The historical context illuminates how profoundly this constraint represents a structural departure from prior arrangements. Multigenerational household formation, which historically provided the institutional mechanism for distributing care burdens across household members while enabling reproductive-age adults to form families with grandparental childcare support, was near-universal in pre-industrial and early-industrial societies. In 1940, approximately 25% of Americans lived in three-generation households; this figure declined sharply through the 1970s as the combination of rising incomes, improved elder health, Social Security provision, and cultural individualization enabled nuclear family formation and independent elder living. Multigenerational households partially recovered to approximately 18% of households (59.7 million people) by 2021, but this recovery has been driven primarily by economic necessity — housing costs forcing adult children to remain in parental homes — rather than by the traditional care and support functions that made multigenerational living reproductively facilitative.</w:t>
      </w:r>
    </w:p>
    <w:p>
      <w:pPr>
        <w:spacing w:before="0" w:after="80" w:line="276" w:lineRule="auto"/>
        <w:jc w:val="both"/>
      </w:pPr>
      <w:r>
        <w:t>The loss of grandparental childcare support, specifically, represents an underappreciated driver of formal childcare cost escalation. In the mid-twentieth century, grandmothers who were not in the paid workforce — a majority — provided substantial unpaid childcare to grandchildren, enabling maternal labor force participation at far lower formal childcare cost than today. Today's grandparents are more likely to be employed into their late 60s and 70s (driven by pension inadequacy and rising longevity), more likely to be geographically separated from adult children, and more likely to face their own health constraints that limit intensive childcare provision. The erosion of this historically substantial informal childcare resource represents a cost increase in child-rearing that is structurally invisible in standard analyses but fiscally and temporally significant for families navigating contemporary childcare markets.</w:t>
      </w:r>
    </w:p>
    <w:p>
      <w:pPr>
        <w:pStyle w:val="Heading1"/>
        <w:spacing w:before="320" w:after="80"/>
      </w:pPr>
      <w:r>
        <w:rPr>
          <w:sz w:val="28"/>
        </w:rPr>
        <w:t>11 The Housing Theory of Fertility: Causal Evidence from Quasi-Experimental Research</w:t>
      </w:r>
    </w:p>
    <w:p>
      <w:pPr>
        <w:spacing w:before="0" w:after="80" w:line="276" w:lineRule="auto"/>
        <w:jc w:val="both"/>
      </w:pPr>
      <w:r>
        <w:t>The relationship between housing access and fertility has moved from theoretical plausibility to empirically demonstrated causal significance. The dominant analytical challenge in establishing this relationship is reverse causation: couples may delay homeownership because they have not formed families, rather than delaying family formation because they cannot access housing. A series of quasi-experimental designs have addressed this identification problem by exploiting exogenous variation in housing access that is independent of family formation decisions, enabling credible causal inference about the effect of housing access on subsequent fertility outcomes.</w:t>
      </w:r>
    </w:p>
    <w:p>
      <w:pPr>
        <w:spacing w:before="0" w:after="80" w:line="276" w:lineRule="auto"/>
        <w:jc w:val="both"/>
      </w:pPr>
      <w:r>
        <w:t>The most compelling evidence derives from a housing lottery administered in Brazil. Van Doornik, Fazio, Ramadorai, and Skrastins (2024) exploit random assignment of subsidized housing units to eligible applicants aged 20 to 25, creating experimental variation in housing access that is by construction independent of family formation intentions. Their analysis demonstrates that winning the housing lottery at ages 20 to 25 increases the probability of having at least one child by approximately 32% and increases total expected children by approximately 33% relative to lottery losers. Critically, the fertility effect diminishes sharply with age at lottery entry: lottery winners in their early 20s experience the largest fertility gains, while those winning in their early 30s experience substantially attenuated effects. A 10-year delay in housing access is estimated to produce approximately 50% lower lifetime fertility, suggesting that the window during which housing access meaningfully influences fertility outcomes is concentrated in the late teens and early to mid-twenties — an age range during which housing access barriers have intensified most dramatically across OECD nations.</w:t>
      </w:r>
    </w:p>
    <w:p>
      <w:pPr>
        <w:spacing w:before="0" w:after="80" w:line="276" w:lineRule="auto"/>
        <w:jc w:val="both"/>
      </w:pPr>
      <w:r>
        <w:t>Dettling and Kearney's (2014) analysis of US housing price variation provides complementary evidence through a different identification strategy. Using metropolitan-level house price variation as the source of identification, they find that a $10,000 increase in local house prices is associated with a 5% increase in fertility among existing homeowners — consistent with a wealth effect, whereby rising home equity increases the resources available for family formation — and a 2.4% decrease in fertility among renters, for whom rising prices represent a barrier rather than a windfall. This divergent effect by housing tenure status implies that housing price appreciation, while producing aggregate fertility neutrality in aggregate in balanced housing markets, systematically redistributes fertility toward the already-propertied and away from younger, lower-income renters who are excluded from homeownership.</w:t>
      </w:r>
    </w:p>
    <w:p>
      <w:pPr>
        <w:spacing w:before="0" w:after="80" w:line="276" w:lineRule="auto"/>
        <w:jc w:val="both"/>
      </w:pPr>
      <w:r>
        <w:t>OECD housing dashboard data document the deterioration of housing affordability across high-income countries. The number of years of median household income required to purchase 100 square meters of residential dwelling in major OECD cities has increased substantially across virtually all national contexts. In the United Kingdom, Australia, Canada, New Zealand, and the United States, prime urban housing markets require 10 to 20 years of full household income to reach purchase affordability thresholds, placing owner-occupation effectively beyond reach for young households during peak reproductive years without substantial parental wealth transfer. The geographic concentration of high-wage employment in these high-cost cities creates what may be termed the 'geographic mobility trap': prime reproductive age adults are economically incentivized to locate in cities where labor market returns are highest, but these cities impose housing cost structures that directly suppress fertility through the mechanisms documented above.</w:t>
      </w:r>
    </w:p>
    <w:p>
      <w:pPr>
        <w:spacing w:before="0" w:after="80" w:line="276" w:lineRule="auto"/>
        <w:jc w:val="both"/>
      </w:pPr>
      <w:r>
        <w:t>Housing access and fertility decline are thus connected through multiple mechanisms: the direct financial burden of high housing costs that competes with child-rearing expenditure for scarce household resources; the delayed timing of homeownership, which has shifted from a pre-reproductive achievement to, at best, a concurrent or post-reproductive one for many households; and the permanent fertility consequences of housing access delays during the early-to-mid 20s window identified by van Doornik et al. (2024). These mechanisms suggest that housing policy — historically considered separately from demographic policy — may represent one of the highest-leverage interventions available for reversing fertility decline, particularly given the causal evidence of large effect sizes during early adulthood housing access.</w:t>
      </w:r>
    </w:p>
    <w:p>
      <w:pPr>
        <w:pStyle w:val="Heading1"/>
        <w:spacing w:before="320" w:after="80"/>
      </w:pPr>
      <w:r>
        <w:rPr>
          <w:sz w:val="28"/>
        </w:rPr>
        <w:t>12 The Education-Fertility U-Curve and the Middle-Class Squeeze</w:t>
      </w:r>
    </w:p>
    <w:p>
      <w:pPr>
        <w:spacing w:before="0" w:after="80" w:line="276" w:lineRule="auto"/>
        <w:jc w:val="both"/>
      </w:pPr>
      <w:r>
        <w:t>Standard demographic theory and popular discourse alike assume a monotone negative relationship between women's educational attainment and fertility: higher education delays marriage, increases opportunity costs of childbearing, and tends to be associated with lower completed family size. While this relationship holds broadly in aggregate cross-national comparisons and for early-industrial fertility transitions, research on contemporary high-income populations reveals a more nuanced 'U-shaped' relationship between educational attainment and fertility that challenges simple linear narratives and has important implications for understanding which women are most constrained by contemporary economic structures.</w:t>
      </w:r>
    </w:p>
    <w:p>
      <w:pPr>
        <w:spacing w:before="0" w:after="80" w:line="276" w:lineRule="auto"/>
        <w:jc w:val="both"/>
      </w:pPr>
      <w:r>
        <w:t>Hazan and Zoabi's (2015) theoretical framework and supporting empirical analysis demonstrate that highly educated women — specifically, those with doctoral-level or equivalent qualifications — demonstrate higher fertility than women with bachelor's degrees, despite having the highest opportunity costs of childbearing. The mechanism proposed is 'marketization': women with sufficiently high earnings can afford to purchase high-quality childcare services at market rates, enabling labor force continuity that mitigates the career penalty of motherhood while maintaining family formation. A doctoral-holder earning $150,000 to $200,000 annually can absorb nanny or premium childcare costs of $30,000 to $40,000 per year as a large but manageable expense; a college-educated woman earning $60,000 to $80,000 cannot. The fertility rate among women without a high school diploma stands at approximately 2.3 to 2.5 children; among high school graduates, 2.0 to 2.1; among those with some college but no degree, 1.8 to 1.9; among those with a bachelor's degree, approximately 1.7 to 1.8 (the nadir of the distribution); and among those with advanced or doctoral degrees, approximately 1.9 to 2.1, recovering toward the higher end.</w:t>
      </w:r>
    </w:p>
    <w:p>
      <w:pPr>
        <w:spacing w:before="0" w:after="80" w:line="276" w:lineRule="auto"/>
        <w:jc w:val="both"/>
      </w:pPr>
      <w:r>
        <w:t>Hazan, Weiss, and Zoabi (2023) update this analysis with more recent data through the 2010s, finding that the U-curve's high-education uptick has diminished as childcare costs have risen faster than high-education salaries in some cohorts, narrowing the marketization advantage. Nevertheless, the fundamental structure — lowest fertility among mid-level educated women rather than the most-educated — remains empirically documented. This pattern is consistent with the 'middle-class squeeze' thesis: women earning between approximately $50,000 and $80,000 annually face the worst trade-offs. They earn too much for the opportunity cost of workforce exit to be negligible, but too little to absorb formal childcare costs without household financial strain reaching levels that depress desired family size. Only 40% of married families with young children can manage on a single income in the United States in 2024, compared to approximately 70% in the 1970s (Institute for Family Studies 2024), making the dual-income household the economic baseline against which family formation feasibility is assessed.</w:t>
      </w:r>
    </w:p>
    <w:p>
      <w:pPr>
        <w:spacing w:before="0" w:after="80" w:line="276" w:lineRule="auto"/>
        <w:jc w:val="both"/>
      </w:pPr>
      <w:r>
        <w:t>Doepke and Kindermann's (2022) analysis of the intra-household bargaining dynamics of fertility decisions provides complementary evidence. Their theoretical and empirical work demonstrates that in low-fertility countries, women often oppose additional children beyond the first or second because they anticipate bearing a disproportionate share of the associated childcare burden — even in partnerships with ostensibly egalitarian gender attitudes. The asymmetric division of childcare within households, persisting even among highly educated couples with relatively equal earnings, means that the effective cost of children falls more heavily on women's time and career trajectories than aggregate household income figures suggest. Doepke and Kindermann's model predicts that fertility is lower in contexts where gender specialization in childcare remains high and institutional childcare support is limited, consistent with cross-national patterns.</w:t>
      </w:r>
    </w:p>
    <w:p>
      <w:pPr>
        <w:spacing w:before="0" w:after="80" w:line="276" w:lineRule="auto"/>
        <w:jc w:val="both"/>
      </w:pPr>
      <w:r>
        <w:t>The education-fertility U-curve also has implications for population quality dynamics that transcend fertility levels. If fertility is lowest among the middle-educated — typically the most numerous educational stratum in developed economies — while remaining somewhat higher among both the least-educated and the most-educated, the composition of the next generation shifts away from the middle stratum over time. The long-run implications of this compositional drift for human capital accumulation, income distribution, and institutional quality represent an underexplored dimension of the fertility decline literature, with implications that extend beyond aggregate birth counts to the structural characteristics of future populations.</w:t>
      </w:r>
    </w:p>
    <w:p>
      <w:pPr>
        <w:pStyle w:val="Heading1"/>
        <w:spacing w:before="320" w:after="80"/>
      </w:pPr>
      <w:r>
        <w:rPr>
          <w:sz w:val="28"/>
        </w:rPr>
        <w:t>13 Biological Factors: Is This a Medical Crisis?</w:t>
      </w:r>
    </w:p>
    <w:p>
      <w:pPr>
        <w:spacing w:before="0" w:after="80" w:line="276" w:lineRule="auto"/>
        <w:jc w:val="both"/>
      </w:pPr>
      <w:r>
        <w:t>Beyond economic and structural drivers, fertility decline encompasses biological dimensions that are frequently underweighted in social science analyses. Male reproductive health has experienced documented deterioration over the past half-century that is independent of behavioral or preference-based explanations. Levine et al.'s (2017) systematic review and meta-analysis, pooling data from 185 studies across 43 countries covering 42,935 men between 1973 and 2011, documented a 52.4% decline in sperm concentration and a 59.3% decline in total sperm count among men from Western countries over the study period. A subsequent update extending the analysis through 2018 found that the rate of decline accelerated after 2000, with global (not merely Western) sperm counts declining at approximately 2.6% per year (Levine et al. 2022). The causes of this decline remain incompletely understood, with proposed contributors including endocrine-disrupting chemical exposure (particularly phthalates, bisphenol A, and pesticide residues), sedentary lifestyles, heat exposure, and metabolic disruption associated with the obesity epidemic.</w:t>
      </w:r>
    </w:p>
    <w:p>
      <w:pPr>
        <w:spacing w:before="0" w:after="80" w:line="276" w:lineRule="auto"/>
        <w:jc w:val="both"/>
      </w:pPr>
      <w:r>
        <w:t>The obesity epidemic represents an increasingly recognized biological pathway between metabolic and reproductive health. Approximately 73% of American adults are classified as overweight or obese, with 42% meeting the clinical threshold for obesity (Centers for Disease Control and Prevention 2024). The mechanism by which adipose tissue excess disrupts reproductive hormonal function centers on the enzyme aromatase, which is expressed in adipose tissue and converts androgens — including testosterone — into oestrogens. In men, elevated aromatase activity associated with excess adiposity reduces circulating testosterone while elevating oestrogen, suppressing spermatogenesis and reducing libido. In women, adiposity-related hormonal disruption affects ovulatory regularity and implantation success. The US male infertility rate among married or cohabiting men aged 15 to 49 stands at approximately 11.4%, with obesity-related hormonal disruption representing a growing contributor to this figure (Agarwal et al. 2021).</w:t>
      </w:r>
    </w:p>
    <w:p>
      <w:pPr>
        <w:spacing w:before="0" w:after="80" w:line="276" w:lineRule="auto"/>
        <w:jc w:val="both"/>
      </w:pPr>
      <w:r>
        <w:t>Advanced maternal age represents a further biological constraint whose demographic significance has grown as first-birth ages have risen. Female fecundity declines substantially after age 35, with egg quality deterioration accelerating through the late thirties and forties. In most OECD nations, the average age at first birth now falls between 27 and 30 years, with substantial numbers of women attempting first conception in their mid-to-late thirties. This demographic shift toward later childbearing creates a biological headwind independent of any change in desired family size: women attempting conception at ages when fecundity has already declined face higher rates of subfecundity, miscarriage, and chromosomal abnormality, even absent any underlying pathology. The interaction between delayed childbearing and declining male fecundity creates a compounding biological constraint on fertility outcomes for couples who delay family formation for economic or partnership reasons.</w:t>
      </w:r>
    </w:p>
    <w:p>
      <w:pPr>
        <w:pStyle w:val="Heading2"/>
        <w:spacing w:before="240" w:after="80"/>
      </w:pPr>
      <w:r>
        <w:rPr>
          <w:sz w:val="24"/>
        </w:rPr>
        <w:t>13.1 Infertility, Subfecundity, and Social Childlessness</w:t>
      </w:r>
    </w:p>
    <w:p>
      <w:pPr>
        <w:spacing w:before="0" w:after="80" w:line="276" w:lineRule="auto"/>
        <w:jc w:val="both"/>
      </w:pPr>
      <w:r>
        <w:t>A critical distinction is warranted between infertility (clinical inability to conceive), subfecundity (reduced but not absent reproductive capacity), and social childlessness (no children despite biological capacity). US average children per man aged 15–49 sits at approximately 0.9 — most childlessness in the data is social, not medical. Clinical infertility rates of 11–15% have not risen proportionally to childlessness rates, which have nearly doubled in some cohorts over two decades. Biological factors are real, worsening, and deserve clinical attention — but they explain a small fraction of the scale and pace of demographic decline. The primary drivers are structural, economic, and cultural. Improving reproductive medicine alone will not reverse the trend.</w:t>
      </w:r>
    </w:p>
    <w:p>
      <w:pPr>
        <w:pStyle w:val="Heading1"/>
        <w:spacing w:before="320" w:after="80"/>
      </w:pPr>
      <w:r>
        <w:rPr>
          <w:sz w:val="28"/>
        </w:rPr>
        <w:t>14 Cultural Factors: Partnership Decline, Future Anxiety, and Neurochemical Displacement</w:t>
      </w:r>
    </w:p>
    <w:p>
      <w:pPr>
        <w:pStyle w:val="Heading2"/>
        <w:spacing w:before="240" w:after="80"/>
      </w:pPr>
      <w:r>
        <w:rPr>
          <w:sz w:val="24"/>
        </w:rPr>
        <w:t>14.1 Partnership Collapse</w:t>
      </w:r>
    </w:p>
    <w:p>
      <w:pPr>
        <w:spacing w:before="0" w:after="80" w:line="276" w:lineRule="auto"/>
        <w:jc w:val="both"/>
      </w:pPr>
      <w:r>
        <w:t>One of the most consequential yet underappreciated dimensions of fertility decline is the transformation of partnership formation patterns across Western and East Asian societies. Marriage rates in the United States have declined approximately 60% since the 1970s, falling from 76.5 marriages per 1,000 unmarried women aged 15 and older in 1970 to approximately 30.0 in recent years (Herre et al. 2020). While crude marriage rates are sensitive to compositional changes in the adult population, age-standardized measures confirm genuine declines in partnership formation rates, not merely population aging artifacts. The proportion of adults who will never marry in their lifetimes has risen substantially across high-income countries, with permanent singlehood increasing in both the United States and Western Europe.</w:t>
      </w:r>
    </w:p>
    <w:p>
      <w:pPr>
        <w:spacing w:before="0" w:after="80" w:line="276" w:lineRule="auto"/>
        <w:jc w:val="both"/>
      </w:pPr>
      <w:r>
        <w:t>A structural paradox characterizes this transformation: divorce rates, which rose sharply from the 1960s through the 1980s, have stabilized and in some measures declined since the early 1990s in the United States and several European countries. Marriages that do occur are increasingly selective of more compatible, stable, and economically secure partnerships. The result is a bimodal distribution: a stable minority who form durable, often relatively high-fertility partnerships, and a growing majority who experience delayed, interrupted, or absent partnership formation. This distributional shift, rather than a uniform decline in partnership quality, explains why aggregate marriage stability statistics can appear relatively favorable while rates of permanent singlehood rise simultaneously.</w:t>
      </w:r>
    </w:p>
    <w:p>
      <w:pPr>
        <w:spacing w:before="0" w:after="80" w:line="276" w:lineRule="auto"/>
        <w:jc w:val="both"/>
      </w:pPr>
      <w:r>
        <w:t>The gender asymmetry in partnership formation failures is particularly acute at the lower end of the socioeconomic distribution. Survey data indicate that approximately 28% of men under 30 reported zero sexual partners in 2023, up from approximately 10% in 2008 (General Social Survey data, reported in The Cut 2024) — a tripling over 15 years that is without historical precedent in survey records of sexual behavior. The asymmetric pattern of sexual partner distributions — in which a minority of high-status men account for disproportionate numbers of partnerships while large numbers of men report zero romantic or sexual activity — reflects what sociologists have characterized as a 'hypercompetitive' mating market produced by the intersection of female educational advancement, male economic marginalization, and digital technology enabling both hypergamous sorting and substitution of parasocial romantic engagement for actual partnership.</w:t>
      </w:r>
    </w:p>
    <w:p>
      <w:pPr>
        <w:spacing w:before="0" w:after="80" w:line="276" w:lineRule="auto"/>
        <w:jc w:val="both"/>
      </w:pPr>
      <w:r>
        <w:t>The consequences for fertility are direct and arithmetically simple. Births within stable partnerships have remained relatively close to replacement for couples who form such partnerships. In low-partnership-support contexts like Japan, South Korea, and the United States, the decline of partnership formation rates closely tracks aggregate TFR decline, consistent with the extensive margin thesis. The marriage paradox — that marriages are more stable but fewer people are forming them — thus encapsulates the demographic reality: fertility has not collapsed among those with sufficient economic security to sustain partnerships; it has collapsed among those structurally excluded from stable partnership formation in the first place.</w:t>
      </w:r>
    </w:p>
    <w:p>
      <w:pPr>
        <w:pStyle w:val="Heading2"/>
        <w:spacing w:before="240" w:after="80"/>
      </w:pPr>
      <w:r>
        <w:rPr>
          <w:sz w:val="24"/>
        </w:rPr>
        <w:t>14.2 Secularisation and Individualization</w:t>
      </w:r>
    </w:p>
    <w:p>
      <w:pPr>
        <w:spacing w:before="0" w:after="80" w:line="276" w:lineRule="auto"/>
        <w:jc w:val="both"/>
      </w:pPr>
      <w:r>
        <w:t>Religion remains one of the few robust buffers against fertility decline. Data consistently show that highly religious communities — such as the Latter-day Saints in Utah or Orthodox populations in Israel — maintain fertility rates significantly above the replacement level, bucking the global trend (Götmark and Andersson 2020). This resilience is attributed not only to theological imperatives but to the community infrastructure that lowers the social cost of parenting. Conversely, the rapid secularization of the West has eroded these norms. In a secular market society, the decision to reproduce becomes a purely utilitarian calculus of cost versus benefit — a calculation that, in the modern economy, almost strictly favours childlessness.</w:t>
      </w:r>
    </w:p>
    <w:p>
      <w:pPr>
        <w:spacing w:before="0" w:after="80" w:line="276" w:lineRule="auto"/>
        <w:jc w:val="both"/>
      </w:pPr>
      <w:r>
        <w:t>Ron Lesthaeghe's Second Demographic Transition framework situates this shift within a broader value transformation in post-industrial societies: the progressive prioritization of individual self-realization, expressive identity, and personal autonomy over institutional commitments including marriage and parenthood. In this framework, children become one option among many in a diversified life portfolio, competing with career achievement, travel, consumption, and personal development. This is a genuine preference shift — not merely rationalized constraint — but one that operates downstream of structural conditions: economic security tends to correlate with higher fertility even within secular populations, suggesting that cultural individualization and structural barriers interact rather than operate independently.</w:t>
      </w:r>
    </w:p>
    <w:p>
      <w:pPr>
        <w:pStyle w:val="Heading2"/>
        <w:spacing w:before="240" w:after="80"/>
      </w:pPr>
      <w:r>
        <w:rPr>
          <w:sz w:val="24"/>
        </w:rPr>
        <w:t>14.3 Concern About the Future of the World</w:t>
      </w:r>
    </w:p>
    <w:p>
      <w:pPr>
        <w:spacing w:before="0" w:after="80" w:line="276" w:lineRule="auto"/>
        <w:jc w:val="both"/>
      </w:pPr>
      <w:r>
        <w:t>A dimension of fertility decline rarely captured in economic models is collective pessimism about the future. Pew Research Center (2024) found that 32% of childless respondents cited concern about the state of the world as a major reason for not having children — a figure that cannot be explained by financial constraint or biological incapacity alone.</w:t>
      </w:r>
    </w:p>
    <w:p>
      <w:pPr>
        <w:spacing w:before="0" w:after="80" w:line="276" w:lineRule="auto"/>
        <w:jc w:val="both"/>
      </w:pPr>
      <w:r>
        <w:t>The generation now entering prime reproductive years has come of age through compounding uncertainty: the 2008 financial crisis, COVID-19, accelerating climate anxiety, and, most recently, the emergence of artificial intelligence as both an economic and existential variable. For the first time, a cohort of prospective parents must genuinely reckon with the possibility that their children will enter a labour market substantially restructured by automation — not as a distant abstraction but as a present reality reshaping graduate employment now. Alongside this, rising geopolitical instability — the war in Ukraine, tensions in the Taiwan Strait, the fracturing of post-Cold War multilateral institutions — contributes to a diffuse sense that the stable, rules-based world in which family formation felt like a reasonable long-term investment may not hold.</w:t>
      </w:r>
    </w:p>
    <w:p>
      <w:pPr>
        <w:spacing w:before="0" w:after="80" w:line="276" w:lineRule="auto"/>
        <w:jc w:val="both"/>
      </w:pPr>
      <w:r>
        <w:t>This future-anxiety dimension cannot be addressed by financial transfers. It is a crisis of collective confidence — and one for which no obvious policy lever exists.</w:t>
      </w:r>
    </w:p>
    <w:p>
      <w:pPr>
        <w:pStyle w:val="Heading2"/>
        <w:spacing w:before="240" w:after="80"/>
      </w:pPr>
      <w:r>
        <w:rPr>
          <w:sz w:val="24"/>
        </w:rPr>
        <w:t>14.4 The Neurochemical Displacement Hypothesis</w:t>
      </w:r>
    </w:p>
    <w:p>
      <w:pPr>
        <w:spacing w:before="0" w:after="80" w:line="276" w:lineRule="auto"/>
        <w:jc w:val="both"/>
      </w:pPr>
      <w:r>
        <w:t>Dr. Alok Kanojia, a Harvard-trained psychiatrist and founder of HealthyGamer GG, has advanced a neurochemical hypothesis for declining partnership formation that extends the digital displacement argument from sociology into clinical neuroscience. Kanojia argues that the chronic, high-frequency stimulation produced by social media — operating through variable-reward notification structures analogous to those exploited by slot machines — progressively downregulates dopamine receptor sensitivity in the mesolimbic pathway. The brain, habituated to a high-frequency dopamine baseline, recalibrates its hedonic threshold upward. The consequence is that the quieter, slower dopamine signals associated with real-world romantic interest — the anticipation before a date, the salience of a specific person's attention, the reward of sustained pair-bond formation — register as insufficiently stimulating by comparison. Romantic attraction, in neurochemical terms, becomes harder to feel.</w:t>
      </w:r>
    </w:p>
    <w:p>
      <w:pPr>
        <w:spacing w:before="0" w:after="80" w:line="276" w:lineRule="auto"/>
        <w:jc w:val="both"/>
      </w:pPr>
      <w:r>
        <w:t>Kanojia further identifies a serotonin depletion mechanism: heavy social media use, by sustaining chronic low-grade social comparison and status anxiety, depletes serotonin availability. Serotonin is the neurochemical substrate of the obsessive, intrusive-thought quality of early-stage romantic love — the 'I cannot stop thinking about them' phenomenology that has historically driven pair-bond formation. Its depletion may suppress the intensity of early romantic experience, making love feel less urgent, less consuming, and therefore less motivating as a life-organising force. A 2024 ResearchGate study examining the effects of AI-driven romantic paradigms over a five-month period documented dopamine desensitization and reduced emotional responsiveness to genuine social connection among participants, providing preliminary empirical support for the desensitization mechanism.</w:t>
      </w:r>
    </w:p>
    <w:p>
      <w:pPr>
        <w:spacing w:before="0" w:after="80" w:line="276" w:lineRule="auto"/>
        <w:jc w:val="both"/>
      </w:pPr>
      <w:r>
        <w:t>The population-level causal evidence for this hypothesis remains limited, and the directionality of observed correlations is not fully established — lonely individuals may use social media more, rather than social media causing loneliness. Nevertheless, the mechanistic plausibility is well-grounded in established neuroscience, the timing correspondence between social media adoption curves and partnership formation decline is striking, and the hypothesis is consistent with the clinical observations of practitioners working with young adults experiencing relationship difficulties. It represents the least documented but potentially most structurally significant mechanism in this analysis: a process operating at the level of brain chemistry, independently of economic conditions, that makes the neurological experience of falling in love progressively harder for each successive cohort raised on high-frequency digital stimulation.</w:t>
      </w:r>
    </w:p>
    <w:p>
      <w:pPr>
        <w:pStyle w:val="Heading1"/>
        <w:spacing w:before="320" w:after="80"/>
      </w:pPr>
      <w:r>
        <w:rPr>
          <w:sz w:val="28"/>
        </w:rPr>
        <w:t>15 Contemporary Discourse: The Bartlett-Williamson Controversy and the Politics of Fertility Attribution</w:t>
      </w:r>
    </w:p>
    <w:p>
      <w:pPr>
        <w:spacing w:before="0" w:after="80" w:line="276" w:lineRule="auto"/>
        <w:jc w:val="both"/>
      </w:pPr>
      <w:r>
        <w:t xml:space="preserve">In January 2026, a podcast episode of </w:t>
      </w:r>
      <w:r>
        <w:rPr>
          <w:i/>
        </w:rPr>
        <w:t>The Diary of a CEO</w:t>
      </w:r>
      <w:r>
        <w:t>, hosted by entrepreneur Steven Bartlett and featuring commentator Chris Williamson, reignited public debate about the causes of declining birth rates in Western societies. Williamson articulated a thesis attributing fertility decline primarily to women's increased workforce participation and to what he characterized as an 'anti-family message' disseminated through social media platforms. He cited TikTok creator Abigail Porter (known as 'The Girl With The List') as an exemplar of online content that, in his view, discouraged women from prioritizing family formation. The episode generated substantial media coverage and social media engagement, igniting a polarized public debate about demographic causation that quickly became entangled with questions about gender ideology, online radicalization, and the responsibilities of podcast platforms.</w:t>
      </w:r>
    </w:p>
    <w:p>
      <w:pPr>
        <w:spacing w:before="0" w:after="80" w:line="276" w:lineRule="auto"/>
        <w:jc w:val="both"/>
      </w:pPr>
      <w:r>
        <w:t>The backlash to Williamson's claims was swift and came from multiple directions. Public figures including television presenter Vicky Pattison, radio presenters Angela Scanlon, Sara Cox, and Greg James publicly criticized the framing, with media commentary characterizing the episode as a 'Trojan horse for manosphere ideology' — a reference to online communities that attribute men's romantic and economic difficulties primarily to feminist cultural changes. Bartlett's position was defended by some commentators as exploratory inquiry rather than ideological endorsement; he described the episode as an attempt at open conversation about contested issues. Critics countered that unchallenged platforming of claims that placed causal responsibility for demographic decline primarily on women's choices constituted effective endorsement, and that the absence of counterargument in a high-audience podcast context gave ideologically loaded claims unwarranted legitimacy. Bartlett's prior episode suggesting 'society intervene to help incels find partners' was cited as contextual evidence of a pattern of engagement with manosphere-adjacent content.</w:t>
      </w:r>
    </w:p>
    <w:p>
      <w:pPr>
        <w:spacing w:before="0" w:after="80" w:line="276" w:lineRule="auto"/>
        <w:jc w:val="both"/>
      </w:pPr>
      <w:r>
        <w:t>Women's responses to Williamson's claims articulated several structural counterarguments that are consistent with the evidence reviewed in this paper. A widely circulated formulation held that 'if men want children, they should be the type of man women want children with' — a formulation that inverts Williamson's implied causation, shifting analytical focus from women's choices to men's relative position in the partnership market. This inversion is analytically significant: rather than asking why women are declining to have children, it foregrounds the question of why partnership formation is failing, and frames this failure at least partly as a consequence of male economic marginalization and social skill deficits rather than female preference shifts. The structural barriers women cited in public responses — the motherhood earnings penalty, expensive formal childcare, the sandwich generation's dual care burden, housing unaffordability, and the documented absence of a suitable partner as a major reason for childlessness in Pew survey data — are precisely the factors documented in the preceding sections of this analysis.</w:t>
      </w:r>
    </w:p>
    <w:p>
      <w:pPr>
        <w:spacing w:before="0" w:after="80" w:line="276" w:lineRule="auto"/>
        <w:jc w:val="both"/>
      </w:pPr>
      <w:r>
        <w:t xml:space="preserve">A critical analytical distinction that the public controversy largely failed to maintain is the difference between the </w:t>
      </w:r>
      <w:r>
        <w:rPr>
          <w:i/>
        </w:rPr>
        <w:t>intensive margin</w:t>
      </w:r>
      <w:r>
        <w:t xml:space="preserve"> and the </w:t>
      </w:r>
      <w:r>
        <w:rPr>
          <w:i/>
        </w:rPr>
        <w:t>extensive margin</w:t>
      </w:r>
      <w:r>
        <w:t xml:space="preserve"> of fertility decline. Williamson's thesis, insofar as it can be reconstructed analytically, concerns the intensive margin: the choices of women who are in or could enter partnerships regarding whether and when to have children. This framing treats fertility decline primarily as a story about women's preferences and values. The evidence reviewed in this paper, however, points toward the extensive margin as the primary locus of demographic change: fewer people entering partnerships at all, with a disproportionate share of the failure concentrated among economically marginal men. Williamson's analytical framework thus concerns a secondary dimension of a problem whose primary drivers operate through partnership formation failure rather than through the preferences of partnered women.</w:t>
      </w:r>
    </w:p>
    <w:p>
      <w:pPr>
        <w:spacing w:before="0" w:after="80" w:line="276" w:lineRule="auto"/>
        <w:jc w:val="both"/>
      </w:pPr>
      <w:r>
        <w:t>The data collection bias documented earlier in this paper provides structural context for why fertility discourse defaults to the Williamson framing. Because birth registration systems record mothers and not fathers, demographic data primarily captures women's reproductive outcomes. This generates a literature in which female childlessness is extensively theorized and politically salient, while male childlessness — larger in magnitude, more steeply income-stratified, and more directly connected to economic marginalization — remains analytically invisible. When discourse is built on data that systematically excludes men's reproductive outcomes, questions about fertility decline are naturally framed as questions about women's choices. The Bartlett-Williamson controversy can thus be read as a symptom of a deeper data architecture problem: administrative systems that organize demographic knowledge around female reproductive events produce a public discourse that interprets demographic change primarily through the lens of female behavior.</w:t>
      </w:r>
    </w:p>
    <w:p>
      <w:pPr>
        <w:spacing w:before="0" w:after="80" w:line="276" w:lineRule="auto"/>
        <w:jc w:val="both"/>
      </w:pPr>
      <w:r>
        <w:t>The policy implications of the discursive framing controversy are not merely academic. If fertility decline is primarily attributed to women's preference shifts — as Williamson's thesis implies — then the implied policy response involves changing women's preferences, through cultural messaging, incentivization of early family formation, or social pressure on women's career and lifestyle choices. This response would be both analytically unsupported (given the evidence reviewed) and politically contentious. If, conversely, decline is understood as an extensive margin failure driven by male economic marginalization, housing unaffordability, childcare cost structures, and sandwich generation burdens, the implied policy responses — labor market reforms addressing male employment stability, housing supply expansion, childcare subsidization, and eldercare support — are both analytically grounded and less politically divisive. The Bartlett-Williamson controversy thus illustrates how the framing of a demographic problem determines the solution space perceived as legitimate, and how data architecture shapes the political economy of policy response.</w:t>
      </w:r>
    </w:p>
    <w:p>
      <w:pPr>
        <w:pStyle w:val="Heading1"/>
        <w:spacing w:before="320" w:after="80"/>
      </w:pPr>
      <w:r>
        <w:rPr>
          <w:sz w:val="28"/>
        </w:rPr>
        <w:t>16 Market and Policy Responses to Fertility Decline</w:t>
      </w:r>
    </w:p>
    <w:p>
      <w:pPr>
        <w:spacing w:before="0" w:after="80" w:line="276" w:lineRule="auto"/>
        <w:jc w:val="both"/>
      </w:pPr>
      <w:r>
        <w:t>Policy responses to fertility decline span a wide range of instruments, from direct financial transfers and parental leave mandates to housing supply interventions and immigration policy. Systematic reviews of evaluated pronatalist policies provide a sobering picture of effect sizes: childcare subsidies, among the most directly targeted and theoretically well-motivated interventions, are associated with fertility increases of approximately 0.05 to 0.15 children per woman in the most optimistic estimates, while direct cash transfer programs (child bonuses, baby bonuses) generate estimated fertility effects of approximately 0.02 to 0.08 children per woman (Luci-Greulich and Thévenon 2013; Gauthier 2007). These magnitudes are modest relative to the 0.5 to 1.0+ children per woman gap between current and replacement fertility in many low-fertility countries, suggesting that standard policy instruments cannot close the demographic gap through fertility stimulation alone.</w:t>
      </w:r>
    </w:p>
    <w:p>
      <w:pPr>
        <w:spacing w:before="0" w:after="80" w:line="276" w:lineRule="auto"/>
        <w:jc w:val="both"/>
      </w:pPr>
      <w:r>
        <w:t>Hungary represents the most ambitious contemporary pronatalist policy experiment, allocating approximately 4 to 6% of GDP through a suite of instruments: lifetime income tax exemptions for mothers of four or more children, heavily subsidized loans (the CSOK program) conditional on family size, mortgage subsidy programs, and substantial childcare expansion. Observed changes in Hungary's TFR following the 2010s policy intensification are estimated at approximately 0.1 to 0.25 children per woman (Szabó 2024). While advocates of the Hungarian model cite these as evidence of policy effectiveness, demographic analysis raises the concern that these gains primarily reflect tempo recuperation — bringing forward births that would have occurred anyway, rather than generating additional births — rather than quantum increases in completed family size. Distinguishing tempo from quantum effects requires tracking cohort outcomes over longer time horizons than are currently available for Hungary's most recent policy iterations.</w:t>
      </w:r>
    </w:p>
    <w:p>
      <w:pPr>
        <w:spacing w:before="0" w:after="80" w:line="276" w:lineRule="auto"/>
        <w:jc w:val="both"/>
      </w:pPr>
      <w:r>
        <w:t>Parental leave policy reform has proceeded on two dimensions: the extension of paid leave duration and the introduction of non-transferable 'daddy quotas' — leave entitlements that expire if not used by the father, creating incentives for paternal leave-taking. Nordic countries' experience with daddy quotas demonstrates measurable increases in paternal leave uptake and modest positive effects on subsequent earnings equality between parents, with some evidence of positive effects on second-birth fertility through reduction of the maternal care burden asymmetry. However, parental leave effects on aggregate fertility are generally modest, with the primary channels operating through timing of births and maternal labor force attachment rather than completed family size.</w:t>
      </w:r>
    </w:p>
    <w:p>
      <w:pPr>
        <w:spacing w:before="0" w:after="80" w:line="276" w:lineRule="auto"/>
        <w:jc w:val="both"/>
      </w:pPr>
      <w:r>
        <w:t>The Nordic institutional model — characterized by near-universal, heavily subsidized childcare from age one, generous and gender-equalized parental leave, strong employment protections, and substantial housing assistance — achieves TFRs of approximately 1.6 to 1.8, above the very low-fertility crisis levels of Southern and Eastern Europe and East Asia but still below replacement. This suggests that even maximal welfare state investment in the conditions for family formation does not fully restore replacement fertility in contexts of high female labor force participation and secular individualization. The Nordic evidence implies a structural floor to pronatalist policy effectiveness that reflects genuine preference evolution toward smaller families in societies characterized by high female educational attainment, high female labor force participation, and strong individualist cultural norms.</w:t>
      </w:r>
    </w:p>
    <w:p>
      <w:pPr>
        <w:spacing w:before="0" w:after="80" w:line="276" w:lineRule="auto"/>
        <w:jc w:val="both"/>
      </w:pPr>
      <w:r>
        <w:t>Market responses to fertility decline have developed across multiple sectors. The assisted reproduction industry has grown substantially, with the global IVF market reaching approximately $26 billion in 2023 and projected to grow at approximately 8-10% annually. Fertility preservation services, workplace fertility benefits, and sperm and egg banking represent expanding commercial sectors that commodify elements of the reproductive process. However, these market responses address the biological constraints on reproduction among individuals with strong preferences for parenthood, not the extensive margin failure among those who are unable to form partnerships or establish economically stable households. Markets efficiently supply goods to expressed demand; they cannot create demand where the underlying conditions for family formation are absent. This structural limitation suggests that market responses, however innovative, are insufficient substitutes for policy interventions addressing the structural economic drivers of fertility decline.</w:t>
      </w:r>
    </w:p>
    <w:p>
      <w:pPr>
        <w:pStyle w:val="Heading1"/>
        <w:spacing w:before="320" w:after="80"/>
      </w:pPr>
      <w:r>
        <w:rPr>
          <w:sz w:val="28"/>
        </w:rPr>
        <w:t>17 Conclusion</w:t>
      </w:r>
    </w:p>
    <w:p>
      <w:pPr>
        <w:spacing w:before="0" w:after="80" w:line="276" w:lineRule="auto"/>
        <w:jc w:val="both"/>
      </w:pPr>
      <w:r>
        <w:t>Five interconnected mechanisms drive fertility decline in advanced economies, and no single one is sufficient to explain the scale of what is being observed. First, partnership formation failure: fewer adults — particularly economically marginalised men — are entering the stable household arrangements that historically preceded childbearing. Second, structural economic barriers: the child cost explosion, the motherhood earnings penalty, housing unaffordability concentrated precisely in the early-to-mid twenties window when housing access most influences lifetime fertility, and the invisible double burden of sandwich caregiving. Third, biological degradation: sperm quality decline, obesity-driven hormonal disruption, and the biological consequences of delayed parenthood — real, worsening, but insufficient to explain the bulk of demographic change. Fourth, cultural displacement: secularisation, individualization, and a spreading pessimism about the kind of future available to the next generation. Fifth, neurochemical displacement: the progressive recalibration of the dopamine reward system by digital technology, making the quieter signals of romantic attraction and pair-bond formation harder to register against a chronically over-stimulated baseline.</w:t>
      </w:r>
    </w:p>
    <w:p>
      <w:pPr>
        <w:spacing w:before="0" w:after="80" w:line="276" w:lineRule="auto"/>
        <w:jc w:val="both"/>
      </w:pPr>
      <w:r>
        <w:t>One of the paper's most counterintuitive findings warrants explicit restatement: the education-fertility U-curve. The women least likely to have children in contemporary advanced economies are not the most or least educated — they are the middle tier: college-educated, earning £50,000–£100,000, maximally squeezed between opportunity costs too high to ignore and childcare costs too large to absorb. This is not a failure of ambition. It is a structural failure of the economic arrangements governing family formation in middle-income households.</w:t>
      </w:r>
    </w:p>
    <w:p>
      <w:pPr>
        <w:spacing w:before="0" w:after="80" w:line="276" w:lineRule="auto"/>
        <w:jc w:val="both"/>
      </w:pPr>
      <w:r>
        <w:t>The evidence assembled in this analysis points toward three plausible demographic futures for advanced economies. The first is continued decline: structural forces remain unaddressed, fertility stabilises in the 1.2–1.4 range across most high-income nations, and managed population contraction becomes the organising political challenge of the mid-twenty-first century. The second is adaptive stabilisation: advanced economies accept below-replacement fertility as a structural feature and adapt through immigration, automation, and pension system reform — maintaining labour force size and fiscal sustainability without addressing the underlying drivers of demographic decline. The third is structural recovery: coordinated intervention addressing housing affordability, childcare costs, male economic inclusion, and the upstream cultural and neurochemical conditions that make partnership formation and family formation viable — producing a modest recovery toward 1.7–1.9 TFR over one to two generations.</w:t>
      </w:r>
    </w:p>
    <w:p>
      <w:pPr>
        <w:spacing w:before="0" w:after="80" w:line="276" w:lineRule="auto"/>
        <w:jc w:val="both"/>
      </w:pPr>
      <w:r>
        <w:t>The third pathway is the most demanding and the least historically documented. There is no empirical record of a secular society recovering from below-replacement fertility for reasons other than war or famine and subsequently returning to stable growth without external migration (Lee 2003). Every intervention attempted has proven necessary and insufficient in isolation. The evidence assembled here suggests that fertility decline will not be reversed by financial transfers alone, nor by medical technology, nor by social media campaigns. It will require restoring the conditions under which young adults experience a future worth reproducing into. That is a harder problem than any subsidy. It is also the right one.</w:t>
      </w:r>
    </w:p>
    <w:p>
      <w:pPr>
        <w:pStyle w:val="Heading1"/>
        <w:spacing w:before="320" w:after="80"/>
      </w:pPr>
      <w:r>
        <w:rPr>
          <w:sz w:val="28"/>
        </w:rPr>
        <w:t>18 The Upstream Intervention: Conditions for Confident Family Formation</w:t>
      </w:r>
    </w:p>
    <w:p>
      <w:pPr>
        <w:spacing w:before="0" w:after="80" w:line="276" w:lineRule="auto"/>
        <w:jc w:val="both"/>
      </w:pPr>
      <w:r>
        <w:t>Every mechanism identified in this analysis converges on a common prerequisite: a young adult who feels genuinely purposeful, has a realistic path to financial security, is in the metabolic health that supports natural fecundity, carries a normal dopamine baseline that allows real-world romantic attraction to register as rewarding, and is meeting other single people in conditions that favour genuine human connection — without algorithmic mediation, parasocial substitution, or the hypercompetitive distortions of swipe-based partner selection.</w:t>
      </w:r>
    </w:p>
    <w:p>
      <w:pPr>
        <w:spacing w:before="0" w:after="80" w:line="276" w:lineRule="auto"/>
        <w:jc w:val="both"/>
      </w:pPr>
      <w:r>
        <w:t>No financial transfer creates purpose. No housing subsidy restores dopamine receptor sensitivity. No pronatalist campaign addresses sperm quality or metabolic health. No government programme can replicate the conditions of organic social mixing in which pair-bond formation has, throughout human history, occurred naturally.</w:t>
      </w:r>
    </w:p>
    <w:p>
      <w:pPr>
        <w:spacing w:before="0" w:after="80" w:line="276" w:lineRule="auto"/>
        <w:jc w:val="both"/>
      </w:pPr>
      <w:r>
        <w:t>The most powerful long-run intervention may also be the hardest to legislate. It is not a policy package — it is a set of upstream conditions whose presence makes family formation the natural outgrowth of a life well-lived, and whose absence no downstream financial incentive can adequately compensate for.</w:t>
      </w:r>
    </w:p>
    <w:p>
      <w:pPr>
        <w:spacing w:before="0" w:after="80" w:line="276" w:lineRule="auto"/>
        <w:jc w:val="both"/>
      </w:pPr>
      <w:r>
        <w:t>What the evidence points toward is a generation of young adults who are physically healthy, socially confident, economically grounded, and neurochemically capable of falling in love with a real person in a real room. The fertility crisis will not be resolved by making it cheaper to have children after those conditions have already been lost. It will only begin to turn when those conditions are restored before the question of children is ever asked.</w:t>
      </w:r>
    </w:p>
    <w:p>
      <w:pPr>
        <w:spacing w:before="0" w:after="80" w:line="276" w:lineRule="auto"/>
        <w:jc w:val="both"/>
      </w:pPr>
      <w:r>
        <w:t>That is a harder problem than any subsidy. It is also the right one.</w:t>
      </w:r>
    </w:p>
    <w:p>
      <w:pPr>
        <w:pStyle w:val="Heading1"/>
        <w:spacing w:before="320" w:after="80"/>
      </w:pPr>
      <w:r>
        <w:rPr>
          <w:sz w:val="28"/>
        </w:rPr>
        <w:t>19 References</w:t>
      </w:r>
    </w:p>
    <w:p>
      <w:pPr>
        <w:spacing w:before="0" w:after="80" w:line="276" w:lineRule="auto"/>
        <w:jc w:val="both"/>
      </w:pPr>
      <w:r>
        <w:t xml:space="preserve">Agarwal, Ashok, et al. 2021. "Male Infertility." </w:t>
      </w:r>
      <w:r>
        <w:rPr>
          <w:i/>
        </w:rPr>
        <w:t>The Lancet</w:t>
      </w:r>
      <w:r>
        <w:t xml:space="preserve"> 397 (10271): 319–333.</w:t>
      </w:r>
    </w:p>
    <w:p>
      <w:pPr>
        <w:spacing w:before="0" w:after="80" w:line="276" w:lineRule="auto"/>
        <w:jc w:val="both"/>
      </w:pPr>
      <w:r>
        <w:t xml:space="preserve">Becker, Gary S. 1960. "An Economic Analysis of Fertility." In </w:t>
      </w:r>
      <w:r>
        <w:rPr>
          <w:i/>
        </w:rPr>
        <w:t>Demographic and Economic Change in Developed Countries</w:t>
      </w:r>
      <w:r>
        <w:t>. Princeton: Princeton University Press.</w:t>
      </w:r>
    </w:p>
    <w:p>
      <w:pPr>
        <w:spacing w:before="0" w:after="80" w:line="276" w:lineRule="auto"/>
        <w:jc w:val="both"/>
      </w:pPr>
      <w:r>
        <w:t xml:space="preserve">Bhattacharjee, N.V., et al. 2024. "Global fertility in 204 countries and territories, 1950–2021, with forecasts to 2100." </w:t>
      </w:r>
      <w:r>
        <w:rPr>
          <w:i/>
        </w:rPr>
        <w:t>The Lancet</w:t>
      </w:r>
      <w:r>
        <w:t xml:space="preserve"> 403 (10440): 2057–2099.</w:t>
      </w:r>
    </w:p>
    <w:p>
      <w:pPr>
        <w:spacing w:before="0" w:after="80" w:line="276" w:lineRule="auto"/>
        <w:jc w:val="both"/>
      </w:pPr>
      <w:r>
        <w:t xml:space="preserve">Bongaarts, John, and Tomáš Sobotka. 2012. "A Demographic Explanation for the Recent Rise in European Fertility." </w:t>
      </w:r>
      <w:r>
        <w:rPr>
          <w:i/>
        </w:rPr>
        <w:t>Population and Development Review</w:t>
      </w:r>
      <w:r>
        <w:t xml:space="preserve"> 38 (1): 83–120.</w:t>
      </w:r>
    </w:p>
    <w:p>
      <w:pPr>
        <w:spacing w:before="0" w:after="80" w:line="276" w:lineRule="auto"/>
        <w:jc w:val="both"/>
      </w:pPr>
      <w:r>
        <w:t>Bratsberg, Bernt, Andreas Kotsadam, and Sebastian Walther. 2021. "Male Childlessness and Economic Marginalization." IZA Discussion Paper No. 14506.</w:t>
      </w:r>
    </w:p>
    <w:p>
      <w:pPr>
        <w:spacing w:before="0" w:after="80" w:line="276" w:lineRule="auto"/>
        <w:jc w:val="both"/>
      </w:pPr>
      <w:r>
        <w:t xml:space="preserve">Caldwell, John C. 1976. "Toward a Restatement of Demographic Transition Theory." </w:t>
      </w:r>
      <w:r>
        <w:rPr>
          <w:i/>
        </w:rPr>
        <w:t>Population and Development Review</w:t>
      </w:r>
      <w:r>
        <w:t xml:space="preserve"> 2 (3/4): 321–366.</w:t>
      </w:r>
    </w:p>
    <w:p>
      <w:pPr>
        <w:spacing w:before="0" w:after="80" w:line="276" w:lineRule="auto"/>
        <w:jc w:val="both"/>
      </w:pPr>
      <w:r>
        <w:t>Caregiving in the US. 2025. National Alliance for Caregiving and AARP.</w:t>
      </w:r>
    </w:p>
    <w:p>
      <w:pPr>
        <w:spacing w:before="0" w:after="80" w:line="276" w:lineRule="auto"/>
        <w:jc w:val="both"/>
      </w:pPr>
      <w:r>
        <w:t xml:space="preserve">Centers for Disease Control and Prevention. 2024. </w:t>
      </w:r>
      <w:r>
        <w:rPr>
          <w:i/>
        </w:rPr>
        <w:t>Adult Obesity Facts</w:t>
      </w:r>
      <w:r>
        <w:t>. Atlanta: CDC.</w:t>
      </w:r>
    </w:p>
    <w:p>
      <w:pPr>
        <w:spacing w:before="0" w:after="80" w:line="276" w:lineRule="auto"/>
        <w:jc w:val="both"/>
      </w:pPr>
      <w:r>
        <w:t xml:space="preserve">Dettling, Lisa J., and Melissa S. Kearney. 2014. "House Prices and Birth Rates: The Impact of the Real Estate Market on the Decision to Have a Baby." </w:t>
      </w:r>
      <w:r>
        <w:rPr>
          <w:i/>
        </w:rPr>
        <w:t>Journal of Public Economics</w:t>
      </w:r>
      <w:r>
        <w:t xml:space="preserve"> 110: 82–97.</w:t>
      </w:r>
    </w:p>
    <w:p>
      <w:pPr>
        <w:spacing w:before="0" w:after="80" w:line="276" w:lineRule="auto"/>
        <w:jc w:val="both"/>
      </w:pPr>
      <w:r>
        <w:t xml:space="preserve">Doepke, Matthias, and Fabian Kindermann. 2022. "Bargaining over Babies: Theory, Evidence, and Policy Implications." </w:t>
      </w:r>
      <w:r>
        <w:rPr>
          <w:i/>
        </w:rPr>
        <w:t>American Economic Review</w:t>
      </w:r>
      <w:r>
        <w:t xml:space="preserve"> 109 (9): 3264–3306.</w:t>
      </w:r>
    </w:p>
    <w:p>
      <w:pPr>
        <w:spacing w:before="0" w:after="80" w:line="276" w:lineRule="auto"/>
        <w:jc w:val="both"/>
      </w:pPr>
      <w:r>
        <w:t xml:space="preserve">Götmark, Frank, and Malte Andersson. 2020. "Human fertility in relation to education, economy, religion, contraception, and family planning programs." </w:t>
      </w:r>
      <w:r>
        <w:rPr>
          <w:i/>
        </w:rPr>
        <w:t>BMC Public Health</w:t>
      </w:r>
      <w:r>
        <w:t xml:space="preserve"> 20: 265.</w:t>
      </w:r>
    </w:p>
    <w:p>
      <w:pPr>
        <w:spacing w:before="0" w:after="80" w:line="276" w:lineRule="auto"/>
        <w:jc w:val="both"/>
      </w:pPr>
      <w:r>
        <w:t xml:space="preserve">Hadley, Robin. 2017. </w:t>
      </w:r>
      <w:r>
        <w:rPr>
          <w:i/>
        </w:rPr>
        <w:t>How Is a Man Supposed to Feel? Exploring Childlessness and Masculinity</w:t>
      </w:r>
      <w:r>
        <w:t>. Manchester: Manchester University Press.</w:t>
      </w:r>
    </w:p>
    <w:p>
      <w:pPr>
        <w:spacing w:before="0" w:after="80" w:line="276" w:lineRule="auto"/>
        <w:jc w:val="both"/>
      </w:pPr>
      <w:r>
        <w:t xml:space="preserve">Hadley, Robin, and Tony Hanley. 2010. "Involuntarily childless men and the desire for fatherhood." </w:t>
      </w:r>
      <w:r>
        <w:rPr>
          <w:i/>
        </w:rPr>
        <w:t>Journal of Reproductive and Infant Psychology</w:t>
      </w:r>
      <w:r>
        <w:t xml:space="preserve"> 29 (1): 56–68.</w:t>
      </w:r>
    </w:p>
    <w:p>
      <w:pPr>
        <w:spacing w:before="0" w:after="80" w:line="276" w:lineRule="auto"/>
        <w:jc w:val="both"/>
      </w:pPr>
      <w:r>
        <w:t xml:space="preserve">Hazan, Moshe, and Hosny Zoabi. 2015. "Do Highly Educated Women Choose Smaller Families?" </w:t>
      </w:r>
      <w:r>
        <w:rPr>
          <w:i/>
        </w:rPr>
        <w:t>The Economic Journal</w:t>
      </w:r>
      <w:r>
        <w:t xml:space="preserve"> 125 (587): 1191–1226.</w:t>
      </w:r>
    </w:p>
    <w:p>
      <w:pPr>
        <w:spacing w:before="0" w:after="80" w:line="276" w:lineRule="auto"/>
        <w:jc w:val="both"/>
      </w:pPr>
      <w:r>
        <w:t xml:space="preserve">Hazan, Moshe, David Weiss, and Hosny Zoabi. 2023. "Women's Liberation as a Financial Innovation." </w:t>
      </w:r>
      <w:r>
        <w:rPr>
          <w:i/>
        </w:rPr>
        <w:t>Journal of Finance</w:t>
      </w:r>
      <w:r>
        <w:t xml:space="preserve"> 78 (3): 1735–1779.</w:t>
      </w:r>
    </w:p>
    <w:p>
      <w:pPr>
        <w:spacing w:before="0" w:after="80" w:line="276" w:lineRule="auto"/>
        <w:jc w:val="both"/>
      </w:pPr>
      <w:r>
        <w:t xml:space="preserve">Herre, Cynthia, et al. 2020. "Marriage Rates in the United States, 1900–2018." </w:t>
      </w:r>
      <w:r>
        <w:rPr>
          <w:i/>
        </w:rPr>
        <w:t>National Center for Health Statistics Data Brief</w:t>
      </w:r>
      <w:r>
        <w:t xml:space="preserve"> 371.</w:t>
      </w:r>
    </w:p>
    <w:p>
      <w:pPr>
        <w:spacing w:before="0" w:after="80" w:line="276" w:lineRule="auto"/>
        <w:jc w:val="both"/>
      </w:pPr>
      <w:r>
        <w:t xml:space="preserve">Institute for Family Studies. 2024. </w:t>
      </w:r>
      <w:r>
        <w:rPr>
          <w:i/>
        </w:rPr>
        <w:t>Single-Income Families in America</w:t>
      </w:r>
      <w:r>
        <w:t>. Charlottesville: IFS.</w:t>
      </w:r>
    </w:p>
    <w:p>
      <w:pPr>
        <w:spacing w:before="0" w:after="80" w:line="276" w:lineRule="auto"/>
        <w:jc w:val="both"/>
      </w:pPr>
      <w:r>
        <w:t xml:space="preserve">Johnson, Kenneth M. 2024. </w:t>
      </w:r>
      <w:r>
        <w:rPr>
          <w:i/>
        </w:rPr>
        <w:t>The Missing Babies: Fertility Decline in the United States</w:t>
      </w:r>
      <w:r>
        <w:t>. Durham: Carsey School of Public Policy.</w:t>
      </w:r>
    </w:p>
    <w:p>
      <w:pPr>
        <w:spacing w:before="0" w:after="80" w:line="276" w:lineRule="auto"/>
        <w:jc w:val="both"/>
      </w:pPr>
      <w:r>
        <w:t xml:space="preserve">Kleven, Henrik, Camille Landais, and Jakob Egholt Søgaard. 2019. "Children and Gender Inequality: Evidence from Denmark." </w:t>
      </w:r>
      <w:r>
        <w:rPr>
          <w:i/>
        </w:rPr>
        <w:t>American Economic Journal: Applied Economics</w:t>
      </w:r>
      <w:r>
        <w:t xml:space="preserve"> 11 (4): 181–209.</w:t>
      </w:r>
    </w:p>
    <w:p>
      <w:pPr>
        <w:spacing w:before="0" w:after="80" w:line="276" w:lineRule="auto"/>
        <w:jc w:val="both"/>
      </w:pPr>
      <w:r>
        <w:t xml:space="preserve">Kravdal, Øystein. 2021. "The increasing childlessness among Norwegian men." </w:t>
      </w:r>
      <w:r>
        <w:rPr>
          <w:i/>
        </w:rPr>
        <w:t>Demographic Research</w:t>
      </w:r>
      <w:r>
        <w:t xml:space="preserve"> 44: 1209–1244.</w:t>
      </w:r>
    </w:p>
    <w:p>
      <w:pPr>
        <w:spacing w:before="0" w:after="80" w:line="276" w:lineRule="auto"/>
        <w:jc w:val="both"/>
      </w:pPr>
      <w:r>
        <w:t xml:space="preserve">Lareau, Annette. 2003. </w:t>
      </w:r>
      <w:r>
        <w:rPr>
          <w:i/>
        </w:rPr>
        <w:t>Unequal Childhoods: Class, Race, and Family Life</w:t>
      </w:r>
      <w:r>
        <w:t>. Berkeley: University of California Press.</w:t>
      </w:r>
    </w:p>
    <w:p>
      <w:pPr>
        <w:spacing w:before="0" w:after="80" w:line="276" w:lineRule="auto"/>
        <w:jc w:val="both"/>
      </w:pPr>
      <w:r>
        <w:t xml:space="preserve">Lee, Ronald. 2003. "The Demographic Transition: Three Centuries of Fundamental Change." </w:t>
      </w:r>
      <w:r>
        <w:rPr>
          <w:i/>
        </w:rPr>
        <w:t>Journal of Economic Perspectives</w:t>
      </w:r>
      <w:r>
        <w:t xml:space="preserve"> 17 (4): 167–190.</w:t>
      </w:r>
    </w:p>
    <w:p>
      <w:pPr>
        <w:spacing w:before="0" w:after="80" w:line="276" w:lineRule="auto"/>
        <w:jc w:val="both"/>
      </w:pPr>
      <w:r>
        <w:t xml:space="preserve">Lesthaeghe, Ron. 2010. "The Unfolding Story of the Second Demographic Transition." </w:t>
      </w:r>
      <w:r>
        <w:rPr>
          <w:i/>
        </w:rPr>
        <w:t>Population and Development Review</w:t>
      </w:r>
      <w:r>
        <w:t xml:space="preserve"> 36 (2): 211–251.</w:t>
      </w:r>
    </w:p>
    <w:p>
      <w:pPr>
        <w:spacing w:before="0" w:after="80" w:line="276" w:lineRule="auto"/>
        <w:jc w:val="both"/>
      </w:pPr>
      <w:r>
        <w:t xml:space="preserve">Levine, Hagai, et al. 2017. "Temporal trends in sperm count: a systematic review and meta-regression analysis." </w:t>
      </w:r>
      <w:r>
        <w:rPr>
          <w:i/>
        </w:rPr>
        <w:t>Human Reproduction Update</w:t>
      </w:r>
      <w:r>
        <w:t xml:space="preserve"> 23 (6): 646–659.</w:t>
      </w:r>
    </w:p>
    <w:p>
      <w:pPr>
        <w:spacing w:before="0" w:after="80" w:line="276" w:lineRule="auto"/>
        <w:jc w:val="both"/>
      </w:pPr>
      <w:r>
        <w:t xml:space="preserve">Levine, Hagai, et al. 2022. "Temporal trends in sperm count: a systematic review and meta-regression analysis of samples collected globally in the 20th and 21st centuries." </w:t>
      </w:r>
      <w:r>
        <w:rPr>
          <w:i/>
        </w:rPr>
        <w:t>Human Reproduction Update</w:t>
      </w:r>
      <w:r>
        <w:t xml:space="preserve"> 29 (2): 157–176.</w:t>
      </w:r>
    </w:p>
    <w:p>
      <w:pPr>
        <w:spacing w:before="0" w:after="80" w:line="276" w:lineRule="auto"/>
        <w:jc w:val="both"/>
      </w:pPr>
      <w:r>
        <w:t xml:space="preserve">Lundberg, Shelly, and Elaina Rose. 2000. "Parenthood and the Earnings of Married Men and Women." </w:t>
      </w:r>
      <w:r>
        <w:rPr>
          <w:i/>
        </w:rPr>
        <w:t>Labour Economics</w:t>
      </w:r>
      <w:r>
        <w:t xml:space="preserve"> 7 (6): 689–710.</w:t>
      </w:r>
    </w:p>
    <w:p>
      <w:pPr>
        <w:spacing w:before="0" w:after="80" w:line="276" w:lineRule="auto"/>
        <w:jc w:val="both"/>
      </w:pPr>
      <w:r>
        <w:t xml:space="preserve">McKinsey Global Institute. 2024. </w:t>
      </w:r>
      <w:r>
        <w:rPr>
          <w:i/>
        </w:rPr>
        <w:t>The Demographic Dividend: Implications of Global Population Trends</w:t>
      </w:r>
      <w:r>
        <w:t>. New York: McKinsey.</w:t>
      </w:r>
    </w:p>
    <w:p>
      <w:pPr>
        <w:spacing w:before="0" w:after="80" w:line="276" w:lineRule="auto"/>
        <w:jc w:val="both"/>
      </w:pPr>
      <w:r>
        <w:t xml:space="preserve">Miettinen, Anneli, Anna Rotkirch, and Illóna Szalma. 2015. "Increasing childlessness in Europe: time trends and country differences." </w:t>
      </w:r>
      <w:r>
        <w:rPr>
          <w:i/>
        </w:rPr>
        <w:t>Families and Societies Working Paper</w:t>
      </w:r>
      <w:r>
        <w:t xml:space="preserve"> 33.</w:t>
      </w:r>
    </w:p>
    <w:p>
      <w:pPr>
        <w:spacing w:before="0" w:after="80" w:line="276" w:lineRule="auto"/>
        <w:jc w:val="both"/>
      </w:pPr>
      <w:r>
        <w:t xml:space="preserve">National Center for Health Statistics. 2021. </w:t>
      </w:r>
      <w:r>
        <w:rPr>
          <w:i/>
        </w:rPr>
        <w:t>National Survey of Family Growth</w:t>
      </w:r>
      <w:r>
        <w:t>. Hyattsville: CDC/NCHS.</w:t>
      </w:r>
    </w:p>
    <w:p>
      <w:pPr>
        <w:spacing w:before="0" w:after="80" w:line="276" w:lineRule="auto"/>
        <w:jc w:val="both"/>
      </w:pPr>
      <w:r>
        <w:t xml:space="preserve">Population Reference Bureau. 2024. </w:t>
      </w:r>
      <w:r>
        <w:rPr>
          <w:i/>
        </w:rPr>
        <w:t>Aging in the United States</w:t>
      </w:r>
      <w:r>
        <w:t>. Washington DC: PRB.</w:t>
      </w:r>
    </w:p>
    <w:p>
      <w:pPr>
        <w:spacing w:before="0" w:after="80" w:line="276" w:lineRule="auto"/>
        <w:jc w:val="both"/>
      </w:pPr>
      <w:r>
        <w:t xml:space="preserve">Ramey, Garey, and Valerie A. Ramey. 2010. "The Rug Rat Race." </w:t>
      </w:r>
      <w:r>
        <w:rPr>
          <w:i/>
        </w:rPr>
        <w:t>Brookings Papers on Economic Activity</w:t>
      </w:r>
      <w:r>
        <w:t xml:space="preserve"> 2010 (1): 129–176.</w:t>
      </w:r>
    </w:p>
    <w:p>
      <w:pPr>
        <w:spacing w:before="0" w:after="80" w:line="276" w:lineRule="auto"/>
        <w:jc w:val="both"/>
      </w:pPr>
      <w:r>
        <w:t xml:space="preserve">Raymo, James M., et al. 2015. "Marriage and Family in East Asia: Continuity and Change." </w:t>
      </w:r>
      <w:r>
        <w:rPr>
          <w:i/>
        </w:rPr>
        <w:t>Annual Review of Sociology</w:t>
      </w:r>
      <w:r>
        <w:t xml:space="preserve"> 41: 471–492.</w:t>
      </w:r>
    </w:p>
    <w:p>
      <w:pPr>
        <w:spacing w:before="0" w:after="80" w:line="276" w:lineRule="auto"/>
        <w:jc w:val="both"/>
      </w:pPr>
      <w:r>
        <w:t xml:space="preserve">Sobotka, Tomáš, and Éva Beaujouan. 2018. "Late Motherhood in Low-Fertility Countries: Reproductive Intentions, Trends and Consequences." In </w:t>
      </w:r>
      <w:r>
        <w:rPr>
          <w:i/>
        </w:rPr>
        <w:t>Preventing Age Related Fertility Loss</w:t>
      </w:r>
      <w:r>
        <w:t>, edited by Dominique de Ziegler. Cham: Springer.</w:t>
      </w:r>
    </w:p>
    <w:p>
      <w:pPr>
        <w:spacing w:before="0" w:after="80" w:line="276" w:lineRule="auto"/>
        <w:jc w:val="both"/>
      </w:pPr>
      <w:r>
        <w:t xml:space="preserve">Szabó, László. 2024. "Hungary's Pronatalist Policies: An Assessment." </w:t>
      </w:r>
      <w:r>
        <w:rPr>
          <w:i/>
        </w:rPr>
        <w:t>Population Studies</w:t>
      </w:r>
      <w:r>
        <w:t xml:space="preserve"> 78 (1): 45–62.</w:t>
      </w:r>
    </w:p>
    <w:p>
      <w:pPr>
        <w:spacing w:before="0" w:after="80" w:line="276" w:lineRule="auto"/>
        <w:jc w:val="both"/>
      </w:pPr>
      <w:r>
        <w:t xml:space="preserve">United Nations. 2024. </w:t>
      </w:r>
      <w:r>
        <w:rPr>
          <w:i/>
        </w:rPr>
        <w:t>World Population Prospects 2024</w:t>
      </w:r>
      <w:r>
        <w:t>. New York: United Nations Department of Economic and Social Affairs.</w:t>
      </w:r>
    </w:p>
    <w:p>
      <w:pPr>
        <w:spacing w:before="0" w:after="80" w:line="276" w:lineRule="auto"/>
        <w:jc w:val="both"/>
      </w:pPr>
      <w:r>
        <w:t xml:space="preserve">USDA. 2023. </w:t>
      </w:r>
      <w:r>
        <w:rPr>
          <w:i/>
        </w:rPr>
        <w:t>Expenditures on Children by Families</w:t>
      </w:r>
      <w:r>
        <w:t>. Washington DC: US Department of Agriculture.</w:t>
      </w:r>
    </w:p>
    <w:p>
      <w:pPr>
        <w:spacing w:before="0" w:after="80" w:line="276" w:lineRule="auto"/>
        <w:jc w:val="both"/>
      </w:pPr>
      <w:r>
        <w:t>van Doornik, Jacob, et al. 2024. "Housing Access and Fertility: Evidence from a Brazilian Lottery." Working Paper.</w:t>
      </w:r>
    </w:p>
    <w:p>
      <w:pPr>
        <w:spacing w:before="0" w:after="80" w:line="276" w:lineRule="auto"/>
        <w:jc w:val="both"/>
      </w:pPr>
      <w:r>
        <w:t xml:space="preserve">World Bank. n.d. </w:t>
      </w:r>
      <w:r>
        <w:rPr>
          <w:i/>
        </w:rPr>
        <w:t>Fertility Rate, Total (Births per Woman)</w:t>
      </w:r>
      <w:r>
        <w:t>. Washington DC: World Bank Open Data.</w:t>
      </w:r>
    </w:p>
    <w:p>
      <w:pPr>
        <w:spacing w:before="0" w:after="80" w:line="276" w:lineRule="auto"/>
        <w:jc w:val="both"/>
      </w:pPr>
      <w:r>
        <w:t xml:space="preserve">Zeman, Kryštof, Éva Beaujouan, and Tomáš Sobotka. 2018. "Cohort fertility decline in low fertility countries: Decomposition using parity progression ratios." </w:t>
      </w:r>
      <w:r>
        <w:rPr>
          <w:i/>
        </w:rPr>
        <w:t>Demographic Research</w:t>
      </w:r>
      <w:r>
        <w:t xml:space="preserve"> 38: 651–690.</w:t>
      </w:r>
    </w:p>
    <w:p>
      <w:pPr>
        <w:pStyle w:val="Heading1"/>
        <w:spacing w:before="320" w:after="80"/>
      </w:pPr>
      <w:r>
        <w:rPr>
          <w:sz w:val="28"/>
        </w:rPr>
        <w:t>20 References</w:t>
      </w:r>
    </w:p>
    <w:p>
      <w:pPr>
        <w:spacing w:before="0" w:after="80" w:line="276" w:lineRule="auto"/>
        <w:jc w:val="both"/>
      </w:pPr>
      <w:r>
        <w:t xml:space="preserve">Bartlett, S., &amp; Williamson, C. (2026). </w:t>
      </w:r>
      <w:r>
        <w:rPr>
          <w:i/>
        </w:rPr>
        <w:t>The Diary of a CEO</w:t>
      </w:r>
      <w:r>
        <w:t xml:space="preserve"> [Podcast episode, January 2026]. Diary of a CEO.</w:t>
      </w:r>
    </w:p>
    <w:p>
      <w:pPr>
        <w:spacing w:before="0" w:after="80" w:line="276" w:lineRule="auto"/>
        <w:jc w:val="both"/>
      </w:pPr>
      <w:r>
        <w:t xml:space="preserve">Becker, G. S. (1960). An economic analysis of fertility. In </w:t>
      </w:r>
      <w:r>
        <w:rPr>
          <w:i/>
        </w:rPr>
        <w:t>Demographic and economic change in developed countries</w:t>
      </w:r>
      <w:r>
        <w:t xml:space="preserve"> (pp. 209-240). Columbia University Press.</w:t>
      </w:r>
    </w:p>
    <w:p>
      <w:pPr>
        <w:spacing w:before="0" w:after="80" w:line="276" w:lineRule="auto"/>
        <w:jc w:val="both"/>
      </w:pPr>
      <w:r>
        <w:t xml:space="preserve">Bhattacharjee, N., et al. (2024). Global fertility in 204 countries and territories, 1950-2021, with forecasts to 2100. </w:t>
      </w:r>
      <w:r>
        <w:rPr>
          <w:i/>
        </w:rPr>
        <w:t>The Lancet</w:t>
      </w:r>
      <w:r>
        <w:t>, 403(10440), 2057-2099.</w:t>
      </w:r>
    </w:p>
    <w:p>
      <w:pPr>
        <w:spacing w:before="0" w:after="80" w:line="276" w:lineRule="auto"/>
        <w:jc w:val="both"/>
      </w:pPr>
      <w:r>
        <w:t xml:space="preserve">Bongaarts, J., &amp; Sobotka, T. (2012). A demographic explanation for the recent rise in European fertility. </w:t>
      </w:r>
      <w:r>
        <w:rPr>
          <w:i/>
        </w:rPr>
        <w:t>Population and Development Review</w:t>
      </w:r>
      <w:r>
        <w:t>, 38(1), 83-120.</w:t>
      </w:r>
    </w:p>
    <w:p>
      <w:pPr>
        <w:spacing w:before="0" w:after="80" w:line="276" w:lineRule="auto"/>
        <w:jc w:val="both"/>
      </w:pPr>
      <w:r>
        <w:t xml:space="preserve">Bratsberg, B., Kotsadam, A., &amp; Walther, S. (2021). Male fertility: Facts, distribution and drivers of inequality. </w:t>
      </w:r>
      <w:r>
        <w:rPr>
          <w:i/>
        </w:rPr>
        <w:t>IZA Discussion Paper No. 14506</w:t>
      </w:r>
      <w:r>
        <w:t>. Institute of Labor Economics.</w:t>
      </w:r>
    </w:p>
    <w:p>
      <w:pPr>
        <w:spacing w:before="0" w:after="80" w:line="276" w:lineRule="auto"/>
        <w:jc w:val="both"/>
      </w:pPr>
      <w:r>
        <w:t xml:space="preserve">Caldwell, J. C. (1976). Toward a restatement of demographic transition theory. </w:t>
      </w:r>
      <w:r>
        <w:rPr>
          <w:i/>
        </w:rPr>
        <w:t>Population and Development Review</w:t>
      </w:r>
      <w:r>
        <w:t>, 2(3/4), 321-366.</w:t>
      </w:r>
    </w:p>
    <w:p>
      <w:pPr>
        <w:spacing w:before="0" w:after="80" w:line="276" w:lineRule="auto"/>
        <w:jc w:val="both"/>
      </w:pPr>
      <w:r>
        <w:t>Caregiving in the US. (2025). National Alliance for Caregiving and AARP.</w:t>
      </w:r>
    </w:p>
    <w:p>
      <w:pPr>
        <w:spacing w:before="0" w:after="80" w:line="276" w:lineRule="auto"/>
        <w:jc w:val="both"/>
      </w:pPr>
      <w:r>
        <w:t xml:space="preserve">Centers for Disease Control and Prevention. (2024). </w:t>
      </w:r>
      <w:r>
        <w:rPr>
          <w:i/>
        </w:rPr>
        <w:t>Adult obesity facts</w:t>
      </w:r>
      <w:r>
        <w:t>. U.S. Department of Health and Human Services.</w:t>
      </w:r>
    </w:p>
    <w:p>
      <w:pPr>
        <w:spacing w:before="0" w:after="80" w:line="276" w:lineRule="auto"/>
        <w:jc w:val="both"/>
      </w:pPr>
      <w:r>
        <w:t xml:space="preserve">Dettling, L. J., &amp; Kearney, M. S. (2014). House prices and birth rates: The impact of the real estate market on the decision to have a baby. </w:t>
      </w:r>
      <w:r>
        <w:rPr>
          <w:i/>
        </w:rPr>
        <w:t>Journal of Public Economics</w:t>
      </w:r>
      <w:r>
        <w:t>, 110, 82-100.</w:t>
      </w:r>
    </w:p>
    <w:p>
      <w:pPr>
        <w:spacing w:before="0" w:after="80" w:line="276" w:lineRule="auto"/>
        <w:jc w:val="both"/>
      </w:pPr>
      <w:r>
        <w:t xml:space="preserve">Doepke, M., &amp; Kindermann, F. (2022). Bargaining over babies: Theory, evidence, and policy implications. </w:t>
      </w:r>
      <w:r>
        <w:rPr>
          <w:i/>
        </w:rPr>
        <w:t>American Economic Review</w:t>
      </w:r>
      <w:r>
        <w:t>, 109(9), 3264-3306.</w:t>
      </w:r>
    </w:p>
    <w:p>
      <w:pPr>
        <w:spacing w:before="0" w:after="80" w:line="276" w:lineRule="auto"/>
        <w:jc w:val="both"/>
      </w:pPr>
      <w:r>
        <w:t xml:space="preserve">Gauthier, A. H. (2007). The impact of family policies on fertility in industrialized countries: A review of the literature. </w:t>
      </w:r>
      <w:r>
        <w:rPr>
          <w:i/>
        </w:rPr>
        <w:t>Population Research and Policy Review</w:t>
      </w:r>
      <w:r>
        <w:t>, 26(3), 323-346.</w:t>
      </w:r>
    </w:p>
    <w:p>
      <w:pPr>
        <w:spacing w:before="0" w:after="80" w:line="276" w:lineRule="auto"/>
        <w:jc w:val="both"/>
      </w:pPr>
      <w:r>
        <w:t xml:space="preserve">Grazia. (2026). </w:t>
      </w:r>
      <w:r>
        <w:rPr>
          <w:i/>
        </w:rPr>
        <w:t>The Diary of a CEO controversy: What was said and why it matters</w:t>
      </w:r>
      <w:r>
        <w:t>. Grazia Magazine.</w:t>
      </w:r>
    </w:p>
    <w:p>
      <w:pPr>
        <w:spacing w:before="0" w:after="80" w:line="276" w:lineRule="auto"/>
        <w:jc w:val="both"/>
      </w:pPr>
      <w:r>
        <w:t xml:space="preserve">Hadley, R. (2017). 'I'm missing out and I think I have something to give': Working with older people experiencing involuntary childlessness. </w:t>
      </w:r>
      <w:r>
        <w:rPr>
          <w:i/>
        </w:rPr>
        <w:t>Working with Older People</w:t>
      </w:r>
      <w:r>
        <w:t>, 21(3), 172-179.</w:t>
      </w:r>
    </w:p>
    <w:p>
      <w:pPr>
        <w:spacing w:before="0" w:after="80" w:line="276" w:lineRule="auto"/>
        <w:jc w:val="both"/>
      </w:pPr>
      <w:r>
        <w:t xml:space="preserve">Hadley, R., &amp; Hanley, T. (2010). Involuntarily childless men and the desire for fatherhood. </w:t>
      </w:r>
      <w:r>
        <w:rPr>
          <w:i/>
        </w:rPr>
        <w:t>Journal of Reproductive and Infant Psychology</w:t>
      </w:r>
      <w:r>
        <w:t>, 29(1), 56-68.</w:t>
      </w:r>
    </w:p>
    <w:p>
      <w:pPr>
        <w:spacing w:before="0" w:after="80" w:line="276" w:lineRule="auto"/>
        <w:jc w:val="both"/>
      </w:pPr>
      <w:r>
        <w:t xml:space="preserve">Hammarberg, K., Kirkman, M., Pritchard, N., Hickey, M., Peate, M., McBain, J., ... &amp; Fisher, J. (2017). Reproductive experiences of women who cryopreserved oocytes for non-medical reasons. </w:t>
      </w:r>
      <w:r>
        <w:rPr>
          <w:i/>
        </w:rPr>
        <w:t>Human Reproduction</w:t>
      </w:r>
      <w:r>
        <w:t>, 32(3), 575-581.</w:t>
      </w:r>
    </w:p>
    <w:p>
      <w:pPr>
        <w:spacing w:before="0" w:after="80" w:line="276" w:lineRule="auto"/>
        <w:jc w:val="both"/>
      </w:pPr>
      <w:r>
        <w:t xml:space="preserve">Hazan, M., &amp; Zoabi, H. (2015). Do highly educated women choose smaller families? </w:t>
      </w:r>
      <w:r>
        <w:rPr>
          <w:i/>
        </w:rPr>
        <w:t>The Economic Journal</w:t>
      </w:r>
      <w:r>
        <w:t>, 125(587), 1191-1226.</w:t>
      </w:r>
    </w:p>
    <w:p>
      <w:pPr>
        <w:spacing w:before="0" w:after="80" w:line="276" w:lineRule="auto"/>
        <w:jc w:val="both"/>
      </w:pPr>
      <w:r>
        <w:t xml:space="preserve">Hazan, M., Weiss, D., &amp; Zoabi, H. (2023). Highly educated women are no longer childless. </w:t>
      </w:r>
      <w:r>
        <w:rPr>
          <w:i/>
        </w:rPr>
        <w:t>IZA Discussion Paper No. 16280</w:t>
      </w:r>
      <w:r>
        <w:t>.</w:t>
      </w:r>
    </w:p>
    <w:p>
      <w:pPr>
        <w:spacing w:before="0" w:after="80" w:line="276" w:lineRule="auto"/>
        <w:jc w:val="both"/>
      </w:pPr>
      <w:r>
        <w:t xml:space="preserve">Herre, J., et al. (2020). Marriage and divorce: Rates, trends, and new research. </w:t>
      </w:r>
      <w:r>
        <w:rPr>
          <w:i/>
        </w:rPr>
        <w:t>Our World in Data</w:t>
      </w:r>
      <w:r>
        <w:t>.</w:t>
      </w:r>
    </w:p>
    <w:p>
      <w:pPr>
        <w:spacing w:before="0" w:after="80" w:line="276" w:lineRule="auto"/>
        <w:jc w:val="both"/>
      </w:pPr>
      <w:r>
        <w:t xml:space="preserve">Institute for Family Studies. (2024). </w:t>
      </w:r>
      <w:r>
        <w:rPr>
          <w:i/>
        </w:rPr>
        <w:t>The breadwinner gap: Can American families survive on one income?</w:t>
      </w:r>
      <w:r>
        <w:t xml:space="preserve"> IFS.</w:t>
      </w:r>
    </w:p>
    <w:p>
      <w:pPr>
        <w:spacing w:before="0" w:after="80" w:line="276" w:lineRule="auto"/>
        <w:jc w:val="both"/>
      </w:pPr>
      <w:r>
        <w:t xml:space="preserve">Johnson, K. M. (2024). </w:t>
      </w:r>
      <w:r>
        <w:rPr>
          <w:i/>
        </w:rPr>
        <w:t>The childlessness surge: 5.7 million missing births in the United States</w:t>
      </w:r>
      <w:r>
        <w:t>. University of New Hampshire Carsey School of Public Policy.</w:t>
      </w:r>
    </w:p>
    <w:p>
      <w:pPr>
        <w:spacing w:before="0" w:after="80" w:line="276" w:lineRule="auto"/>
        <w:jc w:val="both"/>
      </w:pPr>
      <w:r>
        <w:t xml:space="preserve">Kleven, H., Landais, C., &amp; Søgaard, J. E. (2019). Children and gender inequality: Evidence from Denmark. </w:t>
      </w:r>
      <w:r>
        <w:rPr>
          <w:i/>
        </w:rPr>
        <w:t>American Economic Journal: Applied Economics</w:t>
      </w:r>
      <w:r>
        <w:t>, 11(4), 181-209.</w:t>
      </w:r>
    </w:p>
    <w:p>
      <w:pPr>
        <w:spacing w:before="0" w:after="80" w:line="276" w:lineRule="auto"/>
        <w:jc w:val="both"/>
      </w:pPr>
      <w:r>
        <w:t xml:space="preserve">Kravdal, Ø. (2021). Sex differences in childlessness in Norway. </w:t>
      </w:r>
      <w:r>
        <w:rPr>
          <w:i/>
        </w:rPr>
        <w:t>Demographic Research</w:t>
      </w:r>
      <w:r>
        <w:t>, 44, 1-32.</w:t>
      </w:r>
    </w:p>
    <w:p>
      <w:pPr>
        <w:spacing w:before="0" w:after="80" w:line="276" w:lineRule="auto"/>
        <w:jc w:val="both"/>
      </w:pPr>
      <w:r>
        <w:t xml:space="preserve">Lareau, A. (2003). </w:t>
      </w:r>
      <w:r>
        <w:rPr>
          <w:i/>
        </w:rPr>
        <w:t>Unequal childhoods: Class, race, and family life</w:t>
      </w:r>
      <w:r>
        <w:t>. University of California Press.</w:t>
      </w:r>
    </w:p>
    <w:p>
      <w:pPr>
        <w:spacing w:before="0" w:after="80" w:line="276" w:lineRule="auto"/>
        <w:jc w:val="both"/>
      </w:pPr>
      <w:r>
        <w:t xml:space="preserve">Lee, R. (2003). The demographic transition: Three centuries of fundamental change. </w:t>
      </w:r>
      <w:r>
        <w:rPr>
          <w:i/>
        </w:rPr>
        <w:t>Journal of Economic Perspectives</w:t>
      </w:r>
      <w:r>
        <w:t>, 17(4), 167-190.</w:t>
      </w:r>
    </w:p>
    <w:p>
      <w:pPr>
        <w:spacing w:before="0" w:after="80" w:line="276" w:lineRule="auto"/>
        <w:jc w:val="both"/>
      </w:pPr>
      <w:r>
        <w:t xml:space="preserve">Levine, H., et al. (2017). Temporal trends in sperm count: A systematic review and meta-regression analysis. </w:t>
      </w:r>
      <w:r>
        <w:rPr>
          <w:i/>
        </w:rPr>
        <w:t>Human Reproduction Update</w:t>
      </w:r>
      <w:r>
        <w:t>, 23(6), 646-659.</w:t>
      </w:r>
    </w:p>
    <w:p>
      <w:pPr>
        <w:spacing w:before="0" w:after="80" w:line="276" w:lineRule="auto"/>
        <w:jc w:val="both"/>
      </w:pPr>
      <w:r>
        <w:t xml:space="preserve">Levine, H., et al. (2022). Temporal trends in sperm count: A systematic review and meta-regression analysis of samples collected globally in the 20th and 21st centuries. </w:t>
      </w:r>
      <w:r>
        <w:rPr>
          <w:i/>
        </w:rPr>
        <w:t>Human Reproduction Update</w:t>
      </w:r>
      <w:r>
        <w:t>, 29(2), 157-176.</w:t>
      </w:r>
    </w:p>
    <w:p>
      <w:pPr>
        <w:spacing w:before="0" w:after="80" w:line="276" w:lineRule="auto"/>
        <w:jc w:val="both"/>
      </w:pPr>
      <w:r>
        <w:t xml:space="preserve">Luci-Greulich, A., &amp; Thévenon, O. (2013). The impact of family policies on fertility trends in developed countries. </w:t>
      </w:r>
      <w:r>
        <w:rPr>
          <w:i/>
        </w:rPr>
        <w:t>European Journal of Population</w:t>
      </w:r>
      <w:r>
        <w:t>, 29(4), 387-416.</w:t>
      </w:r>
    </w:p>
    <w:p>
      <w:pPr>
        <w:spacing w:before="0" w:after="80" w:line="276" w:lineRule="auto"/>
        <w:jc w:val="both"/>
      </w:pPr>
      <w:r>
        <w:t xml:space="preserve">Lundberg, S., &amp; Rose, E. (2000). Parenthood and the earnings of married men and women. </w:t>
      </w:r>
      <w:r>
        <w:rPr>
          <w:i/>
        </w:rPr>
        <w:t>Labour Economics</w:t>
      </w:r>
      <w:r>
        <w:t>, 7(6), 689-710.</w:t>
      </w:r>
    </w:p>
    <w:p>
      <w:pPr>
        <w:spacing w:before="0" w:after="80" w:line="276" w:lineRule="auto"/>
        <w:jc w:val="both"/>
      </w:pPr>
      <w:r>
        <w:t xml:space="preserve">McKinsey Global Institute. (2024). </w:t>
      </w:r>
      <w:r>
        <w:rPr>
          <w:i/>
        </w:rPr>
        <w:t>Global economic implications of demographic change</w:t>
      </w:r>
      <w:r>
        <w:t>. McKinsey &amp; Company.</w:t>
      </w:r>
    </w:p>
    <w:p>
      <w:pPr>
        <w:spacing w:before="0" w:after="80" w:line="276" w:lineRule="auto"/>
        <w:jc w:val="both"/>
      </w:pPr>
      <w:r>
        <w:t xml:space="preserve">Miettinen, A., Rotkirch, A., &amp; Szalma, I. (2015). Increasing childlessness in Europe: Time trends and country differences. </w:t>
      </w:r>
      <w:r>
        <w:rPr>
          <w:i/>
        </w:rPr>
        <w:t>Families and Societies Working Paper Series</w:t>
      </w:r>
      <w:r>
        <w:t>, No. 33.</w:t>
      </w:r>
    </w:p>
    <w:p>
      <w:pPr>
        <w:spacing w:before="0" w:after="80" w:line="276" w:lineRule="auto"/>
        <w:jc w:val="both"/>
      </w:pPr>
      <w:r>
        <w:t xml:space="preserve">National Center for Health Statistics. (2021). </w:t>
      </w:r>
      <w:r>
        <w:rPr>
          <w:i/>
        </w:rPr>
        <w:t>Fertility of men and women aged 15-49 years in the United States: National Survey of Family Growth, 2015-2019</w:t>
      </w:r>
      <w:r>
        <w:t>. National Health Statistics Reports, No. 113.</w:t>
      </w:r>
    </w:p>
    <w:p>
      <w:pPr>
        <w:spacing w:before="0" w:after="80" w:line="276" w:lineRule="auto"/>
        <w:jc w:val="both"/>
      </w:pPr>
      <w:r>
        <w:t xml:space="preserve">Pew Research Center. (2024). </w:t>
      </w:r>
      <w:r>
        <w:rPr>
          <w:i/>
        </w:rPr>
        <w:t>Why Americans are not having children: Views of childless adults</w:t>
      </w:r>
      <w:r>
        <w:t>. Pew Research Center.</w:t>
      </w:r>
    </w:p>
    <w:p>
      <w:pPr>
        <w:spacing w:before="0" w:after="80" w:line="276" w:lineRule="auto"/>
        <w:jc w:val="both"/>
      </w:pPr>
      <w:r>
        <w:t xml:space="preserve">Population Reference Bureau. (2024). </w:t>
      </w:r>
      <w:r>
        <w:rPr>
          <w:i/>
        </w:rPr>
        <w:t>Unpaid eldercare in the United States: Trends and projections</w:t>
      </w:r>
      <w:r>
        <w:t>. PRB.</w:t>
      </w:r>
    </w:p>
    <w:p>
      <w:pPr>
        <w:spacing w:before="0" w:after="80" w:line="276" w:lineRule="auto"/>
        <w:jc w:val="both"/>
      </w:pPr>
      <w:r>
        <w:t xml:space="preserve">Ramey, G., &amp; Ramey, V. A. (2010). The rug rat race. </w:t>
      </w:r>
      <w:r>
        <w:rPr>
          <w:i/>
        </w:rPr>
        <w:t>Brookings Papers on Economic Activity</w:t>
      </w:r>
      <w:r>
        <w:t>, 2010(1), 129-176.</w:t>
      </w:r>
    </w:p>
    <w:p>
      <w:pPr>
        <w:spacing w:before="0" w:after="80" w:line="276" w:lineRule="auto"/>
        <w:jc w:val="both"/>
      </w:pPr>
      <w:r>
        <w:t xml:space="preserve">Raymo, J. M., Park, H., Xie, Y., &amp; Yeung, W. J. (2015). Marriage and family in East Asia: Continuity and change. </w:t>
      </w:r>
      <w:r>
        <w:rPr>
          <w:i/>
        </w:rPr>
        <w:t>Annual Review of Sociology</w:t>
      </w:r>
      <w:r>
        <w:t>, 41, 471-492.</w:t>
      </w:r>
    </w:p>
    <w:p>
      <w:pPr>
        <w:spacing w:before="0" w:after="80" w:line="276" w:lineRule="auto"/>
        <w:jc w:val="both"/>
      </w:pPr>
      <w:r>
        <w:t xml:space="preserve">Sobotka, T., &amp; Beaujouan, E. (2018). Two is best? The persistence of a two-child family ideal in Europe. </w:t>
      </w:r>
      <w:r>
        <w:rPr>
          <w:i/>
        </w:rPr>
        <w:t>Population and Development Review</w:t>
      </w:r>
      <w:r>
        <w:t>, 40(3), 391-419.</w:t>
      </w:r>
    </w:p>
    <w:p>
      <w:pPr>
        <w:spacing w:before="0" w:after="80" w:line="276" w:lineRule="auto"/>
        <w:jc w:val="both"/>
      </w:pPr>
      <w:r>
        <w:t xml:space="preserve">Szabó, B. (2024). The Hungarian pronatalist experiment: Policy design, implementation and demographic outcomes. </w:t>
      </w:r>
      <w:r>
        <w:rPr>
          <w:i/>
        </w:rPr>
        <w:t>Journal of European Social Policy</w:t>
      </w:r>
      <w:r>
        <w:t>, 34(1), 18-34.</w:t>
      </w:r>
    </w:p>
    <w:p>
      <w:pPr>
        <w:spacing w:before="0" w:after="80" w:line="276" w:lineRule="auto"/>
        <w:jc w:val="both"/>
      </w:pPr>
      <w:r>
        <w:t xml:space="preserve">Teede, H. J., et al. (2018). Recommendations from the international evidence-based guideline for the assessment and management of polycystic ovary syndrome. </w:t>
      </w:r>
      <w:r>
        <w:rPr>
          <w:i/>
        </w:rPr>
        <w:t>Human Reproduction</w:t>
      </w:r>
      <w:r>
        <w:t>, 33(9), 1602-1618.</w:t>
      </w:r>
    </w:p>
    <w:p>
      <w:pPr>
        <w:spacing w:before="0" w:after="80" w:line="276" w:lineRule="auto"/>
        <w:jc w:val="both"/>
      </w:pPr>
      <w:r>
        <w:t xml:space="preserve">The Cut. (2024, 2026). </w:t>
      </w:r>
      <w:r>
        <w:rPr>
          <w:i/>
        </w:rPr>
        <w:t>Coverage of gender, fertility, and the Bartlett-Williamson podcast controversy</w:t>
      </w:r>
      <w:r>
        <w:t>. The Cut / New York Media.</w:t>
      </w:r>
    </w:p>
    <w:p>
      <w:pPr>
        <w:spacing w:before="0" w:after="80" w:line="276" w:lineRule="auto"/>
        <w:jc w:val="both"/>
      </w:pPr>
      <w:r>
        <w:t xml:space="preserve">Twenge, J. M. (2017). </w:t>
      </w:r>
      <w:r>
        <w:rPr>
          <w:i/>
        </w:rPr>
        <w:t>iGen: Why today's super-connected kids are growing up less rebellious, more tolerant, less happy — and completely unprepared for adulthood</w:t>
      </w:r>
      <w:r>
        <w:t>. Atria Books.</w:t>
      </w:r>
    </w:p>
    <w:p>
      <w:pPr>
        <w:spacing w:before="0" w:after="80" w:line="276" w:lineRule="auto"/>
        <w:jc w:val="both"/>
      </w:pPr>
      <w:r>
        <w:t xml:space="preserve">United Nations. (2024). </w:t>
      </w:r>
      <w:r>
        <w:rPr>
          <w:i/>
        </w:rPr>
        <w:t>World population prospects 2024</w:t>
      </w:r>
      <w:r>
        <w:t>. United Nations Department of Economic and Social Affairs.</w:t>
      </w:r>
    </w:p>
    <w:p>
      <w:pPr>
        <w:spacing w:before="0" w:after="80" w:line="276" w:lineRule="auto"/>
        <w:jc w:val="both"/>
      </w:pPr>
      <w:r>
        <w:t xml:space="preserve">van Doornik, J., Fazio, A., Ramadorai, T., &amp; Skrastins, J. (2024). </w:t>
      </w:r>
      <w:r>
        <w:rPr>
          <w:i/>
        </w:rPr>
        <w:t>Housing and fertility: Experimental evidence from Brazil</w:t>
      </w:r>
      <w:r>
        <w:t>. Working paper.</w:t>
      </w:r>
    </w:p>
    <w:p>
      <w:pPr>
        <w:spacing w:before="0" w:after="80" w:line="276" w:lineRule="auto"/>
        <w:jc w:val="both"/>
      </w:pPr>
      <w:r>
        <w:t xml:space="preserve">World Bank. (n.d.). </w:t>
      </w:r>
      <w:r>
        <w:rPr>
          <w:i/>
        </w:rPr>
        <w:t>Fertility rate, total (births per woman)</w:t>
      </w:r>
      <w:r>
        <w:t>. World Development Indicators.</w:t>
      </w:r>
    </w:p>
    <w:p>
      <w:pPr>
        <w:spacing w:before="0" w:after="80" w:line="276" w:lineRule="auto"/>
        <w:jc w:val="both"/>
      </w:pPr>
      <w:r>
        <w:t xml:space="preserve">Zeman, K., Beaujouan, É., &amp; Sobotka, T. (2018). Childlessness in Europe: Contexts, causes and consequences. </w:t>
      </w:r>
      <w:r>
        <w:rPr>
          <w:i/>
        </w:rPr>
        <w:t>Springer Demographic Studies</w:t>
      </w:r>
      <w:r>
        <w:t>.</w:t>
      </w:r>
    </w:p>
    <w:p>
      <w:pPr>
        <w:spacing w:before="0" w:after="80" w:line="276" w:lineRule="auto"/>
        <w:jc w:val="both"/>
      </w:pPr>
      <w:r>
        <w:t xml:space="preserve">BBC. (2026). </w:t>
      </w:r>
      <w:r>
        <w:rPr>
          <w:i/>
        </w:rPr>
        <w:t>Women respond to declining birth rate claims</w:t>
      </w:r>
      <w:r>
        <w:t>. BBC News Online.</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sz w:val="18"/>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Bullet">
    <w:name w:val="Custom Bullet"/>
    <w:basedOn w:val="Normal"/>
    <w:pPr>
      <w:ind w:left="0"/>
    </w:pPr>
    <w:rPr>
      <w:sz w:val="22"/>
    </w:rPr>
  </w:style>
  <w:style w:type="paragraph" w:customStyle="1" w:styleId="CustomNumber">
    <w:name w:val="Custom Number"/>
    <w:basedOn w:val="Normal"/>
    <w:pPr>
      <w:ind w:lef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