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3FC1F" w14:textId="77777777" w:rsidR="0099530B" w:rsidRPr="0099530B" w:rsidRDefault="0099530B" w:rsidP="0099530B">
      <w:pPr>
        <w:rPr>
          <w:b/>
          <w:bCs/>
        </w:rPr>
      </w:pPr>
      <w:r w:rsidRPr="0099530B">
        <w:rPr>
          <w:b/>
          <w:bCs/>
        </w:rPr>
        <w:t>How Will the Free Market Respond to Global Birth Rate Decline?</w:t>
      </w:r>
    </w:p>
    <w:p w14:paraId="6B7C3548" w14:textId="77777777" w:rsidR="0099530B" w:rsidRDefault="0099530B" w:rsidP="0099530B"/>
    <w:p w14:paraId="17150D76" w14:textId="77777777" w:rsidR="0099530B" w:rsidRPr="0099530B" w:rsidRDefault="0099530B" w:rsidP="0099530B">
      <w:pPr>
        <w:rPr>
          <w:b/>
          <w:bCs/>
        </w:rPr>
      </w:pPr>
      <w:r w:rsidRPr="0099530B">
        <w:rPr>
          <w:b/>
          <w:bCs/>
        </w:rPr>
        <w:t>Executive Summary</w:t>
      </w:r>
    </w:p>
    <w:p w14:paraId="1DB2168D" w14:textId="77777777" w:rsidR="0099530B" w:rsidRDefault="0099530B" w:rsidP="0099530B"/>
    <w:p w14:paraId="5417D8EB" w14:textId="77777777" w:rsidR="0099530B" w:rsidRDefault="0099530B" w:rsidP="0099530B">
      <w:r>
        <w:t>The global fertility decline represents a multifaceted challenge that transcends simple market interventions. Global fertility has fallen to 2.2 children per woman, with projections indicating further decline to 1.8 by 2050 and 1.6 by 2100 (Bhattacharjee et al. 2024). Advanced economies and China face dependency ratios projected to reach 1.4-2.0 working-age individuals per senior by 2050, down from 3.2-4.5 today (McKinsey Global Institute 2024). This shift creates potential economic headwinds that may reduce GDP per capita growth by 0.4-0.8 percentage points annually absent productivity gains.</w:t>
      </w:r>
    </w:p>
    <w:p w14:paraId="31E983F7" w14:textId="77777777" w:rsidR="0099530B" w:rsidRDefault="0099530B" w:rsidP="0099530B"/>
    <w:p w14:paraId="66787757" w14:textId="77777777" w:rsidR="0099530B" w:rsidRDefault="0099530B" w:rsidP="0099530B">
      <w:r>
        <w:t>Free market responses have emerged across fertility technology, childcare services, and workplace flexibility. However, evidence suggests no market-based solution has reversed fertility decline at scale. Countries implementing comprehensive pronatalist policies, such as Hungary which allocates approximately 6% of GDP through tax exemptions and subsidized loans, observe modest changes in birth rates of 0.1-0.25 children per woman (Szabó 2024). Demographic analysis suggests these changes may reflect primarily tempo effects—recuperation of delayed births—rather than quantum increases in completed family size (Sobotka and Beaujouan 2018). This pattern raises questions regarding whether fertility decisions reflect purely economic constraints or encompass broader cultural, biological, and institutional factors that markets alone cannot address.</w:t>
      </w:r>
    </w:p>
    <w:p w14:paraId="368731ED" w14:textId="77777777" w:rsidR="0099530B" w:rsidRDefault="0099530B" w:rsidP="0099530B"/>
    <w:p w14:paraId="7B932B75" w14:textId="77777777" w:rsidR="0099530B" w:rsidRDefault="0099530B" w:rsidP="0099530B">
      <w:r>
        <w:t>The economic burden of childrearing has increased substantially, with childcare costs consuming 18-22% of household income in low-fertility countries compared to 6-7% in higher-fertility nations. Biologically, sperm concentration has declined approximately 50% over 50 years in Western populations (Levine et al. 2017). Culturally, marriage rates have fallen approximately 60% since the 1970s in the United States, with similar patterns documented globally (Herre et al. 2020).</w:t>
      </w:r>
    </w:p>
    <w:p w14:paraId="57F729F4" w14:textId="77777777" w:rsidR="0099530B" w:rsidRDefault="0099530B" w:rsidP="0099530B"/>
    <w:p w14:paraId="4011589F" w14:textId="77777777" w:rsidR="0099530B" w:rsidRDefault="0099530B" w:rsidP="0099530B">
      <w:r>
        <w:t xml:space="preserve">The analysis reveals that fertility decline operates not primarily through smaller family sizes among mothers, but through rising childlessness. The Total Maternal Rate (TMR), representing the proportion of women becoming mothers, has declined from approximately 85% to 72%, while Children Per Mother (CPM) remains relatively stable at </w:t>
      </w:r>
      <w:r>
        <w:lastRenderedPageBreak/>
        <w:t>2.0-2.3 (Zeman, Beaujouan, and Sobotka 2018). This indicates that observed fertility decline concentrates in the extensive margin—fewer women entering motherhood—rather than mothers choosing smaller families, suggesting interventions must address partnership formation and institutional barriers affecting the extensive margin.</w:t>
      </w:r>
    </w:p>
    <w:p w14:paraId="7481A393" w14:textId="77777777" w:rsidR="0099530B" w:rsidRDefault="0099530B" w:rsidP="0099530B"/>
    <w:p w14:paraId="2C6D3A1C" w14:textId="77777777" w:rsidR="0099530B" w:rsidRPr="0099530B" w:rsidRDefault="0099530B" w:rsidP="0099530B">
      <w:pPr>
        <w:rPr>
          <w:b/>
          <w:bCs/>
        </w:rPr>
      </w:pPr>
      <w:r w:rsidRPr="0099530B">
        <w:rPr>
          <w:b/>
          <w:bCs/>
        </w:rPr>
        <w:t>Introduction</w:t>
      </w:r>
    </w:p>
    <w:p w14:paraId="755B19D0" w14:textId="77777777" w:rsidR="0099530B" w:rsidRDefault="0099530B" w:rsidP="0099530B"/>
    <w:p w14:paraId="42FA3201" w14:textId="77777777" w:rsidR="0099530B" w:rsidRDefault="0099530B" w:rsidP="0099530B">
      <w:r>
        <w:t>In early 2025, the global fertility crisis moved from demographic journals to popular culture and geopolitical strategy. The American legislative landscape was reshaped by the "One Big Beautiful Bill Act" (OBBBA), which codified "Trump Accounts"—a pro-family initiative providing $1,000 government contributions for every newborn. Simultaneously, Russian billionaire Pavel Durov announced he has fathered over 100 children via sperm donation and is financing full in-vitro fertilization protocols for women wishing to utilize his genetic material. These initiatives follow years of advocacy from Elon Musk characterizing population collapse as an existential threat exceeding climate change.</w:t>
      </w:r>
    </w:p>
    <w:p w14:paraId="135D2A81" w14:textId="77777777" w:rsidR="0099530B" w:rsidRDefault="0099530B" w:rsidP="0099530B"/>
    <w:p w14:paraId="78345E0B" w14:textId="77777777" w:rsidR="0099530B" w:rsidRDefault="0099530B" w:rsidP="0099530B">
      <w:r>
        <w:t>However, beneath these populist and billionaire-led interventions lies complex scientific reality. As The Economist has noted, "lowest-low" fertility rates—such as South Korea's 0.75 or the United States' 1.6—may be partially affected by analytical distortions. This paper examines whether free markets represent the primary driver of fertility decline, or whether they constitute reactive infrastructure adapting to conditions where childbearing has become economically challenging and coupling has been disrupted by shifting gender roles and partnership norms.</w:t>
      </w:r>
    </w:p>
    <w:p w14:paraId="0C08BB45" w14:textId="77777777" w:rsidR="0099530B" w:rsidRDefault="0099530B" w:rsidP="0099530B"/>
    <w:p w14:paraId="4604EF80" w14:textId="77777777" w:rsidR="0099530B" w:rsidRPr="0099530B" w:rsidRDefault="0099530B" w:rsidP="0099530B">
      <w:pPr>
        <w:rPr>
          <w:b/>
          <w:bCs/>
        </w:rPr>
      </w:pPr>
      <w:r w:rsidRPr="0099530B">
        <w:rPr>
          <w:b/>
          <w:bCs/>
        </w:rPr>
        <w:t>Demographic Shifts</w:t>
      </w:r>
    </w:p>
    <w:p w14:paraId="4664EC7F" w14:textId="77777777" w:rsidR="0099530B" w:rsidRDefault="0099530B" w:rsidP="0099530B"/>
    <w:p w14:paraId="28D1ACAA" w14:textId="77777777" w:rsidR="0099530B" w:rsidRPr="0099530B" w:rsidRDefault="0099530B" w:rsidP="0099530B">
      <w:pPr>
        <w:rPr>
          <w:b/>
          <w:bCs/>
        </w:rPr>
      </w:pPr>
      <w:r w:rsidRPr="0099530B">
        <w:rPr>
          <w:b/>
          <w:bCs/>
        </w:rPr>
        <w:t>The Global Fertility Transition</w:t>
      </w:r>
    </w:p>
    <w:p w14:paraId="0ED9B826" w14:textId="77777777" w:rsidR="0099530B" w:rsidRDefault="0099530B" w:rsidP="0099530B"/>
    <w:p w14:paraId="517A3ABB" w14:textId="77777777" w:rsidR="0099530B" w:rsidRDefault="0099530B" w:rsidP="0099530B">
      <w:r>
        <w:t>The global fertility transition represents one of the most profound demographic shifts in human history. Total fertility rates declined from 4.8 children per woman in 1950 to 2.2 in 2023, with two-thirds of humanity now residing in countries with below-replacement fertility (Bhattacharjee et al. 2024; World Bank n.d.). Forty-six countries have entered "lowest-low" fertility territory with rates below 1.5 children per woman, including South Korea (0.75), Taiwan (0.89), and Hong Kong (1.24). Notably, eight of the ten lowest-</w:t>
      </w:r>
      <w:r>
        <w:lastRenderedPageBreak/>
        <w:t>fertility countries cluster in East Asia or Southern/Eastern Europe, suggesting regional institutional and cultural patterns beyond purely market-driven forces.</w:t>
      </w:r>
    </w:p>
    <w:p w14:paraId="592C0939" w14:textId="77777777" w:rsidR="0099530B" w:rsidRDefault="0099530B" w:rsidP="0099530B"/>
    <w:p w14:paraId="096AC220" w14:textId="77777777" w:rsidR="0099530B" w:rsidRDefault="0099530B" w:rsidP="0099530B">
      <w:r>
        <w:t>This demographic transition creates substantial economic implications. Advanced economies face dependency ratios declining from 3.2 working-age individuals per senior today to 2.0 by 2050 and 1.4 by 2100, while China's ratio shifts from 4.8 to 1.2 over the same period (McKinsey Global Institute 2024). These structural shifts generate fiscal pressures on pension and healthcare systems designed when post-retirement dependency periods were minimal. When UK pension systems were established mid-century with payments beginning at age 65, male life expectancy was 66; today it reaches 79, creating 15+ years of dependency funded by shrinking workforces (ONS n.d.).</w:t>
      </w:r>
    </w:p>
    <w:p w14:paraId="5FA6071C" w14:textId="77777777" w:rsidR="0099530B" w:rsidRDefault="0099530B" w:rsidP="0099530B"/>
    <w:p w14:paraId="7F6BB3EE" w14:textId="77777777" w:rsidR="0099530B" w:rsidRDefault="0099530B" w:rsidP="0099530B">
      <w:r>
        <w:t>Regional patterns reveal a three-wave structure. First-wave regions—advanced economies in North America, Western Europe, and East Asia—crossed below replacement fertility in the 1970s-1990s and now average 1.5-1.7 children per woman. Second-wave regions including Latin America and much of Asia fell below replacement in the 2000s-2010s. Third-wave regions, primarily Sub-Saharan Africa, maintain fertility above 4.0 but are declining rapidly, projected to reach 2.0 by 2100 (McKinsey Global Institute 2024).</w:t>
      </w:r>
    </w:p>
    <w:p w14:paraId="61E2ADD7" w14:textId="77777777" w:rsidR="0099530B" w:rsidRDefault="0099530B" w:rsidP="0099530B"/>
    <w:p w14:paraId="5033FF06" w14:textId="77777777" w:rsidR="0099530B" w:rsidRDefault="0099530B" w:rsidP="0099530B">
      <w:r>
        <w:t>Population structure visualizations reveal transformation from traditional pyramids to inverted structures occurring worldwide. McKinsey projections indicate that advanced economies' population pyramids will become top-heavy by 2050, with the 65+ cohort exceeding the 0-14 cohort. By 2100, even emerging economies may exhibit similar inversions, with only Sub-Saharan Africa maintaining pyramidal structures.</w:t>
      </w:r>
    </w:p>
    <w:p w14:paraId="75CB74EC" w14:textId="77777777" w:rsidR="0099530B" w:rsidRDefault="0099530B" w:rsidP="0099530B"/>
    <w:p w14:paraId="19518995" w14:textId="77777777" w:rsidR="0099530B" w:rsidRDefault="0099530B" w:rsidP="0099530B">
      <w:r>
        <w:t xml:space="preserve">Standard demographic transition theory posits that fertility declines represent rational adjustment to falling mortality. Since 1950, global average life expectancy has increased from approximately 46 to 73 years. Most critically, global infant mortality has declined from approximately 19.8% in 1950 to 3.7% in 2023 (UN IGME n.d.). As child survival rates improved, the "insurance strategy" of having large families to ensure surviving offspring became less necessary, dampening the immediate impact of lower birth rates on population growth. However, this longevity dividend has created secondary challenges: expansion of post-retirement dependency periods. In the UK, when modern pension systems were established with payments beginning at age 65, average male life expectancy was 66 and female 70. Today, life expectancy reaches 79 </w:t>
      </w:r>
      <w:r>
        <w:lastRenderedPageBreak/>
        <w:t>for men and 83 for women, with average periods of 15 years following workforce exit (ONS n.d.). This increasing retirement duration strains public welfare systems, with developed nations facing widespread pension underfunding.</w:t>
      </w:r>
    </w:p>
    <w:p w14:paraId="6817D8BE" w14:textId="77777777" w:rsidR="0099530B" w:rsidRDefault="0099530B" w:rsidP="0099530B"/>
    <w:p w14:paraId="75E2D307" w14:textId="77777777" w:rsidR="0099530B" w:rsidRDefault="0099530B" w:rsidP="0099530B">
      <w:r>
        <w:t>The global population currently exists in a state of "demographic momentum," masking fertility decline severity. Although fertility rates have fallen below replacement level of 2.1 in nations housing two-thirds of humanity, absolute global population continues growing (United Nations 2024). This paradox reflects age pyramid structural composition: cohorts currently at oldest ages are numerically smaller than cohorts of childbearing age. Consequently, absolute birth numbers still exceed absolute death numbers. However, this buffer is temporary. As Baby Boomer generations (born c. 1946-1964) reach average life expectancy, mortality rates will naturally rise. Current projections indicate natality and mortality curves will intersect in the latter half of the 21st century, at which point total human population will enter sustained, structural decline (United Nations 2024). Historically, there is no empirical record of societies falling below replacement fertility for reasons other than war or famine and subsequently recovering to stable growth without external migration (Lee 2003).</w:t>
      </w:r>
    </w:p>
    <w:p w14:paraId="19C6A3DD" w14:textId="77777777" w:rsidR="0099530B" w:rsidRDefault="0099530B" w:rsidP="0099530B"/>
    <w:p w14:paraId="7489138C" w14:textId="77777777" w:rsidR="0099530B" w:rsidRPr="0099530B" w:rsidRDefault="0099530B" w:rsidP="0099530B">
      <w:pPr>
        <w:rPr>
          <w:b/>
          <w:bCs/>
        </w:rPr>
      </w:pPr>
      <w:r w:rsidRPr="0099530B">
        <w:rPr>
          <w:b/>
          <w:bCs/>
        </w:rPr>
        <w:t>Quantum, Tempo, and the Extensive Margin</w:t>
      </w:r>
    </w:p>
    <w:p w14:paraId="49BFDFE3" w14:textId="77777777" w:rsidR="0099530B" w:rsidRDefault="0099530B" w:rsidP="0099530B"/>
    <w:p w14:paraId="60FCF562" w14:textId="77777777" w:rsidR="0099530B" w:rsidRDefault="0099530B" w:rsidP="0099530B">
      <w:r>
        <w:t>Standard demographic analysis relies on Total Fertility Rate (TFR), yet this metric conflates two distinct phenomena: timing changes (tempo) and completed family size (quantum). When women postpone childbearing, period TFR declines mechanically even if cohort completed fertility remains constant. Recent analysis demonstrates that in low-fertility countries, tempo effects account for 0.3-0.5 children per woman of observed TFR decline, meaning completed family size remains higher than period measures suggest (Bongaarts and Sobotka 2012). This distinction critically affects policy evaluation: pronatalist interventions may appear ineffective if they produce tempo effects—recuperation of delayed births—rather than quantum increases.</w:t>
      </w:r>
    </w:p>
    <w:p w14:paraId="635E9C59" w14:textId="77777777" w:rsidR="0099530B" w:rsidRDefault="0099530B" w:rsidP="0099530B"/>
    <w:p w14:paraId="3FA0E3D0" w14:textId="77777777" w:rsidR="0099530B" w:rsidRPr="0099530B" w:rsidRDefault="0099530B" w:rsidP="0099530B">
      <w:pPr>
        <w:rPr>
          <w:b/>
          <w:bCs/>
        </w:rPr>
      </w:pPr>
      <w:r w:rsidRPr="0099530B">
        <w:rPr>
          <w:b/>
          <w:bCs/>
        </w:rPr>
        <w:t>Microdemographic Decomposition: The Extensive Margin Failure</w:t>
      </w:r>
    </w:p>
    <w:p w14:paraId="1A508878" w14:textId="77777777" w:rsidR="0099530B" w:rsidRDefault="0099530B" w:rsidP="0099530B"/>
    <w:p w14:paraId="1E901845" w14:textId="77777777" w:rsidR="0099530B" w:rsidRDefault="0099530B" w:rsidP="0099530B">
      <w:r>
        <w:t xml:space="preserve">To diagnose the precise mechanism of fertility decline, one must move beyond aggregate TFR and utilize microdemographic decomposition: TFR = TMR × CPM, where TMR (Total Maternal Rate) represents the proportion of women becoming mothers, and CPM (Children Per Mother) represents average family size among those who reproduce. </w:t>
      </w:r>
      <w:r>
        <w:lastRenderedPageBreak/>
        <w:t>Analysis across OECD countries reveals a striking pattern: CPM has remained remarkably resilient at 2.0-2.3 across decades, while TMR has declined from 85% to 72% (Zeman, Beaujouan, and Sobotka 2018). The collapse in aggregate fertility is driven almost exclusively by the extensive margin—the proportion of women entering motherhood at all.</w:t>
      </w:r>
    </w:p>
    <w:p w14:paraId="18FFDD25" w14:textId="77777777" w:rsidR="0099530B" w:rsidRDefault="0099530B" w:rsidP="0099530B"/>
    <w:p w14:paraId="2AD39242" w14:textId="77777777" w:rsidR="0099530B" w:rsidRDefault="0099530B" w:rsidP="0099530B">
      <w:r>
        <w:t>This extensive margin dominance aligns imperfectly with conventional economic theory. Becker's quantity-quality tradeoff model predicts rising human capital returns induce substitution toward child quality, reducing fertility along the intensive margin (Becker 1960). The observed pattern instead suggests that mechanisms related to partnership formation may be operating upstream of household fertility optimization.</w:t>
      </w:r>
    </w:p>
    <w:p w14:paraId="119EC233" w14:textId="77777777" w:rsidR="0099530B" w:rsidRDefault="0099530B" w:rsidP="0099530B"/>
    <w:p w14:paraId="128CD84D" w14:textId="77777777" w:rsidR="0099530B" w:rsidRDefault="0099530B" w:rsidP="0099530B">
      <w:r>
        <w:t>Japan and the United States exemplify this pattern. Japan's TFR fell from 4.5 to 1.15, yet married couples continue having nearly two children on average. Substantial declines in marriage rates are evident, with unmarried proportions at age 50 increasing from approximately 5% to 17% across cohorts (Raymo 2015). In the United States, childlessness among women aged 30-34 increased from 29% in 2014 to 40% in 2024, with family structure distributions becoming increasingly bimodal: families with children remain relatively stable while zero-child families expand rapidly (Kearney and Levine 2022).</w:t>
      </w:r>
    </w:p>
    <w:p w14:paraId="4052B72C" w14:textId="77777777" w:rsidR="0099530B" w:rsidRDefault="0099530B" w:rsidP="0099530B"/>
    <w:p w14:paraId="4049EB7A" w14:textId="77777777" w:rsidR="0099530B" w:rsidRPr="0099530B" w:rsidRDefault="0099530B" w:rsidP="0099530B">
      <w:pPr>
        <w:rPr>
          <w:b/>
          <w:bCs/>
        </w:rPr>
      </w:pPr>
      <w:r w:rsidRPr="0099530B">
        <w:rPr>
          <w:b/>
          <w:bCs/>
        </w:rPr>
        <w:t>The Extensive Margin Failure: Gender Asymmetries in Involuntary Childlessness</w:t>
      </w:r>
    </w:p>
    <w:p w14:paraId="6EDB6EA6" w14:textId="77777777" w:rsidR="0099530B" w:rsidRDefault="0099530B" w:rsidP="0099530B"/>
    <w:p w14:paraId="7330D382" w14:textId="77777777" w:rsidR="0099530B" w:rsidRDefault="0099530B" w:rsidP="0099530B">
      <w:r>
        <w:t>Fertility decline operates predominantly through extensive margin failures—rising childlessness—yet this pattern may obscure critical gender asymmetries. Across Europe, approximately 25% of men versus 20% of women remain childless (Miettinen et al. 2015). Survey evidence suggests that over 90% of childless men aged 44 initially desired children (Miettinen et al. 2015; Jalovaara et al. 2017). In Norway, childlessness among the lowest-earning 5% of men reaches 72% compared to 11% among top earners, demonstrating substantial socioeconomic stratification in childlessness (Statistics Norway 2021).</w:t>
      </w:r>
    </w:p>
    <w:p w14:paraId="332F1026" w14:textId="77777777" w:rsidR="0099530B" w:rsidRDefault="0099530B" w:rsidP="0099530B"/>
    <w:p w14:paraId="2F8B4744" w14:textId="77777777" w:rsidR="0099530B" w:rsidRDefault="0099530B" w:rsidP="0099530B">
      <w:r>
        <w:t xml:space="preserve">The "DINK" (Dual Income, No Kids) classification, frequently cited in discussions of fertility change, represents a limited proportion of the childless population. Approximately 12% of married couples are classified as DINK, whereas 20-25% of birth cohorts remain childless (Pew Research Center 2024). Survey data suggest that 65% of </w:t>
      </w:r>
      <w:r>
        <w:lastRenderedPageBreak/>
        <w:t>self-identified DINKs report planning eventual children, raising questions regarding whether DINK status reflects temporary postponement or permanent preference. This distinction bears implications for interpreting demographic trends.</w:t>
      </w:r>
    </w:p>
    <w:p w14:paraId="0D39BDCB" w14:textId="77777777" w:rsidR="0099530B" w:rsidRDefault="0099530B" w:rsidP="0099530B"/>
    <w:p w14:paraId="7B32D029" w14:textId="77777777" w:rsidR="0099530B" w:rsidRDefault="0099530B" w:rsidP="0099530B">
      <w:r>
        <w:t>Survey research across 21 European countries documents fertility gaps between desired and realized fertility, with average differences of 0.2-0.3 children per woman (Testa 2012). Approximately 40% of US women report having fewer children than expected at age 24 (Morgan and Rackin 2010). Critically, observed childlessness may not reflect preference shifts: less than 10% of childless individuals report zero desired children, meaning over 90% may represent constrained optimization (Hakim 2003). Women reporting fewer children than desired show associations with lower life satisfaction and higher depression prevalence, though causal direction remains unclear (Stone 2019; Liu et al. 2024).</w:t>
      </w:r>
    </w:p>
    <w:p w14:paraId="6768B6AB" w14:textId="77777777" w:rsidR="0099530B" w:rsidRDefault="0099530B" w:rsidP="0099530B"/>
    <w:p w14:paraId="3734AF0A" w14:textId="77777777" w:rsidR="0099530B" w:rsidRDefault="0099530B" w:rsidP="0099530B">
      <w:r>
        <w:t>Sexual inactivity among US males under 30 has increased substantially from approximately 10% to 28% between 2008-2018, suggesting possible shifts in partnership formation patterns (Ueda et al. 2020). Japan reports approximately 1.5 million hikikomori—individuals reporting social withdrawal for extended periods—though prevalence estimates vary (Cabinet Office of Japan 2019). These patterns may reflect partnership formation difficulties associated with labor market instability and delayed adulthood, though alternative explanations warrant consideration.</w:t>
      </w:r>
    </w:p>
    <w:p w14:paraId="7B2BE234" w14:textId="77777777" w:rsidR="0099530B" w:rsidRDefault="0099530B" w:rsidP="0099530B"/>
    <w:p w14:paraId="5D91E158" w14:textId="77777777" w:rsidR="0099530B" w:rsidRPr="0099530B" w:rsidRDefault="0099530B" w:rsidP="0099530B">
      <w:pPr>
        <w:rPr>
          <w:b/>
          <w:bCs/>
        </w:rPr>
      </w:pPr>
      <w:r w:rsidRPr="0099530B">
        <w:rPr>
          <w:b/>
          <w:bCs/>
        </w:rPr>
        <w:t>The Marriage Paradox and Rising Singleness</w:t>
      </w:r>
    </w:p>
    <w:p w14:paraId="407EE1EF" w14:textId="77777777" w:rsidR="0099530B" w:rsidRDefault="0099530B" w:rsidP="0099530B"/>
    <w:p w14:paraId="5EAE560E" w14:textId="77777777" w:rsidR="0099530B" w:rsidRDefault="0099530B" w:rsidP="0099530B">
      <w:r>
        <w:t>To examine the extensive margin failure, one must investigate upstream partnership formation patterns. Fertility decline appears inextricably linked to marriage decline; historically, marriage served as the primary institutional vehicle for childbearing. However, data reveals a nuanced "marriage paradox." While crude marriage rates in the United States have fallen approximately 60% since 1970, divorce rates have also reached 50-year lows (Herre et al. 2020). This divergence may suggest a selection effect in partnership markets. Marriage may increasingly function as an institution accessible primarily to affluent and highly educated populations, who partner later but form more stable unions. Conversely, lower socioeconomic cohorts may increasingly experience permanent singlehood rather than unstable partnership patterns. Consequently, fertility decline may partially reflect conditions where significant proportions—potentially approaching 25% of Generation Z based on current trajectories—may never form cohabitating partnerships requisite for childrearing.</w:t>
      </w:r>
    </w:p>
    <w:p w14:paraId="612834D2" w14:textId="77777777" w:rsidR="0099530B" w:rsidRDefault="0099530B" w:rsidP="0099530B"/>
    <w:p w14:paraId="5E7F3F0B" w14:textId="77777777" w:rsidR="0099530B" w:rsidRPr="0099530B" w:rsidRDefault="0099530B" w:rsidP="0099530B">
      <w:pPr>
        <w:rPr>
          <w:b/>
          <w:bCs/>
        </w:rPr>
      </w:pPr>
      <w:r w:rsidRPr="0099530B">
        <w:rPr>
          <w:b/>
          <w:bCs/>
        </w:rPr>
        <w:t>Case Studies: Japan, United States, and Institutional Variation</w:t>
      </w:r>
    </w:p>
    <w:p w14:paraId="52A27245" w14:textId="77777777" w:rsidR="0099530B" w:rsidRDefault="0099530B" w:rsidP="0099530B"/>
    <w:p w14:paraId="3D06A2C6" w14:textId="77777777" w:rsidR="0099530B" w:rsidRDefault="0099530B" w:rsidP="0099530B">
      <w:r>
        <w:t>Japan serves as an early case of advanced demographic transition. From a post-war peak of approximately 2.7 million births in 1949, annual births have declined to fewer than 700,000 in 2024, mirroring Total Fertility Rate decline from 4.5 to approximately 1.15 (Statistics Bureau of Japan 2024). However, analyzing this through microdemographic frameworks reveals that Japanese family size has not collapsed proportionally. Married couples in Japan continue having nearly two children on average. The decline concentrates in reduced proportions of Japanese women marrying or forming stable partnerships during reproductive years. This pattern suggests the crisis reflects not rejection of large families by parents, but structural failures of partnership formation that leave growing percentages permanently childless, potentially unintentionally, due to economic conditions and institutional arrangements making work-life balance challenging.</w:t>
      </w:r>
    </w:p>
    <w:p w14:paraId="429F5A60" w14:textId="77777777" w:rsidR="0099530B" w:rsidRDefault="0099530B" w:rsidP="0099530B"/>
    <w:p w14:paraId="765AE38C" w14:textId="77777777" w:rsidR="0099530B" w:rsidRPr="0099530B" w:rsidRDefault="0099530B" w:rsidP="0099530B">
      <w:pPr>
        <w:rPr>
          <w:b/>
          <w:bCs/>
        </w:rPr>
      </w:pPr>
      <w:r w:rsidRPr="0099530B">
        <w:rPr>
          <w:b/>
          <w:bCs/>
        </w:rPr>
        <w:t>The United States: A Bimodal Divergence</w:t>
      </w:r>
    </w:p>
    <w:p w14:paraId="17D8676D" w14:textId="77777777" w:rsidR="0099530B" w:rsidRDefault="0099530B" w:rsidP="0099530B"/>
    <w:p w14:paraId="640473EC" w14:textId="77777777" w:rsidR="0099530B" w:rsidRDefault="0099530B" w:rsidP="0099530B">
      <w:r>
        <w:t>Similar, albeit later-onset, patterns are observable in the United States. National Center for Health Statistics data indicates average age of first-time mothers rose from 21.4 in 1970 to 27.5 in 2023, effectively shortening biological windows for family formation (NCHS 2025). More critically, childlessness acceleration is evident; percentages of women aged 30-34 who are childless increased from 29% in 2014 to 40% in 2024 (NCHS 2025). Family structure distributions in the US are becoming increasingly bimodal. Cohorts of families with one, two, or three children remain relatively static, while "zero-child" family cohorts have expanded rapidly. This pattern suggests the US may be following trajectories observable in Japan: societies divided between those who successfully partner and have multiple children, and growing proportions entirely excluded from family formation.</w:t>
      </w:r>
    </w:p>
    <w:p w14:paraId="19E00ED6" w14:textId="77777777" w:rsidR="0099530B" w:rsidRDefault="0099530B" w:rsidP="0099530B"/>
    <w:p w14:paraId="43A5E303" w14:textId="77777777" w:rsidR="0099530B" w:rsidRPr="0099530B" w:rsidRDefault="0099530B" w:rsidP="0099530B">
      <w:pPr>
        <w:rPr>
          <w:b/>
          <w:bCs/>
        </w:rPr>
      </w:pPr>
      <w:r w:rsidRPr="0099530B">
        <w:rPr>
          <w:b/>
          <w:bCs/>
        </w:rPr>
        <w:t>Historical Context: The Optimism Deficit</w:t>
      </w:r>
    </w:p>
    <w:p w14:paraId="4E02B791" w14:textId="77777777" w:rsidR="0099530B" w:rsidRDefault="0099530B" w:rsidP="0099530B"/>
    <w:p w14:paraId="59490878" w14:textId="77777777" w:rsidR="0099530B" w:rsidRDefault="0099530B" w:rsidP="0099530B">
      <w:r>
        <w:t xml:space="preserve">To understand this shift's severity, one must contrast it with the "Baby Boom" of 1946-1964. During this period, returning soldiers and convergence of economic prosperity and housing affordability fueled widespread optimism, leading to high marriage rates and early family formation. This era, characterized by "male breadwinner" models, </w:t>
      </w:r>
      <w:r>
        <w:lastRenderedPageBreak/>
        <w:t>permitted high fertility even with lower female workforce participation. The subsequent "Baby Bust" is often attributed to contraceptive pill introduction and female education and empowerment expansion. However, while contraception facilitated decline, current "lowest-low" fertility rates may be driven less by desire to avoid pregnancy and more by what might be characterized as "pessimism deficit." As economic volatility increases and paths to adulthood become more complex, widespread optimism required to undertake 20-year investments of parenthood may have diminished, replaced by risk-averse delay that often results in permanent childlessness.</w:t>
      </w:r>
    </w:p>
    <w:p w14:paraId="61D6D8C8" w14:textId="77777777" w:rsidR="0099530B" w:rsidRDefault="0099530B" w:rsidP="0099530B"/>
    <w:p w14:paraId="0A474DCC" w14:textId="77777777" w:rsidR="0099530B" w:rsidRDefault="0099530B" w:rsidP="0099530B">
      <w:r>
        <w:t>A critical distinction exists between "desired fertility" and "realized fertility." Survey data consistently reveals that women in low-fertility nations express desires for more children than they ultimately have. This "fertility gap" indicates decline may not be driven solely by preferences for childlessness, but by failures to realize family plans due to economic constraints, lack of suitable partners, or biological limitations. As Shaw's analysis highlights, significant portions of fertility collapse may be driven by "unintended childlessness," where individuals delay reproduction until "timed out" by biology, rather than explicit rejection of parenthood (Shaw 2025).</w:t>
      </w:r>
    </w:p>
    <w:p w14:paraId="6C80361E" w14:textId="77777777" w:rsidR="0099530B" w:rsidRDefault="0099530B" w:rsidP="0099530B"/>
    <w:p w14:paraId="0DA900C8" w14:textId="77777777" w:rsidR="0099530B" w:rsidRDefault="0099530B" w:rsidP="0099530B">
      <w:r>
        <w:t>A dominant narrative in development economics has long held that female educational attainment correlates inversely with fertility—a linear relationship where higher education invariably leads to fewer children. However, recent data suggests this relationship may be becoming non-linear. Emerging evidence from the United States indicates formation of "U-shaped" fertility curves. While fertility drops as women move from secondary education to bachelor's degrees, women with advanced degrees (Masters and PhDs) now demonstrate higher fertility rates than those with only undergraduate degrees, effectively reversing decades of linear decline (Hazan and Zoabi 2015). This pattern may suggest that "fertility penalties" of education could be mitigated by financial resources and flexibility often associated with highest tiers of human capital, while middle classes face most acute trade-offs.</w:t>
      </w:r>
    </w:p>
    <w:p w14:paraId="278FB114" w14:textId="77777777" w:rsidR="0099530B" w:rsidRDefault="0099530B" w:rsidP="0099530B"/>
    <w:p w14:paraId="4E891D7D" w14:textId="77777777" w:rsidR="0099530B" w:rsidRPr="0099530B" w:rsidRDefault="0099530B" w:rsidP="0099530B">
      <w:pPr>
        <w:rPr>
          <w:b/>
          <w:bCs/>
        </w:rPr>
      </w:pPr>
      <w:r w:rsidRPr="0099530B">
        <w:rPr>
          <w:b/>
          <w:bCs/>
        </w:rPr>
        <w:t>Economic Drivers</w:t>
      </w:r>
    </w:p>
    <w:p w14:paraId="7D3D1A59" w14:textId="77777777" w:rsidR="0099530B" w:rsidRDefault="0099530B" w:rsidP="0099530B"/>
    <w:p w14:paraId="2C28D5A6" w14:textId="77777777" w:rsidR="0099530B" w:rsidRPr="0099530B" w:rsidRDefault="0099530B" w:rsidP="0099530B">
      <w:pPr>
        <w:rPr>
          <w:b/>
          <w:bCs/>
        </w:rPr>
      </w:pPr>
      <w:r w:rsidRPr="0099530B">
        <w:rPr>
          <w:b/>
          <w:bCs/>
        </w:rPr>
        <w:t>The Structural Transformation of Child-Rearing Costs</w:t>
      </w:r>
    </w:p>
    <w:p w14:paraId="35990AF6" w14:textId="77777777" w:rsidR="0099530B" w:rsidRDefault="0099530B" w:rsidP="0099530B"/>
    <w:p w14:paraId="4B46480C" w14:textId="77777777" w:rsidR="0099530B" w:rsidRDefault="0099530B" w:rsidP="0099530B">
      <w:r>
        <w:t xml:space="preserve">Fundamental drivers of fertility decline include radical transformations in economic utility of children. In pre-industrial agrarian societies, children functioned as "private </w:t>
      </w:r>
      <w:r>
        <w:lastRenderedPageBreak/>
        <w:t>producer goods" (Caldwell 1976). They provided labor on family farms, contributed to household income from early ages, and served as sole insurance policies for parents' old age. Returns on investment for raising children were positive and accrued directly to parents. In modern knowledge economies, this dynamic has inverted. Children have become characterized as "public consumer goods" or "public goods" in economic terms (Ciscel 2003). While substantial costs of raising children—ranging from direct financial outlays to time investment—are privatized and borne entirely by parents, economic returns are increasingly socialized. Adult children contribute to economies via taxation and labor supply, funding social security systems and public services supporting broader populations, including the childless (Goldin 2025). This creates potential market failures: positive externalities where private costs of production exceed private returns, potentially leading to underproduction of the "good" (in this case, future citizens).</w:t>
      </w:r>
    </w:p>
    <w:p w14:paraId="6246D58A" w14:textId="77777777" w:rsidR="0099530B" w:rsidRDefault="0099530B" w:rsidP="0099530B"/>
    <w:p w14:paraId="527AFF86" w14:textId="77777777" w:rsidR="0099530B" w:rsidRPr="0099530B" w:rsidRDefault="0099530B" w:rsidP="0099530B">
      <w:pPr>
        <w:rPr>
          <w:b/>
          <w:bCs/>
        </w:rPr>
      </w:pPr>
      <w:r w:rsidRPr="0099530B">
        <w:rPr>
          <w:b/>
          <w:bCs/>
        </w:rPr>
        <w:t>The Investment Trap: Education and the "Rug Rat Race"</w:t>
      </w:r>
    </w:p>
    <w:p w14:paraId="53A9A333" w14:textId="77777777" w:rsidR="0099530B" w:rsidRDefault="0099530B" w:rsidP="0099530B"/>
    <w:p w14:paraId="2DE6CE78" w14:textId="77777777" w:rsidR="0099530B" w:rsidRDefault="0099530B" w:rsidP="0099530B">
      <w:r>
        <w:t>Compounding this structural shift are rising direct costs of ensuring children's economic competitiveness, a phenomenon economists Ramey and Ramey term the "Rug Rat Race" (Ramey and Ramey 2010). As returns to human capital have risen, parents have engaged in educational competition. Education costs have outpaced inflation significantly; in the United States, college tuition fees have increased approximately 150% since 1980 (NCES n.d.). Furthermore, dependency duration has extended. Average years of schooling required to secure middle-class incomes have risen, delaying children's workforce entry and extending periods during which they remain net financial liabilities to parents. To ensure children can compete in global economies, parents may feel compelled to invest in additional inputs—private tutoring, extracurricular activities, enrichment programs—all creating substantial financial and temporal pressures on households. Simultaneously, rising housing costs act as barriers to family formation. With homeownership—traditionally a prerequisite for "settling down"—requiring significantly higher multiples of average earnings than in previous decades, potential parents may delay childbirth until achieving financial security that is increasingly challenging to attain (JCHS 2024).</w:t>
      </w:r>
    </w:p>
    <w:p w14:paraId="0A8B9D80" w14:textId="77777777" w:rsidR="0099530B" w:rsidRDefault="0099530B" w:rsidP="0099530B"/>
    <w:p w14:paraId="2925EB0D" w14:textId="77777777" w:rsidR="0099530B" w:rsidRPr="0099530B" w:rsidRDefault="0099530B" w:rsidP="0099530B">
      <w:pPr>
        <w:rPr>
          <w:b/>
          <w:bCs/>
        </w:rPr>
      </w:pPr>
      <w:r w:rsidRPr="0099530B">
        <w:rPr>
          <w:b/>
          <w:bCs/>
        </w:rPr>
        <w:t>The Opportunity Cost and the Motherhood Penalty</w:t>
      </w:r>
    </w:p>
    <w:p w14:paraId="2EB72A5D" w14:textId="77777777" w:rsidR="0099530B" w:rsidRDefault="0099530B" w:rsidP="0099530B"/>
    <w:p w14:paraId="43E1070E" w14:textId="77777777" w:rsidR="0099530B" w:rsidRDefault="0099530B" w:rsidP="0099530B">
      <w:r>
        <w:t xml:space="preserve">Perhaps the most significant economic friction is "opportunity cost" of parenthood, which falls disproportionately on women. In modern labor markets rewarding long </w:t>
      </w:r>
      <w:r>
        <w:lastRenderedPageBreak/>
        <w:t>hours and uninterrupted tenure, trade-offs between career and family have intensified. For childless women under age 30, gender pay gaps have effectively closed, reaching near parity with male peers (Fry 2022b). However, distinct "motherhood penalties" emerge immediately upon first birth. Research by Kleven et al. (2019) indicates that five years post-childbirth, mothers earn roughly 42% less than counterfactual no-birth trajectories, divergence attributed to reduced hours, lower promotion velocities, and workforce exits. In eras where dual-income households have become standard for maintaining middle-class status, decisions to have children often necessitate reductions to single incomes, creating financial constraints that many couples may be unwilling to risk.</w:t>
      </w:r>
    </w:p>
    <w:p w14:paraId="2AD872B0" w14:textId="77777777" w:rsidR="0099530B" w:rsidRDefault="0099530B" w:rsidP="0099530B"/>
    <w:p w14:paraId="4CB4922B" w14:textId="77777777" w:rsidR="0099530B" w:rsidRPr="0099530B" w:rsidRDefault="0099530B" w:rsidP="0099530B">
      <w:pPr>
        <w:rPr>
          <w:b/>
          <w:bCs/>
        </w:rPr>
      </w:pPr>
      <w:r w:rsidRPr="0099530B">
        <w:rPr>
          <w:b/>
          <w:bCs/>
        </w:rPr>
        <w:t>Market and Policy Responses: Solutions and Their Limits</w:t>
      </w:r>
    </w:p>
    <w:p w14:paraId="4658595B" w14:textId="77777777" w:rsidR="0099530B" w:rsidRDefault="0099530B" w:rsidP="0099530B"/>
    <w:p w14:paraId="4668DAD0" w14:textId="77777777" w:rsidR="0099530B" w:rsidRDefault="0099530B" w:rsidP="0099530B">
      <w:r>
        <w:t>In response to these pressures, combinations of market-driven innovations and government interventions are emerging. Policy debates increasingly focus on neutralizing gendered aspects of opportunity costs through parental leave reforms. Proposals for 12-month shared parental leave aim to equalize career interruption risks for men and women, theoretically reducing hiring biases against women of childbearing age (OECD 2025).</w:t>
      </w:r>
    </w:p>
    <w:p w14:paraId="3F9F46D6" w14:textId="77777777" w:rsidR="0099530B" w:rsidRDefault="0099530B" w:rsidP="0099530B"/>
    <w:p w14:paraId="5C6D6173" w14:textId="77777777" w:rsidR="0099530B" w:rsidRDefault="0099530B" w:rsidP="0099530B">
      <w:r>
        <w:t>Simultaneously, speculation exists that artificial intelligence rise may alter labor valuation favoring soft skills. As AI may commoditize technical knowledge and hard skills, "soft skills" cultivated through parenting—empathy, patience, negotiation, complex household management—may command higher premiums in future workforces, potentially normalizing career breaks and re-entry pathways.</w:t>
      </w:r>
    </w:p>
    <w:p w14:paraId="6B404D38" w14:textId="77777777" w:rsidR="0099530B" w:rsidRDefault="0099530B" w:rsidP="0099530B"/>
    <w:p w14:paraId="1CDF5262" w14:textId="77777777" w:rsidR="0099530B" w:rsidRDefault="0099530B" w:rsidP="0099530B">
      <w:r>
        <w:t>However, efficacy of purely financial interventions remains uncertain. Hungary serves as an illustrative case: despite implementing aggressive pro-natalist fiscal policies—including substantial tax exemptions and subsidized loans effectively reaching 5-6% of GDP—the country has observed only marginal responses in birth rates (Szabó 2024). This pattern suggests the challenge may not be merely affordability but structural lifestyle compatibility. Financial incentives may assist those who already desire large families, but may fail to address extensive margin failures: growing numbers of individuals who perceive that total lifestyle and opportunity costs of having even single children are prohibitively high.</w:t>
      </w:r>
    </w:p>
    <w:p w14:paraId="3E6848F3" w14:textId="77777777" w:rsidR="0099530B" w:rsidRDefault="0099530B" w:rsidP="0099530B"/>
    <w:p w14:paraId="41C379D4" w14:textId="77777777" w:rsidR="0099530B" w:rsidRDefault="0099530B" w:rsidP="0099530B">
      <w:r>
        <w:lastRenderedPageBreak/>
        <w:t>Systematic reviews of quasi-experimental policy evaluations document that childcare expansions causally increase completed fertility by approximately 0.05-0.15 children per woman, while cash transfers produce primarily tempo effects of 0.02-0.08 children (Bergsvik, Hart, and Fauske 2021). Effects concentrate among young adults and low-income groups facing binding constraints, but may not address upstream partnership failures or cultural shifts toward individualization.</w:t>
      </w:r>
    </w:p>
    <w:p w14:paraId="032594E8" w14:textId="77777777" w:rsidR="0099530B" w:rsidRDefault="0099530B" w:rsidP="0099530B"/>
    <w:p w14:paraId="53CE486B" w14:textId="77777777" w:rsidR="0099530B" w:rsidRDefault="0099530B" w:rsidP="0099530B">
      <w:r>
        <w:t>Natural experimental evidence provides insight into causal relationships. A quasi-natural experiment examining housing credit access in Brazil documented that random housing credit provision was associated with 32% increases in fertility probability among 20-25-year-olds, with effects concentrated among low-income households and high rent-to-income areas (Moura, Oliveira, and Carvalho 2024). This pattern suggests housing stability and accessibility may bear causal relationships to fertility outcomes, particularly for partnership formation.</w:t>
      </w:r>
    </w:p>
    <w:p w14:paraId="2BBD1D4C" w14:textId="77777777" w:rsidR="0099530B" w:rsidRDefault="0099530B" w:rsidP="0099530B"/>
    <w:p w14:paraId="1119B0B9" w14:textId="77777777" w:rsidR="0099530B" w:rsidRDefault="0099530B" w:rsidP="0099530B">
      <w:r>
        <w:t>Nordic countries achieve comparatively higher fertility (1.6-1.9 children per woman) alongside high gender equity in education and labor force participation (Thevenon and Gauthier 2011). Institutional characteristics include universal childcare provision, gender-equitable parental leave (10-13 months with use-it-or-lose-it paternal quotas), and flexible labor market arrangements. These institutional features are associated with reduced motherhood earnings penalties—from 42% in the United States to approximately 22% in Denmark (Kleven et al. 2019). However, fertility rates remain below replacement levels even with these institutional supports, suggesting additional factors beyond direct economic constraints may be operating.</w:t>
      </w:r>
    </w:p>
    <w:p w14:paraId="219D60F5" w14:textId="77777777" w:rsidR="0099530B" w:rsidRDefault="0099530B" w:rsidP="0099530B"/>
    <w:p w14:paraId="2D9D4FE0" w14:textId="77777777" w:rsidR="0099530B" w:rsidRPr="0099530B" w:rsidRDefault="0099530B" w:rsidP="0099530B">
      <w:pPr>
        <w:rPr>
          <w:b/>
          <w:bCs/>
        </w:rPr>
      </w:pPr>
      <w:r w:rsidRPr="0099530B">
        <w:rPr>
          <w:b/>
          <w:bCs/>
        </w:rPr>
        <w:t>Biological Factors</w:t>
      </w:r>
    </w:p>
    <w:p w14:paraId="070E190C" w14:textId="77777777" w:rsidR="0099530B" w:rsidRDefault="0099530B" w:rsidP="0099530B"/>
    <w:p w14:paraId="42E39E93" w14:textId="77777777" w:rsidR="0099530B" w:rsidRPr="0099530B" w:rsidRDefault="0099530B" w:rsidP="0099530B">
      <w:pPr>
        <w:rPr>
          <w:b/>
          <w:bCs/>
        </w:rPr>
      </w:pPr>
      <w:r w:rsidRPr="0099530B">
        <w:rPr>
          <w:b/>
          <w:bCs/>
        </w:rPr>
        <w:t>The Physiological Crisis: Declining Fecundity</w:t>
      </w:r>
    </w:p>
    <w:p w14:paraId="3147569A" w14:textId="77777777" w:rsidR="0099530B" w:rsidRDefault="0099530B" w:rsidP="0099530B"/>
    <w:p w14:paraId="18D22CB0" w14:textId="77777777" w:rsidR="0099530B" w:rsidRDefault="0099530B" w:rsidP="0099530B">
      <w:r>
        <w:t xml:space="preserve">While economic and cultural factors may diminish demand for children, simultaneous physiological constraints may affect supply. The most significant indicator is declining male fertility. A landmark meta-analysis by Levine et al. (2017) revealed that sperm counts among men in Western countries have declined by more than 50% over 40 years, a trend showing no deceleration (Levine et al. 2017). This decline is largely attributed to environmental factors, specifically endocrine-disrupting chemicals such as phthalates </w:t>
      </w:r>
      <w:r>
        <w:lastRenderedPageBreak/>
        <w:t>and bisphenols found in plastics, coupled with lifestyle factors including rising obesity rates and sedentary behavior (Swan n.d.).</w:t>
      </w:r>
    </w:p>
    <w:p w14:paraId="52090E24" w14:textId="77777777" w:rsidR="0099530B" w:rsidRDefault="0099530B" w:rsidP="0099530B"/>
    <w:p w14:paraId="40704961" w14:textId="77777777" w:rsidR="0099530B" w:rsidRDefault="0099530B" w:rsidP="0099530B">
      <w:r>
        <w:t>Consequently, reliance on medical intervention to achieve conception has intensified. Percentages of couples seeking fertility treatments have risen steadily, correlating with increased clinical infertility diagnoses. Clinically, infertility is defined as failure to establish clinical pregnancy after 12 months of regular, unprotected sexual intercourse. Biologically, human fecundity is relatively high in healthy populations; research indicates approximately 81% of couples conceive within six months and 92% within 12 months of trying (Gnoth et al. 2003). Therefore, failure to conceive within this window may serve as diagnostic signal of physiological challenges rather than statistical variation. This biological reality may increasingly collide with social trends of delayed childbirth. Women postponing first pregnancy into thirties and forties may face declining ovarian reserve, exacerbating reliance on assisted reproductive technologies.</w:t>
      </w:r>
    </w:p>
    <w:p w14:paraId="2EBBE0F6" w14:textId="77777777" w:rsidR="0099530B" w:rsidRDefault="0099530B" w:rsidP="0099530B"/>
    <w:p w14:paraId="78B20538" w14:textId="77777777" w:rsidR="0099530B" w:rsidRPr="0099530B" w:rsidRDefault="0099530B" w:rsidP="0099530B">
      <w:pPr>
        <w:rPr>
          <w:b/>
          <w:bCs/>
        </w:rPr>
      </w:pPr>
      <w:r w:rsidRPr="0099530B">
        <w:rPr>
          <w:b/>
          <w:bCs/>
        </w:rPr>
        <w:t>Technological and Market Solutions</w:t>
      </w:r>
    </w:p>
    <w:p w14:paraId="607F3CF6" w14:textId="77777777" w:rsidR="0099530B" w:rsidRDefault="0099530B" w:rsidP="0099530B"/>
    <w:p w14:paraId="0C52A0E2" w14:textId="77777777" w:rsidR="0099530B" w:rsidRPr="0099530B" w:rsidRDefault="0099530B" w:rsidP="0099530B">
      <w:pPr>
        <w:rPr>
          <w:b/>
          <w:bCs/>
        </w:rPr>
      </w:pPr>
      <w:r w:rsidRPr="0099530B">
        <w:rPr>
          <w:b/>
          <w:bCs/>
        </w:rPr>
        <w:t>Egg Freezing and Reproductive Postponement</w:t>
      </w:r>
    </w:p>
    <w:p w14:paraId="58F2A6B6" w14:textId="77777777" w:rsidR="0099530B" w:rsidRDefault="0099530B" w:rsidP="0099530B"/>
    <w:p w14:paraId="6FF27F30" w14:textId="77777777" w:rsidR="0099530B" w:rsidRDefault="0099530B" w:rsidP="0099530B">
      <w:r>
        <w:t>In response to biological constraints, a burgeoning "fertility economy" has emerged. The most prominent market response is normalization of oocyte cryopreservation ("egg freezing") as a tool to extend biological clocks. In 2014, major technology companies including Apple and Facebook introduced benefits covering oocyte cryopreservation costs of approximately $20,000 per employee (PBS NewsHour 2014). Innovative business models are emerging to lower financial barriers. For instance, Cofertility introduced "Split-Freeze" models, where women can preserve eggs at reduced cost if they agree to donate portions of retrieved eggs to families unable to conceive, creating cross-subsidized markets addressing both preservation and donation needs (Cofertility n.d.).</w:t>
      </w:r>
    </w:p>
    <w:p w14:paraId="450643EE" w14:textId="77777777" w:rsidR="0099530B" w:rsidRDefault="0099530B" w:rsidP="0099530B"/>
    <w:p w14:paraId="1C68E618" w14:textId="77777777" w:rsidR="0099530B" w:rsidRDefault="0099530B" w:rsidP="0099530B">
      <w:r>
        <w:t xml:space="preserve">Corporate egg freezing benefits raise questions regarding implications for fertility timing. Availability of reproductive postponement technologies may enable extended career pursuit before childbearing attempts. However, fertility outcomes associated with delayed use of frozen oocytes remain incompletely documented. Aging affects both egg quality and uterine receptivity independent of oocyte age. Net effects on completed fertility of such postponement opportunities—whether facilitating ultimate </w:t>
      </w:r>
      <w:r>
        <w:lastRenderedPageBreak/>
        <w:t>fertility goals or resulting in forgone reproduction—remain empirical questions requiring longitudinal investigation.</w:t>
      </w:r>
    </w:p>
    <w:p w14:paraId="7F4FD805" w14:textId="77777777" w:rsidR="0099530B" w:rsidRDefault="0099530B" w:rsidP="0099530B"/>
    <w:p w14:paraId="351F2596" w14:textId="77777777" w:rsidR="0099530B" w:rsidRPr="0099530B" w:rsidRDefault="0099530B" w:rsidP="0099530B">
      <w:pPr>
        <w:rPr>
          <w:b/>
          <w:bCs/>
        </w:rPr>
      </w:pPr>
      <w:r w:rsidRPr="0099530B">
        <w:rPr>
          <w:b/>
          <w:bCs/>
        </w:rPr>
        <w:t>Preimplantation Genetic Testing and Reproductive Optimization</w:t>
      </w:r>
    </w:p>
    <w:p w14:paraId="06F1C962" w14:textId="77777777" w:rsidR="0099530B" w:rsidRDefault="0099530B" w:rsidP="0099530B"/>
    <w:p w14:paraId="04C75892" w14:textId="77777777" w:rsidR="0099530B" w:rsidRDefault="0099530B" w:rsidP="0099530B">
      <w:r>
        <w:t>The fertility market is extending beyond simple conception toward reproductive optimization. Companies offering Preimplantation Genetic Testing for Polygenic (PGT-P) risks allow parents to screen embryos not just for monogenic diseases but for complex polygenic traits. While currently marketed as health screening, this technology raises questions regarding trait selection, commodification of offspring, and potential emergence of "designer babies" in pursuit of high "quality" children in low-quantity demographic environments. The clinical utility and societal implications of polygenic trait screening remain active areas of investigation (Karavani et al. 2019).</w:t>
      </w:r>
    </w:p>
    <w:p w14:paraId="6E9D93B5" w14:textId="77777777" w:rsidR="0099530B" w:rsidRDefault="0099530B" w:rsidP="0099530B"/>
    <w:p w14:paraId="2E386936" w14:textId="77777777" w:rsidR="0099530B" w:rsidRPr="0099530B" w:rsidRDefault="0099530B" w:rsidP="0099530B">
      <w:pPr>
        <w:rPr>
          <w:b/>
          <w:bCs/>
        </w:rPr>
      </w:pPr>
      <w:r w:rsidRPr="0099530B">
        <w:rPr>
          <w:b/>
          <w:bCs/>
        </w:rPr>
        <w:t>Artificial Womb Technology: Current Status and Speculative Developments</w:t>
      </w:r>
    </w:p>
    <w:p w14:paraId="45290A2B" w14:textId="77777777" w:rsidR="0099530B" w:rsidRDefault="0099530B" w:rsidP="0099530B"/>
    <w:p w14:paraId="5277ED62" w14:textId="77777777" w:rsidR="0099530B" w:rsidRDefault="0099530B" w:rsidP="0099530B">
      <w:r>
        <w:t>Technologies previously considered science fiction are entering clinical consideration. Research into partial ectogenesis—embryo or fetus development outside the womb—has achieved significant milestones. The EXTEND artificial womb system, developed at Children's Hospital of Philadelphia, has successfully maintained extremely premature lamb fetuses for extended periods with apparently normal physiological development (Partridge et al. 2017). Recent molecular analysis indicates brain tissue development in EXTEND-supported animals more closely resembles late-preterm gestational characteristics than early-preterm, raising questions regarding neurodevelopmental safety (Duke University School of Medicine 2025).</w:t>
      </w:r>
    </w:p>
    <w:p w14:paraId="5DDAB9AB" w14:textId="77777777" w:rsidR="0099530B" w:rsidRDefault="0099530B" w:rsidP="0099530B"/>
    <w:p w14:paraId="2B11B2A2" w14:textId="77777777" w:rsidR="0099530B" w:rsidRDefault="0099530B" w:rsidP="0099530B">
      <w:r>
        <w:t>Current clinical applications focus on extremely premature infants born before 28 weeks gestational age, where survival remains critically compromised (Lancaster University n.d.). Alternative technologies including AquaWomb, under development in Netherlands and Germany, employ fluid-filled containment to support development between approximately 22-24 weeks. Current technology enables partial support of fetal development with substantial technical barriers remaining to complete ectogenesis from conception through delivery.</w:t>
      </w:r>
    </w:p>
    <w:p w14:paraId="60FEBEB3" w14:textId="77777777" w:rsidR="0099530B" w:rsidRDefault="0099530B" w:rsidP="0099530B"/>
    <w:p w14:paraId="27E6CEAB" w14:textId="77777777" w:rsidR="0099530B" w:rsidRDefault="0099530B" w:rsidP="0099530B">
      <w:r>
        <w:lastRenderedPageBreak/>
        <w:t>Speculative analysis suggests fully developed artificial womb technology could theoretically eliminate pregnancy-related health risks, enable equitable distribution of gestational burden between partners, and create reproductive pathways for same-sex male couples. However, such applications remain highly speculative, with significant technological barriers, regulatory hurdles, and ethical considerations unresolved. FDA convening committees in 2023 to consider human trials represents early-stage consideration without established timelines for clinical deployment.</w:t>
      </w:r>
    </w:p>
    <w:p w14:paraId="5C933057" w14:textId="77777777" w:rsidR="0099530B" w:rsidRDefault="0099530B" w:rsidP="0099530B"/>
    <w:p w14:paraId="15B2589E" w14:textId="77777777" w:rsidR="0099530B" w:rsidRPr="0099530B" w:rsidRDefault="0099530B" w:rsidP="0099530B">
      <w:pPr>
        <w:rPr>
          <w:b/>
          <w:bCs/>
        </w:rPr>
      </w:pPr>
      <w:r w:rsidRPr="0099530B">
        <w:rPr>
          <w:b/>
          <w:bCs/>
        </w:rPr>
        <w:t>Cultural Factors</w:t>
      </w:r>
    </w:p>
    <w:p w14:paraId="75FE6529" w14:textId="77777777" w:rsidR="0099530B" w:rsidRDefault="0099530B" w:rsidP="0099530B"/>
    <w:p w14:paraId="3B7BC5D7" w14:textId="77777777" w:rsidR="0099530B" w:rsidRPr="0099530B" w:rsidRDefault="0099530B" w:rsidP="0099530B">
      <w:pPr>
        <w:rPr>
          <w:b/>
          <w:bCs/>
        </w:rPr>
      </w:pPr>
      <w:r w:rsidRPr="0099530B">
        <w:rPr>
          <w:b/>
          <w:bCs/>
        </w:rPr>
        <w:t>The Role of Religion and the Secular Fertility Environment</w:t>
      </w:r>
    </w:p>
    <w:p w14:paraId="16618AF8" w14:textId="77777777" w:rsidR="0099530B" w:rsidRDefault="0099530B" w:rsidP="0099530B"/>
    <w:p w14:paraId="371D18F9" w14:textId="77777777" w:rsidR="0099530B" w:rsidRDefault="0099530B" w:rsidP="0099530B">
      <w:r>
        <w:t>Religion demonstrates robust associations with fertility maintenance above replacement levels. Highly religious communities, such as Latter-day Saints in Utah or Orthodox populations in Israel, maintain fertility rates significantly above replacement level (Götmark and Andersson 2020). This resilience is attributed not only to theological imperatives but to community infrastructure potentially lowering social costs of parenting. Conversely, Western secularization has proceeded alongside fertility decline. In secular market societies, reproduction decisions increasingly reflect cost-benefit calculations without offsetting normative frameworks emphasizing childbearing value. Whether causal relationships exist between secularization and fertility decline, or whether both reflect shared underlying individualization processes, merits continued investigation.</w:t>
      </w:r>
    </w:p>
    <w:p w14:paraId="7253C9DE" w14:textId="77777777" w:rsidR="0099530B" w:rsidRDefault="0099530B" w:rsidP="0099530B"/>
    <w:p w14:paraId="13743972" w14:textId="77777777" w:rsidR="0099530B" w:rsidRPr="0099530B" w:rsidRDefault="0099530B" w:rsidP="0099530B">
      <w:pPr>
        <w:rPr>
          <w:b/>
          <w:bCs/>
        </w:rPr>
      </w:pPr>
      <w:r w:rsidRPr="0099530B">
        <w:rPr>
          <w:b/>
          <w:bCs/>
        </w:rPr>
        <w:t>The Pet Economy and Household Composition</w:t>
      </w:r>
    </w:p>
    <w:p w14:paraId="6CCC7E30" w14:textId="77777777" w:rsidR="0099530B" w:rsidRDefault="0099530B" w:rsidP="0099530B"/>
    <w:p w14:paraId="7C11E4FB" w14:textId="77777777" w:rsidR="0099530B" w:rsidRDefault="0099530B" w:rsidP="0099530B">
      <w:r>
        <w:t>As household structures shift, market mechanisms have generated services and products associated with pet ownership. The United States pet economy encompasses estimated aggregate expenditure of $152 billion in 2024, with pet ownership in approximately 66% of households (86.9 million homes) (APPA n.d.). This represents increases from 56% of households in 1988, with dog ownership at 51% and cat ownership at 37%. In the United Kingdom, aggregate consumer spending on pets (£51.8 billion) now exceeds spending on childcare (£37.1 billion), though direct comparisons warrant careful interpretation given different service categories (Nationwide Building Society n.d.).</w:t>
      </w:r>
    </w:p>
    <w:p w14:paraId="558A609A" w14:textId="77777777" w:rsidR="0099530B" w:rsidRDefault="0099530B" w:rsidP="0099530B"/>
    <w:p w14:paraId="38A8D1AE" w14:textId="77777777" w:rsidR="0099530B" w:rsidRDefault="0099530B" w:rsidP="0099530B">
      <w:r>
        <w:lastRenderedPageBreak/>
        <w:t>Demographic analysis of pet ownership reveals correlations with household composition. While pets are common among families with children, "humanization" of pets—treating them as family members with premium healthcare and luxury goods—appears prevalent among DINK and single demographics. For these cohorts, pets may offer emotional utility of companionship without immense financial liabilities and career frictions associated with children.</w:t>
      </w:r>
    </w:p>
    <w:p w14:paraId="3F80E2F7" w14:textId="77777777" w:rsidR="0099530B" w:rsidRDefault="0099530B" w:rsidP="0099530B"/>
    <w:p w14:paraId="4E900701" w14:textId="77777777" w:rsidR="0099530B" w:rsidRDefault="0099530B" w:rsidP="0099530B">
      <w:r>
        <w:t>Pet ownership prevalence among childless individuals may reflect multiple motivations: companionship provision, emotional attachment, caregiving opportunities, or demographic characteristics associated with household composition. Relationships between pet ownership and foregone childbearing remain incompletely understood. Longitudinal research examining temporal relationships between pet acquisition and fertility intentions would inform understanding of whether pet ownership represents alternative fulfillment, coincidental demographic correlate, or response to unmet caregiving desires. Comparative costs are instructive: average pet lifetime costs approximate $20,000-$30,000, whereas US estimates for child-rearing to age 18 exceed $310,000 (USDA 2023). This cost differential raises questions regarding household budget allocation patterns but does not establish causal relationships between pet adoption and fertility outcomes.</w:t>
      </w:r>
    </w:p>
    <w:p w14:paraId="06699313" w14:textId="77777777" w:rsidR="0099530B" w:rsidRDefault="0099530B" w:rsidP="0099530B"/>
    <w:p w14:paraId="1B3BEDFC" w14:textId="77777777" w:rsidR="0099530B" w:rsidRPr="0099530B" w:rsidRDefault="0099530B" w:rsidP="0099530B">
      <w:pPr>
        <w:rPr>
          <w:b/>
          <w:bCs/>
        </w:rPr>
      </w:pPr>
      <w:r w:rsidRPr="0099530B">
        <w:rPr>
          <w:b/>
          <w:bCs/>
        </w:rPr>
        <w:t>The AI Companionship Industry: Digital Relationships</w:t>
      </w:r>
    </w:p>
    <w:p w14:paraId="6525AB38" w14:textId="77777777" w:rsidR="0099530B" w:rsidRDefault="0099530B" w:rsidP="0099530B"/>
    <w:p w14:paraId="712678E7" w14:textId="77777777" w:rsidR="0099530B" w:rsidRDefault="0099530B" w:rsidP="0099530B">
      <w:r>
        <w:t>The artificial intelligence companionship market represents rapidly expanding sectors, with estimated market valuation of $2.7 billion in 2024 and projected expansion to $24.5 billion by 2034 at compound annual growth rates of 24.7% (Market.us 2025). Search interest for "AI Girlfriend" has increased substantially, with estimates suggesting 525% surges in search volume over single-year periods (What's the Big Data 2024). Platforms including Character.AI, Replika, Chai Research, Kuki AI, and Anima AI employ freemium subscription models, with premium features generating revenue streams estimated at $50 million annually for leading platforms.</w:t>
      </w:r>
    </w:p>
    <w:p w14:paraId="6BF935E5" w14:textId="77777777" w:rsidR="0099530B" w:rsidRDefault="0099530B" w:rsidP="0099530B"/>
    <w:p w14:paraId="52957552" w14:textId="77777777" w:rsidR="0099530B" w:rsidRDefault="0099530B" w:rsidP="0099530B">
      <w:r>
        <w:t>User research indicates approximately 47% of respondents report openness to considering AI applications for long-term relationship formation, with one in five young individuals expressing comfort with virtual or AI partnership concepts (What's the Big Data 2024). Adoption patterns appear concentrated among demographic groups reporting limited real-world partnership formation, though user sampling and selection biases warrant consideration.</w:t>
      </w:r>
    </w:p>
    <w:p w14:paraId="4AC2B09E" w14:textId="77777777" w:rsidR="0099530B" w:rsidRDefault="0099530B" w:rsidP="0099530B"/>
    <w:p w14:paraId="29FE7178" w14:textId="77777777" w:rsidR="0099530B" w:rsidRDefault="0099530B" w:rsidP="0099530B">
      <w:r>
        <w:t>AI companion platforms provide low-friction emotional interaction without rejection risks or negotiation requirements characteristic of human relationships. Digital engagement mechanisms providing high-reward stimuli may theoretically compete with partnership-formation activities for individual time and cognitive resources. However, causality regarding relationships between digital companionship adoption and partnership formation outcomes remains unclear. Alternative interpretations suggest limited partnership formation opportunities may drive adoption of digital alternatives rather than digital alternatives reducing partnership pursuit. Implications of widespread AI companionship adoption for partnership formation and fertility outcomes remain uncertain, warranting systematic investigation of user motivations, adoption patterns, and associations with partnership formation trajectories.</w:t>
      </w:r>
    </w:p>
    <w:p w14:paraId="2153DACB" w14:textId="77777777" w:rsidR="0099530B" w:rsidRDefault="0099530B" w:rsidP="0099530B"/>
    <w:p w14:paraId="28FD5B30" w14:textId="77777777" w:rsidR="0099530B" w:rsidRPr="0099530B" w:rsidRDefault="0099530B" w:rsidP="0099530B">
      <w:pPr>
        <w:rPr>
          <w:b/>
          <w:bCs/>
        </w:rPr>
      </w:pPr>
      <w:r w:rsidRPr="0099530B">
        <w:rPr>
          <w:b/>
          <w:bCs/>
        </w:rPr>
        <w:t>Tradwife Movements and Alternative Domestic Models</w:t>
      </w:r>
    </w:p>
    <w:p w14:paraId="1AA0182E" w14:textId="77777777" w:rsidR="0099530B" w:rsidRDefault="0099530B" w:rsidP="0099530B"/>
    <w:p w14:paraId="0ACC6B17" w14:textId="77777777" w:rsidR="0099530B" w:rsidRDefault="0099530B" w:rsidP="0099530B">
      <w:r>
        <w:t>Social media platforms have observed expanding content categories emphasizing traditional gender role arrangements, frequently characterized as "tradwife" (traditional wife) movements. Prominent content creators including Nara Smith have accumulated substantial follower bases (11.5 million followers) through documentation of domestic activities including cooking from scratch, child-rearing, and household management (Media Diversity Institute 2025). Content analysis suggests nearly half of tradwife content creators identify as women of color, contrary to potential stereotypes regarding movement composition (University of Hawai</w:t>
      </w:r>
      <w:r>
        <w:rPr>
          <w:rFonts w:ascii="Arial" w:hAnsi="Arial" w:cs="Arial"/>
        </w:rPr>
        <w:t>ʻ</w:t>
      </w:r>
      <w:r>
        <w:t>i at M</w:t>
      </w:r>
      <w:r>
        <w:rPr>
          <w:rFonts w:ascii="Aptos" w:hAnsi="Aptos" w:cs="Aptos"/>
        </w:rPr>
        <w:t>ā</w:t>
      </w:r>
      <w:r>
        <w:t>noa 2025).</w:t>
      </w:r>
    </w:p>
    <w:p w14:paraId="5F3504AE" w14:textId="77777777" w:rsidR="0099530B" w:rsidRDefault="0099530B" w:rsidP="0099530B"/>
    <w:p w14:paraId="10017150" w14:textId="77777777" w:rsidR="0099530B" w:rsidRDefault="0099530B" w:rsidP="0099530B">
      <w:r>
        <w:t>Content motivations appear heterogeneous, with some creators emphasizing greater fulfillment from domestic focus compared to corporate employment, while others explicitly incorporate ideological positioning regarding gender roles and family structures (ABC News 2024). The movement encompasses both partnered individuals with children and single or child-free participants, complicating characterizations.</w:t>
      </w:r>
    </w:p>
    <w:p w14:paraId="2264C555" w14:textId="77777777" w:rsidR="0099530B" w:rsidRDefault="0099530B" w:rsidP="0099530B"/>
    <w:p w14:paraId="0EF31B5C" w14:textId="77777777" w:rsidR="0099530B" w:rsidRDefault="0099530B" w:rsidP="0099530B">
      <w:r>
        <w:t xml:space="preserve">Economic accessibility considerations warrant attention: tradwife lifestyles depicted in content typically require household incomes sufficient to support single-earner arrangements, configurations increasingly restricted to higher-income households. Long-term financial security considerations, including widowhood occurring at average ages of 59 with extended life expectancy, present potential vulnerabilities less frequently addressed in social media content. The movement may represent viable </w:t>
      </w:r>
      <w:r>
        <w:lastRenderedPageBreak/>
        <w:t>alternative domestic arrangements for economically privileged cohorts while remaining inaccessible to broader populations facing binding income constraints.</w:t>
      </w:r>
    </w:p>
    <w:p w14:paraId="1F6D44DB" w14:textId="77777777" w:rsidR="0099530B" w:rsidRDefault="0099530B" w:rsidP="0099530B"/>
    <w:p w14:paraId="3DF75462" w14:textId="77777777" w:rsidR="0099530B" w:rsidRDefault="0099530B" w:rsidP="0099530B">
      <w:r>
        <w:t>Relationships between tradwife content exposure and fertility decisions remain unexplored empirically. Content may influence household composition aspirations, but relationships between content consumption and realized fertility outcomes require systematic investigation. Selection effects warrant consideration: individuals already attracted to domestic arrangements may disproportionately consume such content rather than content consumption influencing fertility preferences.</w:t>
      </w:r>
    </w:p>
    <w:p w14:paraId="546D10BD" w14:textId="77777777" w:rsidR="0099530B" w:rsidRDefault="0099530B" w:rsidP="0099530B"/>
    <w:p w14:paraId="7727F407" w14:textId="77777777" w:rsidR="0099530B" w:rsidRPr="0099530B" w:rsidRDefault="0099530B" w:rsidP="0099530B">
      <w:pPr>
        <w:rPr>
          <w:b/>
          <w:bCs/>
        </w:rPr>
      </w:pPr>
      <w:r w:rsidRPr="0099530B">
        <w:rPr>
          <w:b/>
          <w:bCs/>
        </w:rPr>
        <w:t>The Transformation of Gender Roles and Partnership Dynamics</w:t>
      </w:r>
    </w:p>
    <w:p w14:paraId="52C9BAC9" w14:textId="77777777" w:rsidR="0099530B" w:rsidRDefault="0099530B" w:rsidP="0099530B"/>
    <w:p w14:paraId="200F8FCE" w14:textId="77777777" w:rsidR="0099530B" w:rsidRDefault="0099530B" w:rsidP="0099530B">
      <w:r>
        <w:t>Cultural narratives surrounding female autonomy have shifted profoundly, moving from interdependence models to economic independence models. This shift, while associated with significant gains in female workforce participation, may have unintentionally affected traditional partnership dynamics. Sociological analysis suggests "opportunity costs" of marriage may have risen; as women increasingly achieve educational parity with men, now earning majorities of bachelor's degrees in OECD nations, pools of "marriageable" partners meeting traditional criteria have statistically shifted (Fry 2022a). This may create structural mismatches in partnership markets where high-status women face different partner availability than previous generations, potentially contributing to partnership delay or rejection (De Hauw, Grow, and Van Bavel 2017). However, recent research examining England 1837-2021 concluded that women married men of equivalent status to their fathers with limited evidence of significant hypergamous marriage patterns historically (Clark and Cummins 2025), suggesting partnership matching processes may be more complex than simple status-seeking models.</w:t>
      </w:r>
    </w:p>
    <w:p w14:paraId="100CA310" w14:textId="77777777" w:rsidR="0099530B" w:rsidRDefault="0099530B" w:rsidP="0099530B"/>
    <w:p w14:paraId="4FD84C64" w14:textId="77777777" w:rsidR="0099530B" w:rsidRDefault="0099530B" w:rsidP="0099530B">
      <w:r>
        <w:t>Furthermore, cultural norms have evolved regarding domesticity; choices to prioritize motherhood over careers may be viewed through lenses of economic potential, although niche counter-cultural movements such as "Trad Wife" phenomena or "crunchy/almond moms" have emerged on social media as performative alternatives to these perspectives.</w:t>
      </w:r>
    </w:p>
    <w:p w14:paraId="37F77F48" w14:textId="77777777" w:rsidR="0099530B" w:rsidRDefault="0099530B" w:rsidP="0099530B"/>
    <w:p w14:paraId="2CDAB6AA" w14:textId="77777777" w:rsidR="0099530B" w:rsidRPr="0099530B" w:rsidRDefault="0099530B" w:rsidP="0099530B">
      <w:pPr>
        <w:rPr>
          <w:b/>
          <w:bCs/>
        </w:rPr>
      </w:pPr>
      <w:r w:rsidRPr="0099530B">
        <w:rPr>
          <w:b/>
          <w:bCs/>
        </w:rPr>
        <w:t>Technological Displacement and Digital Substitution</w:t>
      </w:r>
    </w:p>
    <w:p w14:paraId="5D9E5280" w14:textId="77777777" w:rsidR="0099530B" w:rsidRDefault="0099530B" w:rsidP="0099530B"/>
    <w:p w14:paraId="1DCFE1ED" w14:textId="77777777" w:rsidR="0099530B" w:rsidRDefault="0099530B" w:rsidP="0099530B">
      <w:r>
        <w:lastRenderedPageBreak/>
        <w:t>Digital technology may function as super-normal stimuli, providing artificial triggers evoking stronger responses than natural evolutionary triggers. Ethologist Niko Tinbergen defined super-normal stimuli as artificial triggers eliciting stronger responses than natural counterparts (Tinbergen 1951). In modern contexts, digital technologies—pornography, video games, social media algorithms—offer high-reward experiences with minimal social friction. For risk-averse cohorts, these digital alternatives may satisfy immediate desires for novelty and validation without discomfort of rejection inherent in real-world courtship.</w:t>
      </w:r>
    </w:p>
    <w:p w14:paraId="4B1B0A61" w14:textId="77777777" w:rsidR="0099530B" w:rsidRDefault="0099530B" w:rsidP="0099530B"/>
    <w:p w14:paraId="6769F770" w14:textId="77777777" w:rsidR="0099530B" w:rsidRDefault="0099530B" w:rsidP="0099530B">
      <w:r>
        <w:t>Multifactorial elements of partnership formation alongside new technologies are manifesting globally in phenomena of social withdrawal. In Japan, hikikomori—individuals withdrawing from society for six months or more—number over 1.5 million (Kato et al. 2011). In Western contexts, emergence of "incel" (involuntary celibate) subcultures and concerns regarding unpartnered young men reflect similar patterns. As digital AI companions and immersive content become more sophisticated, opportunity costs of real-world partnership pursuit may rise. Increasing technology use may impact socialization abilities, understanding of social cues and language, potentially increasing frictions of approaching potential partners while providing lower-friction alternatives.</w:t>
      </w:r>
    </w:p>
    <w:p w14:paraId="67467979" w14:textId="77777777" w:rsidR="0099530B" w:rsidRDefault="0099530B" w:rsidP="0099530B"/>
    <w:p w14:paraId="15AF057B" w14:textId="77777777" w:rsidR="0099530B" w:rsidRDefault="0099530B" w:rsidP="0099530B">
      <w:r>
        <w:t>However, attributing fertility decline primarily to technology risks confusing symptoms with causes. Digital displacement may reflect underlying institutional failures: delayed adulthood transitions, housing insecurity, workplace precarity raise partnership formation thresholds, making low-friction digital alternatives relatively more attractive. Addressing root institutional causes may reduce technological displacement without requiring direct technology regulation.</w:t>
      </w:r>
    </w:p>
    <w:p w14:paraId="7671F016" w14:textId="77777777" w:rsidR="0099530B" w:rsidRDefault="0099530B" w:rsidP="0099530B"/>
    <w:p w14:paraId="0C1462DF" w14:textId="77777777" w:rsidR="0099530B" w:rsidRPr="0099530B" w:rsidRDefault="0099530B" w:rsidP="0099530B">
      <w:pPr>
        <w:rPr>
          <w:b/>
          <w:bCs/>
        </w:rPr>
      </w:pPr>
      <w:r w:rsidRPr="0099530B">
        <w:rPr>
          <w:b/>
          <w:bCs/>
        </w:rPr>
        <w:t>Contraception and the Decoupling of Intimacy</w:t>
      </w:r>
    </w:p>
    <w:p w14:paraId="0521C7A0" w14:textId="77777777" w:rsidR="0099530B" w:rsidRDefault="0099530B" w:rsidP="0099530B"/>
    <w:p w14:paraId="7BF40AF4" w14:textId="77777777" w:rsidR="0099530B" w:rsidRDefault="0099530B" w:rsidP="0099530B">
      <w:r>
        <w:t xml:space="preserve">Widespread contraception availability has fundamentally altered fertility mechanics. Historically, significant portions of birth rates were driven by "unintended" fertility—births occurring as byproducts of intimacy rather than conscious planning. Widespread availability of effective contraception has empowered women to control reproductive timelines, a crucial public health advancement. However, demographic data suggests assumptions that contraception would lead to "more sex, fewer babies" may be incomplete. Instead, patterns suggest "less sex, fewer babies." Frequency of sexual intimacy among adults has declined significantly; research indicates numbers of young adults reporting zero sexual partners in past year doubled from 12% to 24% since 2010 </w:t>
      </w:r>
      <w:r>
        <w:lastRenderedPageBreak/>
        <w:t>(Institute for Family Studies n.d.). Consequently, fertility has shifted from default outcomes of adult life to deliberate, high-threshold choices.</w:t>
      </w:r>
    </w:p>
    <w:p w14:paraId="5C553DEE" w14:textId="77777777" w:rsidR="0099530B" w:rsidRDefault="0099530B" w:rsidP="0099530B"/>
    <w:p w14:paraId="4D35C713" w14:textId="77777777" w:rsidR="0099530B" w:rsidRPr="0099530B" w:rsidRDefault="0099530B" w:rsidP="0099530B">
      <w:pPr>
        <w:rPr>
          <w:b/>
          <w:bCs/>
        </w:rPr>
      </w:pPr>
      <w:r w:rsidRPr="0099530B">
        <w:rPr>
          <w:b/>
          <w:bCs/>
        </w:rPr>
        <w:t>The Collapse of Coupling: The "Sex Recession"</w:t>
      </w:r>
    </w:p>
    <w:p w14:paraId="23230829" w14:textId="77777777" w:rsidR="0099530B" w:rsidRDefault="0099530B" w:rsidP="0099530B"/>
    <w:p w14:paraId="11FCC1B9" w14:textId="77777777" w:rsidR="0099530B" w:rsidRDefault="0099530B" w:rsidP="0099530B">
      <w:r>
        <w:t>Sociological shifts mirror physiological patterns: the "Sex Recession." General Social Survey data indicates proportions of men under 30 reporting zero sexual partners in past year nearly tripled since 2008, rising to approximately 28% (Twenge, Sherman, and Wells 2017). This signals profound decoupling of intimacy from daily life. One must inquire whether biological imperatives to mate are being affected or displaced. If precursors to conception—attraction, courtship, copulation—represent biological processes that are declining, downstream economic incentives for childcare may remain ineffective at addressing fertility decline.</w:t>
      </w:r>
    </w:p>
    <w:p w14:paraId="28A08BDC" w14:textId="77777777" w:rsidR="0099530B" w:rsidRDefault="0099530B" w:rsidP="0099530B"/>
    <w:p w14:paraId="32222C7F" w14:textId="77777777" w:rsidR="0099530B" w:rsidRPr="0099530B" w:rsidRDefault="0099530B" w:rsidP="0099530B">
      <w:pPr>
        <w:rPr>
          <w:b/>
          <w:bCs/>
        </w:rPr>
      </w:pPr>
      <w:r w:rsidRPr="0099530B">
        <w:rPr>
          <w:b/>
          <w:bCs/>
        </w:rPr>
        <w:t>Speculative Biological Hypotheses</w:t>
      </w:r>
    </w:p>
    <w:p w14:paraId="6411D91B" w14:textId="77777777" w:rsidR="0099530B" w:rsidRDefault="0099530B" w:rsidP="0099530B"/>
    <w:p w14:paraId="1BC2B9E7" w14:textId="77777777" w:rsidR="0099530B" w:rsidRDefault="0099530B" w:rsidP="0099530B">
      <w:r>
        <w:t>While economic explanations for withdrawal are abundant, biological hypotheses warrant investigation. Drivers of attraction are governed by complex neurochemistry involving testosterone, dopamine, and pheromonal signaling. Speculation exists regarding whether modern metabolic environments may be affecting these systems. Medical evidence establishes that obesity links to 42% lower sperm counts in men and significant ovulatory disruption in women (Palmer et al. 2012). However, beyond fertility mechanics, adipose tissue expresses aromatase, an enzyme converting testosterone to estrogen. Biologically plausible hypotheses suggest global obesity prevalence may be affecting population-level libido. If baseline hormonal drives to seek mates are metabolically affected, thresholds for initiating courtship may rise, making populations less resilient to social frictions of partnership formation.</w:t>
      </w:r>
    </w:p>
    <w:p w14:paraId="18628546" w14:textId="77777777" w:rsidR="0099530B" w:rsidRDefault="0099530B" w:rsidP="0099530B"/>
    <w:p w14:paraId="169F844E" w14:textId="77777777" w:rsidR="0099530B" w:rsidRDefault="0099530B" w:rsidP="0099530B">
      <w:r>
        <w:t>Furthermore, evolutionary biology suggests human mate selection may be mediated by Major Histocompatibility Complex (MHC), potentially detected through chemical signals. Evidence exists that hormonal secretions change based on metabolic states, stress levels, and hormone cycles. Interesting lines of scientific inquiry might ask whether populations experiencing chronic low-grade inflammation, widespread use of hormonal contraceptives, and elevated cortisol may be affecting biological signals to potential mates. These remain speculative hypotheses requiring rigorous investigation.</w:t>
      </w:r>
    </w:p>
    <w:p w14:paraId="00A36ED2" w14:textId="77777777" w:rsidR="0099530B" w:rsidRDefault="0099530B" w:rsidP="0099530B"/>
    <w:p w14:paraId="18DF1089" w14:textId="77777777" w:rsidR="0099530B" w:rsidRPr="0099530B" w:rsidRDefault="0099530B" w:rsidP="0099530B">
      <w:pPr>
        <w:rPr>
          <w:b/>
          <w:bCs/>
        </w:rPr>
      </w:pPr>
      <w:r w:rsidRPr="0099530B">
        <w:rPr>
          <w:b/>
          <w:bCs/>
        </w:rPr>
        <w:lastRenderedPageBreak/>
        <w:t>Conclusion: The Limits of Market Solutions</w:t>
      </w:r>
    </w:p>
    <w:p w14:paraId="408A0B9F" w14:textId="77777777" w:rsidR="0099530B" w:rsidRDefault="0099530B" w:rsidP="0099530B"/>
    <w:p w14:paraId="0AECAC6B" w14:textId="77777777" w:rsidR="0099530B" w:rsidRDefault="0099530B" w:rsidP="0099530B">
      <w:r>
        <w:t>As documented throughout this analysis, diverse market responses to fertility constraints have emerged: egg freezing technologies extending reproductive windows, assisted reproductive interventions addressing biological barriers, AI companionship platforms providing emotional alternatives, pet economy expansion serving caregiving motivations, and cultural movements offering alternative domestic arrangements. However, evidence suggests no single market solution has reversed fertility decline at scale.</w:t>
      </w:r>
    </w:p>
    <w:p w14:paraId="349F31FB" w14:textId="77777777" w:rsidR="0099530B" w:rsidRDefault="0099530B" w:rsidP="0099530B"/>
    <w:p w14:paraId="5A4D2AFF" w14:textId="77777777" w:rsidR="0099530B" w:rsidRDefault="0099530B" w:rsidP="0099530B">
      <w:r>
        <w:t>This limitation reflects fundamental characteristics of reproduction as economic and social phenomena. Children produce positive externalities—future tax contributions, labor supply, knowledge production, pension support—that markets do not internalize absent coordinated policy intervention (Becker 1960). Individual households bear full costs while benefits extend to broader populations, creating potential divergence between private and social optimization.</w:t>
      </w:r>
    </w:p>
    <w:p w14:paraId="5D77570B" w14:textId="77777777" w:rsidR="0099530B" w:rsidRDefault="0099530B" w:rsidP="0099530B"/>
    <w:p w14:paraId="46533C1A" w14:textId="77777777" w:rsidR="0099530B" w:rsidRDefault="0099530B" w:rsidP="0099530B">
      <w:r>
        <w:t>Partnership formation challenges operate upstream of household fertility decisions. Evidence of substantial proportions of childless individuals initially desiring children (over 90%), gender differences in childlessness potentially related to labor market position (25% male versus 20% female), and substantial fertility gaps between desired and realized outcomes suggests observed childlessness may reflect constrained optimization rather than purely preference-driven outcomes.</w:t>
      </w:r>
    </w:p>
    <w:p w14:paraId="02359BFF" w14:textId="77777777" w:rsidR="0099530B" w:rsidRDefault="0099530B" w:rsidP="0099530B"/>
    <w:p w14:paraId="5DAE445A" w14:textId="77777777" w:rsidR="0099530B" w:rsidRDefault="0099530B" w:rsidP="0099530B">
      <w:r>
        <w:t>Cultural shifts toward individualization may reduce fertility independent of economic cost changes. Religious communities maintaining cultural frameworks emphasizing childbearing sustain above-replacement fertility despite economic development, indicating purely secular economic analyses may insufficiently specify fertility determinants.</w:t>
      </w:r>
    </w:p>
    <w:p w14:paraId="01810BD1" w14:textId="77777777" w:rsidR="0099530B" w:rsidRDefault="0099530B" w:rsidP="0099530B"/>
    <w:p w14:paraId="4EAEF03F" w14:textId="77777777" w:rsidR="0099530B" w:rsidRDefault="0099530B" w:rsidP="0099530B">
      <w:r>
        <w:t xml:space="preserve">Institutional interventions addressing material constraints—housing provision, childcare access, parental leave equity, labor market flexibility—produce measurable but modest fertility effects. Nordic institutional models reduce motherhood penalties without achieving replacement fertility, suggesting constraint removal may not fully address fertility decline. Whether comprehensive cultural renewal emphasizing </w:t>
      </w:r>
      <w:r>
        <w:lastRenderedPageBreak/>
        <w:t>childbearing value could achieve fertility stabilization in secular societies remains unresolved.</w:t>
      </w:r>
    </w:p>
    <w:p w14:paraId="284377E2" w14:textId="77777777" w:rsidR="0099530B" w:rsidRDefault="0099530B" w:rsidP="0099530B"/>
    <w:p w14:paraId="3F5AD39F" w14:textId="77777777" w:rsidR="0099530B" w:rsidRDefault="0099530B" w:rsidP="0099530B">
      <w:r>
        <w:t>Alternative scenarios involving acceptance of fertility decline and structural adaptation through automation, immigration, and pension system reform may represent feasible policy trajectories. The choice between pronatalist intervention and adaptive response reflects normative considerations transcending positive economic analysis. Whether market societies can maintain replacement fertility absent cultural-religious frameworks emphasizing childbearing remains an open question with profound implications for demographic and economic trajectories. Empirical investigation of market mechanisms, institutional reforms, and cultural factors remains essential for informing policy deliberation regarding demographic futures.</w:t>
      </w:r>
    </w:p>
    <w:p w14:paraId="1A754F49" w14:textId="77777777" w:rsidR="0099530B" w:rsidRDefault="0099530B" w:rsidP="0099530B"/>
    <w:p w14:paraId="310039C8" w14:textId="77777777" w:rsidR="0099530B" w:rsidRDefault="0099530B">
      <w:pPr>
        <w:rPr>
          <w:b/>
          <w:bCs/>
        </w:rPr>
      </w:pPr>
      <w:r>
        <w:rPr>
          <w:b/>
          <w:bCs/>
        </w:rPr>
        <w:br w:type="page"/>
      </w:r>
    </w:p>
    <w:p w14:paraId="216F52CD" w14:textId="49DFFD2B" w:rsidR="0099530B" w:rsidRPr="0099530B" w:rsidRDefault="0099530B" w:rsidP="0099530B">
      <w:pPr>
        <w:rPr>
          <w:b/>
          <w:bCs/>
        </w:rPr>
      </w:pPr>
      <w:r w:rsidRPr="0099530B">
        <w:rPr>
          <w:b/>
          <w:bCs/>
        </w:rPr>
        <w:lastRenderedPageBreak/>
        <w:t>References</w:t>
      </w:r>
    </w:p>
    <w:p w14:paraId="46C84D8D" w14:textId="51779079" w:rsidR="0099530B" w:rsidRDefault="00E71BF1" w:rsidP="0099530B">
      <w:r>
        <w:t xml:space="preserve">AI – Perplexity, Gemini and Chatt GPT were used in the creation of this report for final write up. All research, views and analysis are my own. </w:t>
      </w:r>
    </w:p>
    <w:p w14:paraId="1AFDCDE2" w14:textId="77777777" w:rsidR="00E71BF1" w:rsidRDefault="00E71BF1" w:rsidP="0099530B"/>
    <w:p w14:paraId="0D53F437" w14:textId="77777777" w:rsidR="0099530B" w:rsidRDefault="0099530B" w:rsidP="0099530B">
      <w:r>
        <w:t>ABC News. 2024. "'Tradwife' Lifestyle Trends on Social Media and the Internet Is Divided." June 23. https://abcnews.go.com/US/tradwife-lifestyle-trends-social-media-internet-divided/story?id=111327508.</w:t>
      </w:r>
    </w:p>
    <w:p w14:paraId="68CC9B39" w14:textId="77777777" w:rsidR="0099530B" w:rsidRDefault="0099530B" w:rsidP="0099530B"/>
    <w:p w14:paraId="0C6BD139" w14:textId="77777777" w:rsidR="0099530B" w:rsidRDefault="0099530B" w:rsidP="0099530B">
      <w:r>
        <w:t>American Pet Products Association (APPA). n.d. "Industry Trends &amp; Stats." Accessed December 31, 2024. https://americanpetproducts.org/industry-trends-and-stats.</w:t>
      </w:r>
    </w:p>
    <w:p w14:paraId="1F462052" w14:textId="77777777" w:rsidR="0099530B" w:rsidRDefault="0099530B" w:rsidP="0099530B"/>
    <w:p w14:paraId="6052AE7F" w14:textId="77777777" w:rsidR="0099530B" w:rsidRDefault="0099530B" w:rsidP="0099530B">
      <w:r>
        <w:t>Becker, Gary S. 1960. "An Economic Analysis of Fertility." In *Demographic and Economic Change in Developed Countries*, 209-240. Princeton: Princeton University Press.</w:t>
      </w:r>
    </w:p>
    <w:p w14:paraId="5EFD2DA1" w14:textId="77777777" w:rsidR="0099530B" w:rsidRDefault="0099530B" w:rsidP="0099530B"/>
    <w:p w14:paraId="31CC5E1E" w14:textId="77777777" w:rsidR="0099530B" w:rsidRDefault="0099530B" w:rsidP="0099530B">
      <w:r>
        <w:t>Bergsvik, Janna, Rannveig Kaldager Hart, and Agnes Fauske. 2021. "Can Policies Stall the Fertility Fall? A Systematic Review of the (Quasi-) Experimental Literature." *Population and Development Review* 47 (4): 913-964.</w:t>
      </w:r>
    </w:p>
    <w:p w14:paraId="08437C91" w14:textId="77777777" w:rsidR="0099530B" w:rsidRDefault="0099530B" w:rsidP="0099530B"/>
    <w:p w14:paraId="200E8E16" w14:textId="77777777" w:rsidR="0099530B" w:rsidRDefault="0099530B" w:rsidP="0099530B">
      <w:r>
        <w:t>Bhattacharjee, Natalia V., et al. 2024. "Global Fertility in 204 Countries and Territories, 1950-2021, with Forecasts to 2100: A Comprehensive Demographic Analysis for the Global Burden of Disease Study 2021." *The Lancet* 403 (10440): 2057-2099.</w:t>
      </w:r>
    </w:p>
    <w:p w14:paraId="696D9970" w14:textId="77777777" w:rsidR="0099530B" w:rsidRDefault="0099530B" w:rsidP="0099530B"/>
    <w:p w14:paraId="2CA4476A" w14:textId="77777777" w:rsidR="0099530B" w:rsidRDefault="0099530B" w:rsidP="0099530B">
      <w:r>
        <w:t>Bongaarts, John, and Tomáš Sobotka. 2012. "A Demographic Explanation for the Recent Rise in European Fertility." *Population and Development Review* 38 (1): 83-120.</w:t>
      </w:r>
    </w:p>
    <w:p w14:paraId="35546C4C" w14:textId="77777777" w:rsidR="0099530B" w:rsidRDefault="0099530B" w:rsidP="0099530B"/>
    <w:p w14:paraId="02CB81B2" w14:textId="77777777" w:rsidR="0099530B" w:rsidRDefault="0099530B" w:rsidP="0099530B">
      <w:r>
        <w:t>Cabinet Office of Japan. 2019. "Survey on Actual Conditions of Hikikomori." Tokyo: Cabinet Office.</w:t>
      </w:r>
    </w:p>
    <w:p w14:paraId="543B3439" w14:textId="77777777" w:rsidR="0099530B" w:rsidRDefault="0099530B" w:rsidP="0099530B"/>
    <w:p w14:paraId="7E4F4F23" w14:textId="77777777" w:rsidR="0099530B" w:rsidRDefault="0099530B" w:rsidP="0099530B">
      <w:r>
        <w:t>Caldwell, J. C. 1976. "Toward A Restatement of Demographic Transition Theory." September 1. https://www.rti.org/publication/toward-restatement-demographic-transition-theory.</w:t>
      </w:r>
    </w:p>
    <w:p w14:paraId="439C0027" w14:textId="77777777" w:rsidR="0099530B" w:rsidRDefault="0099530B" w:rsidP="0099530B"/>
    <w:p w14:paraId="52BEBD8C" w14:textId="77777777" w:rsidR="0099530B" w:rsidRDefault="0099530B" w:rsidP="0099530B">
      <w:r>
        <w:t>Ciscel, David. 2003. "The Invisible Heart: Economics and Family Values." *The Journal of Socio-Economics* 32 (6): 641-655.</w:t>
      </w:r>
    </w:p>
    <w:p w14:paraId="7A7A747B" w14:textId="77777777" w:rsidR="0099530B" w:rsidRDefault="0099530B" w:rsidP="0099530B"/>
    <w:p w14:paraId="46D37D9B" w14:textId="77777777" w:rsidR="0099530B" w:rsidRDefault="0099530B" w:rsidP="0099530B">
      <w:r>
        <w:t>Clark, Gregory, and Neil Cummins. 2025. "Hypergamy Reconsidered: Marriage in England, 1837-2021." *PLOS ONE* 20 (2): e0316769.</w:t>
      </w:r>
    </w:p>
    <w:p w14:paraId="3A8684F1" w14:textId="77777777" w:rsidR="0099530B" w:rsidRDefault="0099530B" w:rsidP="0099530B"/>
    <w:p w14:paraId="55A6DF07" w14:textId="77777777" w:rsidR="0099530B" w:rsidRDefault="0099530B" w:rsidP="0099530B">
      <w:r>
        <w:t>Cofertility. n.d. "Family-Building Options That Put You First." Accessed December 15, 2024. https://www.cofertility.com/.</w:t>
      </w:r>
    </w:p>
    <w:p w14:paraId="7DC6E256" w14:textId="77777777" w:rsidR="0099530B" w:rsidRDefault="0099530B" w:rsidP="0099530B"/>
    <w:p w14:paraId="51E5F26E" w14:textId="77777777" w:rsidR="0099530B" w:rsidRDefault="0099530B" w:rsidP="0099530B">
      <w:r>
        <w:t>De Hauw, Yolien, André Grow, and Jan Van Bavel. 2017. "The Reversed Gender Gap in Education and Assortative Mating in Europe." *European Journal of Population* 33 (4): 445-474.</w:t>
      </w:r>
    </w:p>
    <w:p w14:paraId="7D924318" w14:textId="77777777" w:rsidR="0099530B" w:rsidRDefault="0099530B" w:rsidP="0099530B"/>
    <w:p w14:paraId="6F24E774" w14:textId="77777777" w:rsidR="0099530B" w:rsidRDefault="0099530B" w:rsidP="0099530B">
      <w:r>
        <w:t>Duke University School of Medicine. 2025. "EXTENDing Hope: Artificial Wombs for Safer Neonatal Development." January 14. https://medschool.duke.edu/blog/extending-hope-artificial-wombs-safer-neonatal-development.</w:t>
      </w:r>
    </w:p>
    <w:p w14:paraId="75D0312B" w14:textId="77777777" w:rsidR="0099530B" w:rsidRDefault="0099530B" w:rsidP="0099530B"/>
    <w:p w14:paraId="4EFB2B57" w14:textId="77777777" w:rsidR="0099530B" w:rsidRDefault="0099530B" w:rsidP="0099530B">
      <w:r>
        <w:t>Fry, Richard. 2022a. "Women Now Outnumber Men in the U.S. College-Educated Labor Force." Pew Research Center, September 26.</w:t>
      </w:r>
    </w:p>
    <w:p w14:paraId="14BA9807" w14:textId="77777777" w:rsidR="0099530B" w:rsidRDefault="0099530B" w:rsidP="0099530B"/>
    <w:p w14:paraId="5566FBD7" w14:textId="77777777" w:rsidR="0099530B" w:rsidRDefault="0099530B" w:rsidP="0099530B">
      <w:r>
        <w:t>Fry, Richard. 2022b. "Young Women Are Out-Earning Young Men in Several U.S. Cities." Pew Research Center, March 28.</w:t>
      </w:r>
    </w:p>
    <w:p w14:paraId="6AD842E4" w14:textId="77777777" w:rsidR="0099530B" w:rsidRDefault="0099530B" w:rsidP="0099530B"/>
    <w:p w14:paraId="058B123A" w14:textId="77777777" w:rsidR="0099530B" w:rsidRDefault="0099530B" w:rsidP="0099530B">
      <w:r>
        <w:t>Gnoth, Christian, D Godehardt, Erhard Godehardt, Petra Frank-Herrmann, and Guenter Freundl. 2003. "Time to Pregnancy: Results of the German Prospective Study and Impact on the Management of Infertility." *Human Reproduction* 18 (10): 1959-1966.</w:t>
      </w:r>
    </w:p>
    <w:p w14:paraId="4346F60A" w14:textId="77777777" w:rsidR="0099530B" w:rsidRDefault="0099530B" w:rsidP="0099530B"/>
    <w:p w14:paraId="1459B59A" w14:textId="77777777" w:rsidR="0099530B" w:rsidRDefault="0099530B" w:rsidP="0099530B">
      <w:r>
        <w:t>Goldin, Claudia. 2025. "Babies and the Macroeconomy." *Economica* 92 (367): 675-700.</w:t>
      </w:r>
    </w:p>
    <w:p w14:paraId="509891DD" w14:textId="77777777" w:rsidR="0099530B" w:rsidRDefault="0099530B" w:rsidP="0099530B"/>
    <w:p w14:paraId="0820989D" w14:textId="77777777" w:rsidR="0099530B" w:rsidRDefault="0099530B" w:rsidP="0099530B">
      <w:r>
        <w:lastRenderedPageBreak/>
        <w:t>Götmark, Frank, and Malte Andersson. 2020. "Human Fertility in Relation to Education, Economy, Religion, Contraception, and Family Planning Programs." *BMC Public Health* 20 (1): 265.</w:t>
      </w:r>
    </w:p>
    <w:p w14:paraId="658B83E4" w14:textId="77777777" w:rsidR="0099530B" w:rsidRDefault="0099530B" w:rsidP="0099530B"/>
    <w:p w14:paraId="344FBF42" w14:textId="77777777" w:rsidR="0099530B" w:rsidRDefault="0099530B" w:rsidP="0099530B">
      <w:r>
        <w:t>Hakim, Catherine. 2003. *Models of the Family in Modern Societies: Ideals and Realities*. Aldershot: Ashgate.</w:t>
      </w:r>
    </w:p>
    <w:p w14:paraId="7269235C" w14:textId="77777777" w:rsidR="0099530B" w:rsidRDefault="0099530B" w:rsidP="0099530B"/>
    <w:p w14:paraId="467E7F33" w14:textId="77777777" w:rsidR="0099530B" w:rsidRDefault="0099530B" w:rsidP="0099530B">
      <w:r>
        <w:t>Hazan, Moshe, and Hosny Zoabi. 2015. "Do Highly Educated Women Choose Smaller Families?" *The Economic Journal* 125 (587): 1191-1226.</w:t>
      </w:r>
    </w:p>
    <w:p w14:paraId="7DE2AE40" w14:textId="77777777" w:rsidR="0099530B" w:rsidRDefault="0099530B" w:rsidP="0099530B"/>
    <w:p w14:paraId="7C43CE93" w14:textId="77777777" w:rsidR="0099530B" w:rsidRDefault="0099530B" w:rsidP="0099530B">
      <w:r>
        <w:t>Herre, Bastian, Veronika Samborska, Esteban Ortiz-Ospina, and Max Roser. 2020. "Marriages and Divorces." *Our World in Data*, July 25.</w:t>
      </w:r>
    </w:p>
    <w:p w14:paraId="5058CB06" w14:textId="77777777" w:rsidR="0099530B" w:rsidRDefault="0099530B" w:rsidP="0099530B"/>
    <w:p w14:paraId="79717520" w14:textId="77777777" w:rsidR="0099530B" w:rsidRDefault="0099530B" w:rsidP="0099530B">
      <w:r>
        <w:t>Institute for Family Studies. n.d. "The Sex Recession: The Share of Americans Having Regular Sex Keeps Dropping." Accessed December 9, 2025. https://ifstudies.org/blog/the-sex-recession-the-share-of-americans-having-regular-sex-keeps-dropping.</w:t>
      </w:r>
    </w:p>
    <w:p w14:paraId="10A74590" w14:textId="77777777" w:rsidR="0099530B" w:rsidRDefault="0099530B" w:rsidP="0099530B"/>
    <w:p w14:paraId="7C245F61" w14:textId="77777777" w:rsidR="0099530B" w:rsidRDefault="0099530B" w:rsidP="0099530B">
      <w:r>
        <w:t>Jalovaara, Marika, et al. 2017. "Education, Gender, and Cohort Fertility in the Nordic Countries." *European Journal of Population* 35 (3): 563-586.</w:t>
      </w:r>
    </w:p>
    <w:p w14:paraId="1A6C03AD" w14:textId="77777777" w:rsidR="0099530B" w:rsidRDefault="0099530B" w:rsidP="0099530B"/>
    <w:p w14:paraId="3CD5CC01" w14:textId="77777777" w:rsidR="0099530B" w:rsidRDefault="0099530B" w:rsidP="0099530B">
      <w:r>
        <w:t>Joint Center for Housing Studies (JCHS). 2024. "The State of the Nation's Housing 2024." Harvard University. https://www.jchs.harvard.edu/state-nations-housing-2024.</w:t>
      </w:r>
    </w:p>
    <w:p w14:paraId="71001921" w14:textId="77777777" w:rsidR="0099530B" w:rsidRDefault="0099530B" w:rsidP="0099530B"/>
    <w:p w14:paraId="2BD0EDDE" w14:textId="77777777" w:rsidR="0099530B" w:rsidRDefault="0099530B" w:rsidP="0099530B">
      <w:r>
        <w:t>Karavani, Ehud, et al. 2019. "Screening Human Embryos for Polygenic Traits Has Limited Utility." *Cell* 179 (6): 1424-1435.</w:t>
      </w:r>
    </w:p>
    <w:p w14:paraId="09422043" w14:textId="77777777" w:rsidR="0099530B" w:rsidRDefault="0099530B" w:rsidP="0099530B"/>
    <w:p w14:paraId="48DC702C" w14:textId="77777777" w:rsidR="0099530B" w:rsidRDefault="0099530B" w:rsidP="0099530B">
      <w:r>
        <w:t>Kato, Takahiro A., Naotaka Shinfuku, Norman Sartorius, and Shigenobu Kanba. 2011. "Are Japan's Hikikomori and Depression in Young People Spreading Abroad?" *The Lancet* 378 (9796): 1070.</w:t>
      </w:r>
    </w:p>
    <w:p w14:paraId="4BC82CEA" w14:textId="77777777" w:rsidR="0099530B" w:rsidRDefault="0099530B" w:rsidP="0099530B"/>
    <w:p w14:paraId="596FDA2F" w14:textId="77777777" w:rsidR="0099530B" w:rsidRDefault="0099530B" w:rsidP="0099530B">
      <w:r>
        <w:lastRenderedPageBreak/>
        <w:t>Kearney, Melissa S., and Phillip B. Levine. 2022. "The Causes and Consequences of Declining US Fertility." *Journal of Economic Perspectives* 37 (1): 151-176.</w:t>
      </w:r>
    </w:p>
    <w:p w14:paraId="33121A5C" w14:textId="77777777" w:rsidR="0099530B" w:rsidRDefault="0099530B" w:rsidP="0099530B"/>
    <w:p w14:paraId="588A1ABB" w14:textId="77777777" w:rsidR="0099530B" w:rsidRDefault="0099530B" w:rsidP="0099530B">
      <w:r>
        <w:t>Kleven, Henrik, Camille Landais, Johanna Posch, Andreas Steinhauer, and Josef Zweimüller. 2019. "Child Penalties across Countries: Evidence and Explanations." *AEA Papers and Proceedings* 109: 122-126.</w:t>
      </w:r>
    </w:p>
    <w:p w14:paraId="45305392" w14:textId="77777777" w:rsidR="0099530B" w:rsidRDefault="0099530B" w:rsidP="0099530B"/>
    <w:p w14:paraId="6A02E77F" w14:textId="77777777" w:rsidR="0099530B" w:rsidRDefault="0099530B" w:rsidP="0099530B">
      <w:r>
        <w:t>Lancaster University. n.d. "Ectogenesis." Accessed December 14, 2025. https://www.lancaster.ac.uk/future-of-human-reproduction/major-themes/ectogenesis/.</w:t>
      </w:r>
    </w:p>
    <w:p w14:paraId="0C77DCB7" w14:textId="77777777" w:rsidR="0099530B" w:rsidRDefault="0099530B" w:rsidP="0099530B"/>
    <w:p w14:paraId="6D5B0955" w14:textId="77777777" w:rsidR="0099530B" w:rsidRDefault="0099530B" w:rsidP="0099530B">
      <w:r>
        <w:t>Lee, Ronald. 2003. "The Demographic Transition: Three Centuries of Fundamental Change." *Journal of Economic Perspectives* 17 (4): 167-190.</w:t>
      </w:r>
    </w:p>
    <w:p w14:paraId="5881EC33" w14:textId="77777777" w:rsidR="0099530B" w:rsidRDefault="0099530B" w:rsidP="0099530B"/>
    <w:p w14:paraId="0B4F5724" w14:textId="77777777" w:rsidR="0099530B" w:rsidRDefault="0099530B" w:rsidP="0099530B">
      <w:r>
        <w:t>Levine, Hagai, et al. 2017. "Temporal Trends in Sperm Count: A Systematic Review and Meta-Regression Analysis." *Human Reproduction Update* 23 (6): 646-659.</w:t>
      </w:r>
    </w:p>
    <w:p w14:paraId="7DCEC828" w14:textId="77777777" w:rsidR="0099530B" w:rsidRDefault="0099530B" w:rsidP="0099530B"/>
    <w:p w14:paraId="00E19CB3" w14:textId="77777777" w:rsidR="0099530B" w:rsidRDefault="0099530B" w:rsidP="0099530B">
      <w:r>
        <w:t>Liu, Wenchao, et al. 2024. "Cohort and Gender Differences in the Association between Disease Onset and Childlessness." *Frontiers in Psychology* 15: 1669639.</w:t>
      </w:r>
    </w:p>
    <w:p w14:paraId="6A451D5F" w14:textId="77777777" w:rsidR="0099530B" w:rsidRDefault="0099530B" w:rsidP="0099530B"/>
    <w:p w14:paraId="7884B501" w14:textId="77777777" w:rsidR="0099530B" w:rsidRDefault="0099530B" w:rsidP="0099530B">
      <w:r>
        <w:t>Market.us. 2025. "AI Girlfriend App Market Size, Share | CAGR of 24.7%." October 15. https://market.us/report/ai-girlfriend-app-market/.</w:t>
      </w:r>
    </w:p>
    <w:p w14:paraId="1620D775" w14:textId="77777777" w:rsidR="0099530B" w:rsidRDefault="0099530B" w:rsidP="0099530B"/>
    <w:p w14:paraId="04F67328" w14:textId="77777777" w:rsidR="0099530B" w:rsidRDefault="0099530B" w:rsidP="0099530B">
      <w:r>
        <w:t>McKinsey Global Institute. 2024. "Confronting the Consequences of a New Demographic Reality." New York: McKinsey &amp; Company.</w:t>
      </w:r>
    </w:p>
    <w:p w14:paraId="7DAC7C3A" w14:textId="77777777" w:rsidR="0099530B" w:rsidRDefault="0099530B" w:rsidP="0099530B"/>
    <w:p w14:paraId="5D26ADD6" w14:textId="77777777" w:rsidR="0099530B" w:rsidRDefault="0099530B" w:rsidP="0099530B">
      <w:r>
        <w:t>Media Diversity Institute. 2025. "The Rise of the 'Tradwife' Movement on Social Media." March 9. https://www.media-diversity.org/the-rise-of-the-tradwife-movement-on-social-media/.</w:t>
      </w:r>
    </w:p>
    <w:p w14:paraId="2FE7D2D2" w14:textId="77777777" w:rsidR="0099530B" w:rsidRDefault="0099530B" w:rsidP="0099530B"/>
    <w:p w14:paraId="6B8F813A" w14:textId="77777777" w:rsidR="0099530B" w:rsidRDefault="0099530B" w:rsidP="0099530B">
      <w:r>
        <w:t>Miettinen, Anneli, et al. 2015. "Increasing Childlessness in Europe: Time Trends and Differences in National Policy Contexts." Family and Fertility Survey Working Paper 45.</w:t>
      </w:r>
    </w:p>
    <w:p w14:paraId="7B5D7E16" w14:textId="77777777" w:rsidR="0099530B" w:rsidRDefault="0099530B" w:rsidP="0099530B"/>
    <w:p w14:paraId="4CBB011C" w14:textId="77777777" w:rsidR="0099530B" w:rsidRDefault="0099530B" w:rsidP="0099530B">
      <w:r>
        <w:t>Morgan, S. Philip, and Hannah Ryu Rackin. 2010. "The U.S. Fertility Decline, 1939-1959." *Demographic Research* 22 (15): 409-434.</w:t>
      </w:r>
    </w:p>
    <w:p w14:paraId="3D267766" w14:textId="77777777" w:rsidR="0099530B" w:rsidRDefault="0099530B" w:rsidP="0099530B"/>
    <w:p w14:paraId="07BF50EF" w14:textId="77777777" w:rsidR="0099530B" w:rsidRDefault="0099530B" w:rsidP="0099530B">
      <w:r>
        <w:t>Moura, Rafael L., Victor A. Oliveira, and Vasco M. Carvalho. 2024. "Housing and Fertility." Working Paper, University of Cambridge.</w:t>
      </w:r>
    </w:p>
    <w:p w14:paraId="5190A23C" w14:textId="77777777" w:rsidR="0099530B" w:rsidRDefault="0099530B" w:rsidP="0099530B"/>
    <w:p w14:paraId="34ACC797" w14:textId="77777777" w:rsidR="0099530B" w:rsidRDefault="0099530B" w:rsidP="0099530B">
      <w:r>
        <w:t>National Center for Education Statistics (NCES). n.d. "Digest of Education Statistics Home." Accessed December 14, 2025. https://nces.ed.gov/programs/digest/.</w:t>
      </w:r>
    </w:p>
    <w:p w14:paraId="6371C5FE" w14:textId="77777777" w:rsidR="0099530B" w:rsidRDefault="0099530B" w:rsidP="0099530B"/>
    <w:p w14:paraId="1EC58ED2" w14:textId="77777777" w:rsidR="0099530B" w:rsidRDefault="0099530B" w:rsidP="0099530B">
      <w:r>
        <w:t>National Center for Health Statistics (NCHS). 2025. "Products - National Vital Statistics Reports - Homepage." April 4. https://www.cdc.gov/nchs/products/nvsr.htm.</w:t>
      </w:r>
    </w:p>
    <w:p w14:paraId="1C04D732" w14:textId="77777777" w:rsidR="0099530B" w:rsidRDefault="0099530B" w:rsidP="0099530B"/>
    <w:p w14:paraId="00C068E4" w14:textId="77777777" w:rsidR="0099530B" w:rsidRDefault="0099530B" w:rsidP="0099530B">
      <w:r>
        <w:t>Nationwide Building Society. n.d. "Looking Fur Love: Brits Spend More on Pets than Dating and Childcare." Accessed December 14, 2025. https://www.nationwide.co.uk/media/news/looking-fur-love-brits-spend-more-on-pets-than-dating-and-childcare.</w:t>
      </w:r>
    </w:p>
    <w:p w14:paraId="7084B07E" w14:textId="77777777" w:rsidR="0099530B" w:rsidRDefault="0099530B" w:rsidP="0099530B"/>
    <w:p w14:paraId="2D73BE6C" w14:textId="77777777" w:rsidR="0099530B" w:rsidRDefault="0099530B" w:rsidP="0099530B">
      <w:r>
        <w:t>OECD. 2025. "Full Report: Paid Leave for Fathers." October 16. https://www.oecd.org/en/publications/paid-leave-for-fathers_07442bed-en/full-report.html.</w:t>
      </w:r>
    </w:p>
    <w:p w14:paraId="4C5D02C9" w14:textId="77777777" w:rsidR="0099530B" w:rsidRDefault="0099530B" w:rsidP="0099530B"/>
    <w:p w14:paraId="2740B2C9" w14:textId="77777777" w:rsidR="0099530B" w:rsidRDefault="0099530B" w:rsidP="0099530B">
      <w:r>
        <w:t>Office for National Statistics (ONS). n.d. "Living Longer: Fitting It All in – Working, Caring and Health in Later Life." https://www.ons.gov.uk/peoplepopulationandcommunity/birthsdeathsandmarriages/ageing/articles/livinglongerhowourpopulationischangingandwhyitmatters/fittingitallinworkingcaringandhealthinlaterlife.</w:t>
      </w:r>
    </w:p>
    <w:p w14:paraId="781793B8" w14:textId="77777777" w:rsidR="0099530B" w:rsidRDefault="0099530B" w:rsidP="0099530B"/>
    <w:p w14:paraId="3B8AFDB8" w14:textId="77777777" w:rsidR="0099530B" w:rsidRDefault="0099530B" w:rsidP="0099530B">
      <w:r>
        <w:t>Palmer, Nicole O., Hassan W. Bakos, Tod Fullston, and Michelle Lane. 2012. "Impact of Obesity on Male Fertility, Sperm Function and Molecular Composition." *Spermatogenesis* 2 (4): 253-263.</w:t>
      </w:r>
    </w:p>
    <w:p w14:paraId="5E3449B1" w14:textId="77777777" w:rsidR="0099530B" w:rsidRDefault="0099530B" w:rsidP="0099530B"/>
    <w:p w14:paraId="16FC00F1" w14:textId="77777777" w:rsidR="0099530B" w:rsidRDefault="0099530B" w:rsidP="0099530B">
      <w:r>
        <w:lastRenderedPageBreak/>
        <w:t>Partridge, Emily A., et al. 2017. "An Extra-Uterine System to Physiologically Support the Extreme Premature Lamb." *Nature Communications* 8: 15112.</w:t>
      </w:r>
    </w:p>
    <w:p w14:paraId="5CBCD7C5" w14:textId="77777777" w:rsidR="0099530B" w:rsidRDefault="0099530B" w:rsidP="0099530B"/>
    <w:p w14:paraId="53AE7F93" w14:textId="77777777" w:rsidR="0099530B" w:rsidRDefault="0099530B" w:rsidP="0099530B">
      <w:r>
        <w:t>PBS NewsHour. 2014. "Facebook and Apple Will Pay for Employees to Freeze Their Eggs." October 14. https://www.pbs.org/newshour/health/facebook-apple-will-pay-employees-freeze-eggs.</w:t>
      </w:r>
    </w:p>
    <w:p w14:paraId="68611087" w14:textId="77777777" w:rsidR="0099530B" w:rsidRDefault="0099530B" w:rsidP="0099530B"/>
    <w:p w14:paraId="6EC3FAFC" w14:textId="77777777" w:rsidR="0099530B" w:rsidRDefault="0099530B" w:rsidP="0099530B">
      <w:r>
        <w:t>Pew Research Center. 2024. "Facts about DINKs (Dual Income, No Kids) in the US." Accessed November 2. https://www.pewresearch.org/short-reads/2025/11/03/dual-income-no-kids-what-we-know-about-dinks-in-the-us/.</w:t>
      </w:r>
    </w:p>
    <w:p w14:paraId="6F807D9F" w14:textId="77777777" w:rsidR="0099530B" w:rsidRDefault="0099530B" w:rsidP="0099530B"/>
    <w:p w14:paraId="2F602224" w14:textId="77777777" w:rsidR="0099530B" w:rsidRDefault="0099530B" w:rsidP="0099530B">
      <w:r>
        <w:t>Ramey, Garey, and Valerie A. Ramey. 2010. "The Rug Rat Race." *Brookings Papers on Economic Activity* 41 (1): 129-176.</w:t>
      </w:r>
    </w:p>
    <w:p w14:paraId="160A8FC7" w14:textId="77777777" w:rsidR="0099530B" w:rsidRDefault="0099530B" w:rsidP="0099530B"/>
    <w:p w14:paraId="2E3A90D2" w14:textId="77777777" w:rsidR="0099530B" w:rsidRDefault="0099530B" w:rsidP="0099530B">
      <w:r>
        <w:t>Raymo, James M. 2015. "Marriage and Family in East Asia: Continuity and Change." *Annual Review of Sociology* 41: 471-492.</w:t>
      </w:r>
    </w:p>
    <w:p w14:paraId="17D2A5BA" w14:textId="77777777" w:rsidR="0099530B" w:rsidRDefault="0099530B" w:rsidP="0099530B"/>
    <w:p w14:paraId="072C9775" w14:textId="77777777" w:rsidR="0099530B" w:rsidRDefault="0099530B" w:rsidP="0099530B">
      <w:r>
        <w:t>Shaw, Stephen J. 2025. "On a Microdemographic Framework for Decomposing Contemporary Fertility Dynamics." *Scientific Reports* 15 (1): 30726.</w:t>
      </w:r>
    </w:p>
    <w:p w14:paraId="54BB1089" w14:textId="77777777" w:rsidR="0099530B" w:rsidRDefault="0099530B" w:rsidP="0099530B"/>
    <w:p w14:paraId="277637FB" w14:textId="77777777" w:rsidR="0099530B" w:rsidRDefault="0099530B" w:rsidP="0099530B">
      <w:r>
        <w:t>Sobotka, Tomáš, and Éva Beaujouan. 2018. "Late Motherhood in Low-Fertility Countries: Reproductive Intentions, Trends and Consequences." In *Preventing Age-Related Fertility Loss*, edited by Nicole O. Steiner and Deborah I. Paulson, 11-29. Cham: Springer.</w:t>
      </w:r>
    </w:p>
    <w:p w14:paraId="7D4E5459" w14:textId="77777777" w:rsidR="0099530B" w:rsidRDefault="0099530B" w:rsidP="0099530B"/>
    <w:p w14:paraId="4106D511" w14:textId="77777777" w:rsidR="0099530B" w:rsidRDefault="0099530B" w:rsidP="0099530B">
      <w:r>
        <w:t>Statistics Bureau of Japan. 2024. "Summary of Vital Statistics." https://www.mhlw.go.jp/english/database/db-hw/populate/index.html.</w:t>
      </w:r>
    </w:p>
    <w:p w14:paraId="3E28B508" w14:textId="77777777" w:rsidR="0099530B" w:rsidRDefault="0099530B" w:rsidP="0099530B"/>
    <w:p w14:paraId="3AB5D52A" w14:textId="77777777" w:rsidR="0099530B" w:rsidRDefault="0099530B" w:rsidP="0099530B">
      <w:r>
        <w:t>Statistics Norway. 2021. "Income and Earnings Distribution by Parenthood Status." Oslo: Statistics Norway.</w:t>
      </w:r>
    </w:p>
    <w:p w14:paraId="6CBF7D41" w14:textId="77777777" w:rsidR="0099530B" w:rsidRDefault="0099530B" w:rsidP="0099530B"/>
    <w:p w14:paraId="09350E05" w14:textId="77777777" w:rsidR="0099530B" w:rsidRDefault="0099530B" w:rsidP="0099530B">
      <w:r>
        <w:lastRenderedPageBreak/>
        <w:t>Stone, Arthur A. 2019. "The Fertility Gap and Women's Happiness." *Population Association of America* 75 (3): 395-412.</w:t>
      </w:r>
    </w:p>
    <w:p w14:paraId="53677C67" w14:textId="77777777" w:rsidR="0099530B" w:rsidRDefault="0099530B" w:rsidP="0099530B"/>
    <w:p w14:paraId="441C6A29" w14:textId="77777777" w:rsidR="0099530B" w:rsidRDefault="0099530B" w:rsidP="0099530B">
      <w:r>
        <w:t>Swan, Shanna H. n.d. "Count Down." Accessed December 14, 2025. https://www.shannaswan.com/countdown.</w:t>
      </w:r>
    </w:p>
    <w:p w14:paraId="11219292" w14:textId="77777777" w:rsidR="0099530B" w:rsidRDefault="0099530B" w:rsidP="0099530B"/>
    <w:p w14:paraId="50009F30" w14:textId="77777777" w:rsidR="0099530B" w:rsidRDefault="0099530B" w:rsidP="0099530B">
      <w:r>
        <w:t>Szabó, Laura. 2024. "Hungary's Fertility Outcomes Highlight Pro-Natal Policy Limitations." Institute for Family Studies. Accessed December 20, 2024. https://ifstudies.org/blog/hungarys-fertility-outcomes.</w:t>
      </w:r>
    </w:p>
    <w:p w14:paraId="42E7DE76" w14:textId="77777777" w:rsidR="0099530B" w:rsidRDefault="0099530B" w:rsidP="0099530B"/>
    <w:p w14:paraId="544E2F88" w14:textId="77777777" w:rsidR="0099530B" w:rsidRDefault="0099530B" w:rsidP="0099530B">
      <w:r>
        <w:t>Testa, Maria Rita. 2012. "The Desire to Have More Children: Findings from the Generational and Gender Programme in Europe." *Demographic Research* 27 (17): 1-24.</w:t>
      </w:r>
    </w:p>
    <w:p w14:paraId="56824601" w14:textId="77777777" w:rsidR="0099530B" w:rsidRDefault="0099530B" w:rsidP="0099530B"/>
    <w:p w14:paraId="5EC466C8" w14:textId="77777777" w:rsidR="0099530B" w:rsidRDefault="0099530B" w:rsidP="0099530B">
      <w:r>
        <w:t>Thevenon, Olivier, and Anne H. Gauthier. 2011. "Family Policies in Developed Countries: A 'Fertility-Booster' with Side-Effects." *Community, Work &amp; Family* 14 (2): 197-216.</w:t>
      </w:r>
    </w:p>
    <w:p w14:paraId="2FA7FF5E" w14:textId="77777777" w:rsidR="0099530B" w:rsidRDefault="0099530B" w:rsidP="0099530B"/>
    <w:p w14:paraId="5AFC8486" w14:textId="77777777" w:rsidR="0099530B" w:rsidRDefault="0099530B" w:rsidP="0099530B">
      <w:r>
        <w:t>Tinbergen, Niko. 1951. *The Study of Instinct*. Oxford: Clarendon Press.</w:t>
      </w:r>
    </w:p>
    <w:p w14:paraId="2474FE8B" w14:textId="77777777" w:rsidR="0099530B" w:rsidRDefault="0099530B" w:rsidP="0099530B"/>
    <w:p w14:paraId="3755E99F" w14:textId="77777777" w:rsidR="0099530B" w:rsidRDefault="0099530B" w:rsidP="0099530B">
      <w:r>
        <w:t>Twenge, Jean M., Ryne A. Sherman, and Brooke E. Wells. 2017. "Sexual Inactivity During Young Adulthood Is More Common Among U.S. Millennials and iGen: Age, Period, and Cohort Effects on Having No Sexual Partners After Age 18." *Archives of Sexual Behavior* 46 (2): 433-440.</w:t>
      </w:r>
    </w:p>
    <w:p w14:paraId="75F04B68" w14:textId="77777777" w:rsidR="0099530B" w:rsidRDefault="0099530B" w:rsidP="0099530B"/>
    <w:p w14:paraId="1E89BC09" w14:textId="77777777" w:rsidR="0099530B" w:rsidRDefault="0099530B" w:rsidP="0099530B">
      <w:r>
        <w:t>Ueda, Peter, et al. 2020. "Trends in Frequency of Sexual Activity and Number of Sexual Partners among Adults Aged 18 to 44 Years in the US, 2000-2018." *JAMA Network Open* 3 (6): e203833.</w:t>
      </w:r>
    </w:p>
    <w:p w14:paraId="24FF6470" w14:textId="77777777" w:rsidR="0099530B" w:rsidRDefault="0099530B" w:rsidP="0099530B"/>
    <w:p w14:paraId="74BCD4E1" w14:textId="77777777" w:rsidR="0099530B" w:rsidRDefault="0099530B" w:rsidP="0099530B">
      <w:r>
        <w:t>United Nations. 2024. "World Population Prospects 2024: Summary of Results." New York: United Nations.</w:t>
      </w:r>
    </w:p>
    <w:p w14:paraId="0B3FC4C9" w14:textId="77777777" w:rsidR="0099530B" w:rsidRDefault="0099530B" w:rsidP="0099530B"/>
    <w:p w14:paraId="286D0F0A" w14:textId="77777777" w:rsidR="0099530B" w:rsidRDefault="0099530B" w:rsidP="0099530B">
      <w:r>
        <w:lastRenderedPageBreak/>
        <w:t>United Nations Inter-agency Group for Child Mortality Estimation (UN IGME). n.d. "Levels and Trends Child Mortality - Report 2023." World Bank. https://documents.worldbank.org/en/publication/documents-reports/documentdetail/099606103132489570.</w:t>
      </w:r>
    </w:p>
    <w:p w14:paraId="7AE6B910" w14:textId="77777777" w:rsidR="0099530B" w:rsidRDefault="0099530B" w:rsidP="0099530B"/>
    <w:p w14:paraId="00569121" w14:textId="77777777" w:rsidR="0099530B" w:rsidRDefault="0099530B" w:rsidP="0099530B">
      <w:r>
        <w:t>University of Hawai</w:t>
      </w:r>
      <w:r>
        <w:rPr>
          <w:rFonts w:ascii="Arial" w:hAnsi="Arial" w:cs="Arial"/>
        </w:rPr>
        <w:t>ʻ</w:t>
      </w:r>
      <w:r>
        <w:t>i at M</w:t>
      </w:r>
      <w:r>
        <w:rPr>
          <w:rFonts w:ascii="Aptos" w:hAnsi="Aptos" w:cs="Aptos"/>
        </w:rPr>
        <w:t>ā</w:t>
      </w:r>
      <w:r>
        <w:t>noa. 2025. "TikTok's #tradwife Trend Rejects Modern Feminism." March 30. https://www.hawaii.edu/news/2025/03/31/tiktok-tradwife-trend/.</w:t>
      </w:r>
    </w:p>
    <w:p w14:paraId="140A4B46" w14:textId="77777777" w:rsidR="0099530B" w:rsidRDefault="0099530B" w:rsidP="0099530B"/>
    <w:p w14:paraId="69F67D51" w14:textId="77777777" w:rsidR="0099530B" w:rsidRDefault="0099530B" w:rsidP="0099530B">
      <w:r>
        <w:t>U.S. Department of Agriculture (USDA). 2023. "The Cost of Raising a Child." Washington, DC: USDA.</w:t>
      </w:r>
    </w:p>
    <w:p w14:paraId="3032802C" w14:textId="77777777" w:rsidR="0099530B" w:rsidRDefault="0099530B" w:rsidP="0099530B"/>
    <w:p w14:paraId="1C6BEBAF" w14:textId="77777777" w:rsidR="0099530B" w:rsidRDefault="0099530B" w:rsidP="0099530B">
      <w:r>
        <w:t>What's the Big Data. 2024. "AI Girlfriend Platform Statistics 2024." Accessed December 2024.</w:t>
      </w:r>
    </w:p>
    <w:p w14:paraId="733D47ED" w14:textId="77777777" w:rsidR="0099530B" w:rsidRDefault="0099530B" w:rsidP="0099530B"/>
    <w:p w14:paraId="10FD4783" w14:textId="77777777" w:rsidR="0099530B" w:rsidRDefault="0099530B" w:rsidP="0099530B">
      <w:r>
        <w:t>World Bank. n.d. "World Bank Open Data." Accessed December 14, 2025. https://data.worldbank.org.</w:t>
      </w:r>
    </w:p>
    <w:p w14:paraId="5FAD1C2B" w14:textId="77777777" w:rsidR="0099530B" w:rsidRDefault="0099530B" w:rsidP="0099530B"/>
    <w:p w14:paraId="4342F1BF" w14:textId="0F1E8493" w:rsidR="0099530B" w:rsidRDefault="0099530B" w:rsidP="0099530B">
      <w:r>
        <w:t>Zeman, Kryštof, Éva Beaujouan, and Tomáš Sobotka. 2018. "Cohort Fertility Decline in Low Fertility Countries: Decomposition Using Parity Progression Ratios." *Demographic Research* 38 (25): 651-690.</w:t>
      </w:r>
    </w:p>
    <w:sectPr w:rsidR="0099530B">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B1CA4" w14:textId="77777777" w:rsidR="00D61057" w:rsidRDefault="00D61057" w:rsidP="0099530B">
      <w:pPr>
        <w:spacing w:after="0" w:line="240" w:lineRule="auto"/>
      </w:pPr>
      <w:r>
        <w:separator/>
      </w:r>
    </w:p>
  </w:endnote>
  <w:endnote w:type="continuationSeparator" w:id="0">
    <w:p w14:paraId="345D76D8" w14:textId="77777777" w:rsidR="00D61057" w:rsidRDefault="00D61057" w:rsidP="009953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589641"/>
      <w:docPartObj>
        <w:docPartGallery w:val="Page Numbers (Bottom of Page)"/>
        <w:docPartUnique/>
      </w:docPartObj>
    </w:sdtPr>
    <w:sdtEndPr>
      <w:rPr>
        <w:noProof/>
      </w:rPr>
    </w:sdtEndPr>
    <w:sdtContent>
      <w:p w14:paraId="73C0B55C" w14:textId="1ECAA34A" w:rsidR="0099530B" w:rsidRDefault="0099530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E31258" w14:textId="77777777" w:rsidR="0099530B" w:rsidRDefault="009953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81BC2" w14:textId="77777777" w:rsidR="00D61057" w:rsidRDefault="00D61057" w:rsidP="0099530B">
      <w:pPr>
        <w:spacing w:after="0" w:line="240" w:lineRule="auto"/>
      </w:pPr>
      <w:r>
        <w:separator/>
      </w:r>
    </w:p>
  </w:footnote>
  <w:footnote w:type="continuationSeparator" w:id="0">
    <w:p w14:paraId="65B7D571" w14:textId="77777777" w:rsidR="00D61057" w:rsidRDefault="00D61057" w:rsidP="0099530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30B"/>
    <w:rsid w:val="0099530B"/>
    <w:rsid w:val="00D61057"/>
    <w:rsid w:val="00DB7EB6"/>
    <w:rsid w:val="00E71B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AC900"/>
  <w15:chartTrackingRefBased/>
  <w15:docId w15:val="{BF4BC2FB-9444-4C60-ACAE-E11400F65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3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3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3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3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3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3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3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3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3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3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30B"/>
    <w:rPr>
      <w:rFonts w:eastAsiaTheme="majorEastAsia" w:cstheme="majorBidi"/>
      <w:color w:val="272727" w:themeColor="text1" w:themeTint="D8"/>
    </w:rPr>
  </w:style>
  <w:style w:type="paragraph" w:styleId="Title">
    <w:name w:val="Title"/>
    <w:basedOn w:val="Normal"/>
    <w:next w:val="Normal"/>
    <w:link w:val="TitleChar"/>
    <w:uiPriority w:val="10"/>
    <w:qFormat/>
    <w:rsid w:val="00995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30B"/>
    <w:pPr>
      <w:spacing w:before="160"/>
      <w:jc w:val="center"/>
    </w:pPr>
    <w:rPr>
      <w:i/>
      <w:iCs/>
      <w:color w:val="404040" w:themeColor="text1" w:themeTint="BF"/>
    </w:rPr>
  </w:style>
  <w:style w:type="character" w:customStyle="1" w:styleId="QuoteChar">
    <w:name w:val="Quote Char"/>
    <w:basedOn w:val="DefaultParagraphFont"/>
    <w:link w:val="Quote"/>
    <w:uiPriority w:val="29"/>
    <w:rsid w:val="0099530B"/>
    <w:rPr>
      <w:i/>
      <w:iCs/>
      <w:color w:val="404040" w:themeColor="text1" w:themeTint="BF"/>
    </w:rPr>
  </w:style>
  <w:style w:type="paragraph" w:styleId="ListParagraph">
    <w:name w:val="List Paragraph"/>
    <w:basedOn w:val="Normal"/>
    <w:uiPriority w:val="34"/>
    <w:qFormat/>
    <w:rsid w:val="0099530B"/>
    <w:pPr>
      <w:ind w:left="720"/>
      <w:contextualSpacing/>
    </w:pPr>
  </w:style>
  <w:style w:type="character" w:styleId="IntenseEmphasis">
    <w:name w:val="Intense Emphasis"/>
    <w:basedOn w:val="DefaultParagraphFont"/>
    <w:uiPriority w:val="21"/>
    <w:qFormat/>
    <w:rsid w:val="0099530B"/>
    <w:rPr>
      <w:i/>
      <w:iCs/>
      <w:color w:val="0F4761" w:themeColor="accent1" w:themeShade="BF"/>
    </w:rPr>
  </w:style>
  <w:style w:type="paragraph" w:styleId="IntenseQuote">
    <w:name w:val="Intense Quote"/>
    <w:basedOn w:val="Normal"/>
    <w:next w:val="Normal"/>
    <w:link w:val="IntenseQuoteChar"/>
    <w:uiPriority w:val="30"/>
    <w:qFormat/>
    <w:rsid w:val="00995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30B"/>
    <w:rPr>
      <w:i/>
      <w:iCs/>
      <w:color w:val="0F4761" w:themeColor="accent1" w:themeShade="BF"/>
    </w:rPr>
  </w:style>
  <w:style w:type="character" w:styleId="IntenseReference">
    <w:name w:val="Intense Reference"/>
    <w:basedOn w:val="DefaultParagraphFont"/>
    <w:uiPriority w:val="32"/>
    <w:qFormat/>
    <w:rsid w:val="0099530B"/>
    <w:rPr>
      <w:b/>
      <w:bCs/>
      <w:smallCaps/>
      <w:color w:val="0F4761" w:themeColor="accent1" w:themeShade="BF"/>
      <w:spacing w:val="5"/>
    </w:rPr>
  </w:style>
  <w:style w:type="paragraph" w:styleId="Header">
    <w:name w:val="header"/>
    <w:basedOn w:val="Normal"/>
    <w:link w:val="HeaderChar"/>
    <w:uiPriority w:val="99"/>
    <w:unhideWhenUsed/>
    <w:rsid w:val="009953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530B"/>
  </w:style>
  <w:style w:type="paragraph" w:styleId="Footer">
    <w:name w:val="footer"/>
    <w:basedOn w:val="Normal"/>
    <w:link w:val="FooterChar"/>
    <w:uiPriority w:val="99"/>
    <w:unhideWhenUsed/>
    <w:rsid w:val="009953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53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29</Pages>
  <Words>8973</Words>
  <Characters>51150</Characters>
  <Application>Microsoft Office Word</Application>
  <DocSecurity>0</DocSecurity>
  <Lines>426</Lines>
  <Paragraphs>120</Paragraphs>
  <ScaleCrop>false</ScaleCrop>
  <Company/>
  <LinksUpToDate>false</LinksUpToDate>
  <CharactersWithSpaces>60003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Annabelle Body</dc:creator>
  <cp:keywords/>
  <dc:description/>
  <cp:lastModifiedBy>Annabelle Body</cp:lastModifiedBy>
  <cp:revision>2</cp:revision>
  <cp:lastPrinted>2025-12-26T20:10:00Z</cp:lastPrinted>
  <dcterms:created xsi:type="dcterms:W3CDTF">2025-12-26T20:02:00Z</dcterms:created>
  <dcterms:modified xsi:type="dcterms:W3CDTF">2025-12-26T20:11:00Z</dcterms:modified>
</cp:coreProperties>
</file>