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jc w:val="center"/>
      </w:pPr>
      <w:r>
        <w:rPr>
          <w:rFonts w:ascii="Times New Roman" w:hAnsi="Times New Roman" w:eastAsia="宋体"/>
          <w:b w:val="0"/>
          <w:sz w:val="24"/>
        </w:rPr>
      </w:r>
    </w:p>
    <w:p>
      <w:pPr>
        <w:spacing w:after="0" w:before="0" w:line="360" w:lineRule="auto"/>
        <w:jc w:val="center"/>
      </w:pPr>
      <w:r>
        <w:rPr>
          <w:rFonts w:ascii="Times New Roman" w:hAnsi="Times New Roman" w:eastAsia="宋体"/>
          <w:b w:val="0"/>
          <w:sz w:val="24"/>
        </w:rPr>
      </w:r>
    </w:p>
    <w:p>
      <w:pPr>
        <w:spacing w:after="120" w:before="0" w:line="360" w:lineRule="auto"/>
        <w:jc w:val="center"/>
      </w:pPr>
      <w:r>
        <w:rPr>
          <w:rFonts w:ascii="Times New Roman" w:hAnsi="Times New Roman" w:eastAsia="黑体"/>
          <w:b/>
          <w:sz w:val="44"/>
        </w:rPr>
        <w:t>对外经济贸易大学</w:t>
      </w:r>
    </w:p>
    <w:p>
      <w:pPr>
        <w:spacing w:after="600" w:before="0" w:line="360" w:lineRule="auto"/>
        <w:jc w:val="center"/>
      </w:pPr>
      <w:r>
        <w:rPr>
          <w:rFonts w:ascii="Times New Roman" w:hAnsi="Times New Roman" w:eastAsia="黑体"/>
          <w:b/>
          <w:sz w:val="36"/>
        </w:rPr>
        <w:t>《世界贸易组织概论》期末论文</w:t>
      </w:r>
    </w:p>
    <w:p>
      <w:pPr>
        <w:spacing w:after="0" w:before="0" w:line="360" w:lineRule="auto"/>
        <w:jc w:val="center"/>
      </w:pPr>
      <w:r>
        <w:rPr>
          <w:rFonts w:ascii="Times New Roman" w:hAnsi="Times New Roman" w:eastAsia="宋体"/>
          <w:b w:val="0"/>
          <w:sz w:val="24"/>
        </w:rPr>
      </w:r>
    </w:p>
    <w:p>
      <w:pPr>
        <w:spacing w:after="0" w:before="0" w:line="360" w:lineRule="auto"/>
        <w:jc w:val="center"/>
      </w:pPr>
      <w:r>
        <w:rPr>
          <w:rFonts w:ascii="Times New Roman" w:hAnsi="Times New Roman" w:eastAsia="宋体"/>
          <w:b w:val="0"/>
          <w:sz w:val="24"/>
        </w:rPr>
      </w:r>
    </w:p>
    <w:p>
      <w:pPr>
        <w:spacing w:after="80" w:before="0" w:line="360" w:lineRule="auto"/>
        <w:jc w:val="center"/>
      </w:pPr>
      <w:r>
        <w:rPr>
          <w:rFonts w:ascii="Times New Roman" w:hAnsi="Times New Roman" w:eastAsia="黑体"/>
          <w:b/>
          <w:sz w:val="32"/>
        </w:rPr>
        <w:t>入世是“污染天堂”还是“技术外溢”？</w:t>
      </w:r>
    </w:p>
    <w:p>
      <w:pPr>
        <w:spacing w:after="800" w:before="0" w:line="360" w:lineRule="auto"/>
        <w:jc w:val="center"/>
      </w:pPr>
      <w:r>
        <w:rPr>
          <w:rFonts w:ascii="Times New Roman" w:hAnsi="Times New Roman" w:eastAsia="黑体"/>
          <w:b/>
          <w:sz w:val="26"/>
        </w:rPr>
        <w:t>——基于跨国面板数据对 WTO 成员身份与出口 CO₂ 强度关系的实证检验</w:t>
      </w:r>
    </w:p>
    <w:p>
      <w:pPr>
        <w:spacing w:after="0" w:before="0" w:line="360" w:lineRule="auto"/>
        <w:jc w:val="center"/>
      </w:pPr>
      <w:r>
        <w:rPr>
          <w:rFonts w:ascii="Times New Roman" w:hAnsi="Times New Roman" w:eastAsia="宋体"/>
          <w:b w:val="0"/>
          <w:sz w:val="24"/>
        </w:rPr>
      </w:r>
    </w:p>
    <w:p>
      <w:pPr>
        <w:spacing w:after="0" w:before="0" w:line="360" w:lineRule="auto"/>
        <w:jc w:val="center"/>
      </w:pPr>
      <w:r>
        <w:rPr>
          <w:rFonts w:ascii="Times New Roman" w:hAnsi="Times New Roman" w:eastAsia="宋体"/>
          <w:b w:val="0"/>
          <w:sz w:val="24"/>
        </w:rPr>
      </w:r>
    </w:p>
    <w:p>
      <w:pPr>
        <w:spacing w:after="0" w:before="0" w:line="360" w:lineRule="auto"/>
        <w:jc w:val="center"/>
      </w:pPr>
      <w:r>
        <w:rPr>
          <w:rFonts w:ascii="Times New Roman" w:hAnsi="Times New Roman" w:eastAsia="宋体"/>
          <w:b w:val="0"/>
          <w:sz w:val="24"/>
        </w:rPr>
      </w:r>
    </w:p>
    <w:p>
      <w:pPr>
        <w:spacing w:line="384" w:lineRule="auto" w:after="40"/>
        <w:jc w:val="center"/>
      </w:pPr>
      <w:r>
        <w:rPr>
          <w:rFonts w:ascii="Times New Roman" w:hAnsi="Times New Roman" w:eastAsia="黑体"/>
          <w:b/>
          <w:sz w:val="28"/>
        </w:rPr>
        <w:t>教学单位：</w:t>
      </w:r>
      <w:r>
        <w:rPr>
          <w:rFonts w:ascii="Times New Roman" w:hAnsi="Times New Roman" w:eastAsia="宋体"/>
          <w:b w:val="0"/>
          <w:sz w:val="28"/>
        </w:rPr>
        <w:t>经贸学院</w:t>
      </w:r>
    </w:p>
    <w:p>
      <w:pPr>
        <w:spacing w:line="384" w:lineRule="auto" w:after="40"/>
        <w:jc w:val="center"/>
      </w:pPr>
      <w:r>
        <w:rPr>
          <w:rFonts w:ascii="Times New Roman" w:hAnsi="Times New Roman" w:eastAsia="黑体"/>
          <w:b/>
          <w:sz w:val="28"/>
        </w:rPr>
        <w:t>课程名称：</w:t>
      </w:r>
      <w:r>
        <w:rPr>
          <w:rFonts w:ascii="Times New Roman" w:hAnsi="Times New Roman" w:eastAsia="宋体"/>
          <w:b w:val="0"/>
          <w:sz w:val="28"/>
        </w:rPr>
        <w:t>世界贸易组织概论</w:t>
      </w:r>
    </w:p>
    <w:p>
      <w:pPr>
        <w:spacing w:line="384" w:lineRule="auto" w:after="40"/>
        <w:jc w:val="center"/>
      </w:pPr>
      <w:r>
        <w:rPr>
          <w:rFonts w:ascii="Times New Roman" w:hAnsi="Times New Roman" w:eastAsia="黑体"/>
          <w:b/>
          <w:sz w:val="28"/>
        </w:rPr>
        <w:t>课程代码：</w:t>
      </w:r>
      <w:r>
        <w:rPr>
          <w:rFonts w:ascii="Times New Roman" w:hAnsi="Times New Roman" w:eastAsia="宋体"/>
          <w:b w:val="0"/>
          <w:sz w:val="28"/>
        </w:rPr>
        <w:t>ITR305</w:t>
      </w:r>
    </w:p>
    <w:p>
      <w:pPr>
        <w:spacing w:line="384" w:lineRule="auto" w:after="40"/>
        <w:jc w:val="center"/>
      </w:pPr>
      <w:r>
        <w:rPr>
          <w:rFonts w:ascii="Times New Roman" w:hAnsi="Times New Roman" w:eastAsia="黑体"/>
          <w:b/>
          <w:sz w:val="28"/>
        </w:rPr>
        <w:t>课序号：</w:t>
      </w:r>
      <w:r>
        <w:rPr>
          <w:rFonts w:ascii="Times New Roman" w:hAnsi="Times New Roman" w:eastAsia="宋体"/>
          <w:b w:val="0"/>
          <w:sz w:val="28"/>
        </w:rPr>
        <w:t>2</w:t>
      </w:r>
    </w:p>
    <w:p>
      <w:pPr>
        <w:spacing w:line="384" w:lineRule="auto" w:after="40"/>
        <w:jc w:val="center"/>
      </w:pPr>
      <w:r>
        <w:rPr>
          <w:rFonts w:ascii="Times New Roman" w:hAnsi="Times New Roman" w:eastAsia="黑体"/>
          <w:b/>
          <w:sz w:val="28"/>
        </w:rPr>
        <w:t>任课教师：</w:t>
      </w:r>
      <w:r>
        <w:rPr>
          <w:rFonts w:ascii="Times New Roman" w:hAnsi="Times New Roman" w:eastAsia="宋体"/>
          <w:b w:val="0"/>
          <w:sz w:val="28"/>
        </w:rPr>
        <w:t>吕越、宁静馨</w:t>
      </w:r>
    </w:p>
    <w:p>
      <w:pPr>
        <w:spacing w:line="384" w:lineRule="auto" w:after="40"/>
        <w:jc w:val="center"/>
      </w:pPr>
      <w:r>
        <w:rPr>
          <w:rFonts w:ascii="Times New Roman" w:hAnsi="Times New Roman" w:eastAsia="黑体"/>
          <w:b/>
          <w:sz w:val="28"/>
        </w:rPr>
        <w:t>考试方式：</w:t>
      </w:r>
      <w:r>
        <w:rPr>
          <w:rFonts w:ascii="Times New Roman" w:hAnsi="Times New Roman" w:eastAsia="宋体"/>
          <w:b w:val="0"/>
          <w:sz w:val="28"/>
        </w:rPr>
        <w:t>论文</w:t>
      </w:r>
    </w:p>
    <w:p>
      <w:pPr>
        <w:spacing w:line="384" w:lineRule="auto" w:after="40"/>
        <w:jc w:val="center"/>
      </w:pPr>
      <w:r>
        <w:rPr>
          <w:rFonts w:ascii="Times New Roman" w:hAnsi="Times New Roman" w:eastAsia="黑体"/>
          <w:b/>
          <w:sz w:val="28"/>
        </w:rPr>
        <w:t>学生姓名：</w:t>
      </w:r>
      <w:r>
        <w:rPr>
          <w:rFonts w:ascii="Times New Roman" w:hAnsi="Times New Roman" w:eastAsia="宋体"/>
          <w:b w:val="0"/>
          <w:sz w:val="28"/>
        </w:rPr>
        <w:t>＿＿＿＿＿＿＿＿＿＿</w:t>
      </w:r>
    </w:p>
    <w:p>
      <w:pPr>
        <w:spacing w:line="384" w:lineRule="auto" w:after="40"/>
        <w:jc w:val="center"/>
      </w:pPr>
      <w:r>
        <w:rPr>
          <w:rFonts w:ascii="Times New Roman" w:hAnsi="Times New Roman" w:eastAsia="黑体"/>
          <w:b/>
          <w:sz w:val="28"/>
        </w:rPr>
        <w:t>学    号：</w:t>
      </w:r>
      <w:r>
        <w:rPr>
          <w:rFonts w:ascii="Times New Roman" w:hAnsi="Times New Roman" w:eastAsia="宋体"/>
          <w:b w:val="0"/>
          <w:sz w:val="28"/>
        </w:rPr>
        <w:t>＿＿＿＿＿＿＿＿＿＿</w:t>
      </w:r>
    </w:p>
    <w:p>
      <w:pPr>
        <w:spacing w:line="384" w:lineRule="auto" w:after="40"/>
        <w:jc w:val="center"/>
      </w:pPr>
      <w:r>
        <w:rPr>
          <w:rFonts w:ascii="Times New Roman" w:hAnsi="Times New Roman" w:eastAsia="黑体"/>
          <w:b/>
          <w:sz w:val="28"/>
        </w:rPr>
        <w:t>学    期：</w:t>
      </w:r>
      <w:r>
        <w:rPr>
          <w:rFonts w:ascii="Times New Roman" w:hAnsi="Times New Roman" w:eastAsia="宋体"/>
          <w:b w:val="0"/>
          <w:sz w:val="28"/>
        </w:rPr>
        <w:t>2026—2027 学年度第一学期</w:t>
      </w:r>
    </w:p>
    <w:p>
      <w:r>
        <w:br w:type="page"/>
      </w:r>
    </w:p>
    <w:p>
      <w:pPr>
        <w:spacing w:after="80" w:before="0" w:line="360" w:lineRule="auto"/>
        <w:jc w:val="center"/>
      </w:pPr>
      <w:r>
        <w:rPr>
          <w:rFonts w:ascii="Times New Roman" w:hAnsi="Times New Roman" w:eastAsia="黑体"/>
          <w:b/>
          <w:sz w:val="30"/>
        </w:rPr>
        <w:t>入世是“污染天堂”还是“技术外溢”？</w:t>
      </w:r>
    </w:p>
    <w:p>
      <w:pPr>
        <w:spacing w:after="240" w:before="0" w:line="360" w:lineRule="auto"/>
        <w:jc w:val="center"/>
      </w:pPr>
      <w:r>
        <w:rPr>
          <w:rFonts w:ascii="Times New Roman" w:hAnsi="Times New Roman" w:eastAsia="黑体"/>
          <w:b/>
          <w:sz w:val="22"/>
        </w:rPr>
        <w:t>——基于跨国面板数据对 WTO 成员身份与出口 CO₂ 强度关系的实证检验</w:t>
      </w:r>
    </w:p>
    <w:p>
      <w:pPr>
        <w:spacing w:before="120" w:after="60" w:line="360" w:lineRule="auto"/>
      </w:pPr>
      <w:r>
        <w:rPr>
          <w:rFonts w:ascii="Times New Roman" w:hAnsi="Times New Roman" w:eastAsia="黑体"/>
          <w:b/>
          <w:sz w:val="25"/>
        </w:rPr>
        <w:t>摘  要</w:t>
      </w:r>
    </w:p>
    <w:p>
      <w:pPr>
        <w:spacing w:lineRule="auto" w:line="360" w:after="0" w:before="0"/>
        <w:ind w:firstLine="440"/>
        <w:jc w:val="both"/>
      </w:pPr>
      <w:r>
        <w:rPr>
          <w:rFonts w:ascii="Times New Roman" w:hAnsi="Times New Roman" w:eastAsia="宋体"/>
          <w:b w:val="0"/>
          <w:sz w:val="22"/>
        </w:rPr>
        <w:t>加入世界贸易组织（WTO）通过削减关税、约束非关税壁垒与稳定贸易预期，深刻重塑了成员的出口结构，也由此引发了一个长期争论：贸易自由化究竟会使发展中国家沦为高碳产业的“污染天堂”，还是会通过竞争与技术外溢促使出口部门“变绿”？本文以 2000—2020 年覆盖约 160 个经济体、共 3480 个国家—年观测的跨国面板数据为样本，以单位出口额所含 CO₂ 排放（出口碳强度）为被解释变量，构建双向固定效应模型并辅以事件研究、异质性分析、安慰剂检验与稳健性检验，识别 WTO 成员身份对出口碳强度的因果效应。研究发现：第一，混合 OLS 估计得到的显著负向关系在引入国家与年份固定效应后消失，WTO 成员身份的系数为 0.111（p=0.283），在统计上不显著，安慰剂检验进一步表明该系数与随机赋值难以区分；第二，出口碳强度在样本期内普遍大幅下降，但这一下降主要由收入增长（环境库兹涅茨曲线）、能源强度改善与产业结构调整驱动，而非入世本身；第三，效应存在明显异质性：高能源强度国家与发展中国家呈现出弱“污染天堂”特征，低能源强度国家则表现出弱“技术外溢”特征，但两者均不具备统计稳健性。本文认为，WTO 成员身份本身并非碳强度的决定性因素，贸易自由化的环境效应取决于成员国内部的要素禀赋与配套政策，据此提出以“贸易—环境—技术”政策协同推动出口部门低碳化的建议。</w:t>
      </w:r>
    </w:p>
    <w:p>
      <w:pPr>
        <w:spacing w:line="360" w:lineRule="auto"/>
        <w:ind w:firstLine="440"/>
      </w:pPr>
      <w:r>
        <w:rPr>
          <w:rFonts w:ascii="Times New Roman" w:hAnsi="Times New Roman" w:eastAsia="黑体"/>
          <w:b/>
          <w:sz w:val="22"/>
        </w:rPr>
        <w:t>关键词：</w:t>
      </w:r>
      <w:r>
        <w:rPr>
          <w:rFonts w:ascii="Times New Roman" w:hAnsi="Times New Roman" w:eastAsia="宋体"/>
          <w:b w:val="0"/>
          <w:sz w:val="22"/>
        </w:rPr>
        <w:t>世界贸易组织；出口碳强度；污染天堂假说；技术外溢；双向固定效应</w:t>
      </w:r>
    </w:p>
    <w:p>
      <w:r>
        <w:br w:type="page"/>
      </w:r>
    </w:p>
    <w:p>
      <w:pPr>
        <w:spacing w:before="240" w:after="120" w:line="360" w:lineRule="auto"/>
        <w:jc w:val="left"/>
      </w:pPr>
      <w:r>
        <w:rPr>
          <w:rFonts w:ascii="Times New Roman" w:hAnsi="Times New Roman" w:eastAsia="黑体"/>
          <w:b/>
          <w:sz w:val="28"/>
        </w:rPr>
        <w:t>一、引言</w:t>
      </w:r>
    </w:p>
    <w:p>
      <w:pPr>
        <w:spacing w:lineRule="auto" w:line="360" w:after="0" w:before="0"/>
        <w:ind w:firstLine="480"/>
        <w:jc w:val="both"/>
      </w:pPr>
      <w:r>
        <w:rPr>
          <w:rFonts w:ascii="Times New Roman" w:hAnsi="Times New Roman" w:eastAsia="宋体"/>
          <w:b w:val="0"/>
          <w:sz w:val="24"/>
        </w:rPr>
        <w:t>自 1995 年世界贸易组织（WTO）成立以来，以最惠国待遇、国民待遇和关税约束为核心的多边贸易体制极大地降低了跨国贸易成本，推动全球贸易额与生产网络迅速扩张。中国于 2001 年正式加入 WTO，此后二十年间出口规模跃居世界首位，发展中国家整体在全球出口中的份额亦显著上升。然而，贸易扩张在带来增长红利的同时，也使“贸易与环境”的关系成为各方关注的焦点。</w:t>
      </w:r>
    </w:p>
    <w:p>
      <w:pPr>
        <w:spacing w:lineRule="auto" w:line="360" w:after="0" w:before="0"/>
        <w:ind w:firstLine="480"/>
        <w:jc w:val="both"/>
      </w:pPr>
      <w:r>
        <w:rPr>
          <w:rFonts w:ascii="Times New Roman" w:hAnsi="Times New Roman" w:eastAsia="宋体"/>
          <w:b w:val="0"/>
          <w:sz w:val="24"/>
        </w:rPr>
        <w:t>围绕这一关系存在两种针锋相对的判断。一种是“污染天堂假说”（Pollution Haven Hypothesis）：在环境规制存在国别差异的情况下，贸易自由化会促使高污染、高碳排放的生产环节向规制宽松的发展中国家转移，使其出口部门“变脏”，单位出口的碳排放上升。另一种是“技术外溢”与“规制趋同”观点：融入多边贸易体制会带来更激烈的国际竞争、更严格的进口国标准以及更便利的技术与资本流入，从而倒逼并帮助出口企业提升能效、降低碳强度。两种机制方向相反，究竟何者占优，本质上是一个有待数据检验的实证问题。</w:t>
      </w:r>
    </w:p>
    <w:p>
      <w:pPr>
        <w:spacing w:lineRule="auto" w:line="360" w:after="0" w:before="0"/>
        <w:ind w:firstLine="480"/>
        <w:jc w:val="both"/>
      </w:pPr>
      <w:r>
        <w:rPr>
          <w:rFonts w:ascii="Times New Roman" w:hAnsi="Times New Roman" w:eastAsia="宋体"/>
          <w:b w:val="0"/>
          <w:sz w:val="24"/>
        </w:rPr>
        <w:t>本文聚焦一个可度量、政策含义清晰的指标——出口碳强度（单位出口额所含 CO₂ 排放），系统检验 WTO 成员身份对该指标的因果影响。相比已有文献多关注贸易开放度或总量排放，本文的边际贡献在于：其一，直接以“成员身份”这一 WTO 制度变量为处理变量，并借助双向固定效应、事件研究与安慰剂检验缓解内生性，使结论更贴近政策评估；其二，区分高/低能源强度、发达/发展中国家，刻画效应的异质性，从而回应“污染天堂”与“技术外溢”孰强孰弱之争。</w:t>
      </w:r>
    </w:p>
    <w:p>
      <w:pPr>
        <w:spacing w:before="240" w:after="120" w:line="360" w:lineRule="auto"/>
        <w:jc w:val="left"/>
      </w:pPr>
      <w:r>
        <w:rPr>
          <w:rFonts w:ascii="Times New Roman" w:hAnsi="Times New Roman" w:eastAsia="黑体"/>
          <w:b/>
          <w:sz w:val="28"/>
        </w:rPr>
        <w:t>二、文献综述</w:t>
      </w:r>
    </w:p>
    <w:p>
      <w:pPr>
        <w:spacing w:lineRule="auto" w:line="360" w:after="0" w:before="0"/>
        <w:ind w:firstLine="480"/>
        <w:jc w:val="both"/>
      </w:pPr>
      <w:r>
        <w:rPr>
          <w:rFonts w:ascii="Times New Roman" w:hAnsi="Times New Roman" w:eastAsia="宋体"/>
          <w:b w:val="0"/>
          <w:sz w:val="24"/>
        </w:rPr>
        <w:t>贸易与环境关系的研究可追溯至 Grossman 和 Krueger（1991）提出的规模、结构与技术三种效应分解框架：贸易扩张通过扩大生产规模增加排放（规模效应），通过改变产业构成影响排放（结构效应），并通过引入清洁技术降低单位排放（技术效应），最终方向取决于三者的净作用。在此基础上，环境库兹涅茨曲线（EKC）假说认为，污染水平随人均收入呈先升后降的倒 U 形，为理解碳强度的长期演化提供了重要参照。</w:t>
      </w:r>
    </w:p>
    <w:p>
      <w:pPr>
        <w:spacing w:lineRule="auto" w:line="360" w:after="0" w:before="0"/>
        <w:ind w:firstLine="480"/>
        <w:jc w:val="both"/>
      </w:pPr>
      <w:r>
        <w:rPr>
          <w:rFonts w:ascii="Times New Roman" w:hAnsi="Times New Roman" w:eastAsia="宋体"/>
          <w:b w:val="0"/>
          <w:sz w:val="24"/>
        </w:rPr>
        <w:t>“污染天堂”文献方面，Copeland 和 Taylor（1994、2004）从理论上论证了环境规制差异如何塑造污染密集型产业的国际分工，并指出其经验证据往往因要素禀赋效应的对冲而较弱。后续实证研究（如 Levinson、Antweiler 等）结论分歧明显：部分研究在特定行业与特定时段发现了“污染天堂”效应，更多研究则发现该效应在控制比较优势后并不稳健。与之相对，关于贸易引致技术进步与“向上趋同”的文献（如 Frankel 和 Rose，2005）则提供了贸易改善环境质量的证据。</w:t>
      </w:r>
    </w:p>
    <w:p>
      <w:pPr>
        <w:spacing w:lineRule="auto" w:line="360" w:after="0" w:before="0"/>
        <w:ind w:firstLine="480"/>
        <w:jc w:val="both"/>
      </w:pPr>
      <w:r>
        <w:rPr>
          <w:rFonts w:ascii="Times New Roman" w:hAnsi="Times New Roman" w:eastAsia="宋体"/>
          <w:b w:val="0"/>
          <w:sz w:val="24"/>
        </w:rPr>
        <w:t>就 WTO/GATT 的具体作用而言，Rose（2004）曾质疑其对贸易额的促进作用，引发关于成员身份效应的长期讨论；Bagwell 和 Staiger 等则从条款与谈判机制层面肯定了多边体制的价值。总体来看，既有研究多以贸易开放度（如贸易占 GDP 比重）为自变量，较少直接评估“成员身份”这一离散制度冲击对出口碳强度的影响，且对效应异质性的刻画仍不充分。本文力图在这两方面有所补充。</w:t>
      </w:r>
    </w:p>
    <w:p>
      <w:pPr>
        <w:spacing w:before="240" w:after="120" w:line="360" w:lineRule="auto"/>
        <w:jc w:val="left"/>
      </w:pPr>
      <w:r>
        <w:rPr>
          <w:rFonts w:ascii="Times New Roman" w:hAnsi="Times New Roman" w:eastAsia="黑体"/>
          <w:b/>
          <w:sz w:val="28"/>
        </w:rPr>
        <w:t>三、理论分析与研究假设</w:t>
      </w:r>
    </w:p>
    <w:p>
      <w:pPr>
        <w:spacing w:lineRule="auto" w:line="360" w:after="0" w:before="0"/>
        <w:ind w:firstLine="480"/>
        <w:jc w:val="both"/>
      </w:pPr>
      <w:r>
        <w:rPr>
          <w:rFonts w:ascii="Times New Roman" w:hAnsi="Times New Roman" w:eastAsia="宋体"/>
          <w:b w:val="0"/>
          <w:sz w:val="24"/>
        </w:rPr>
        <w:t>从理论上看，加入 WTO 对出口碳强度的影响可经由三条路径传导。其一是结构路径：关税减让使一国按比较优势重新配置资源，若其比较优势位于能源/碳密集型产业，出口结构将“变脏”，碳强度上升，对应“污染天堂”机制。其二是技术路径：贸易开放带来进口中间品与外资的技术外溢，叠加出口目的国的环境标准（如能效与产品标准），推动企业采用更清洁的工艺，碳强度下降，对应“技术外溢”机制。其三是规模路径：贸易扩张提高产出规模，其对碳强度（强度而非总量）的影响相对中性，但会放大前两条路径的作用。</w:t>
      </w:r>
    </w:p>
    <w:p>
      <w:pPr>
        <w:spacing w:lineRule="auto" w:line="360" w:after="0" w:before="0"/>
        <w:ind w:firstLine="480"/>
        <w:jc w:val="both"/>
      </w:pPr>
      <w:r>
        <w:rPr>
          <w:rFonts w:ascii="Times New Roman" w:hAnsi="Times New Roman" w:eastAsia="宋体"/>
          <w:b w:val="0"/>
          <w:sz w:val="24"/>
        </w:rPr>
        <w:t>由于结构效应与技术效应方向相反，二者的相对强弱取决于成员国的要素禀赋与发展阶段。据此，本文提出三组竞争性假设：</w:t>
      </w:r>
    </w:p>
    <w:p>
      <w:pPr>
        <w:spacing w:lineRule="auto" w:line="360" w:after="0" w:before="0"/>
        <w:ind w:firstLine="480"/>
        <w:jc w:val="both"/>
      </w:pPr>
      <w:r>
        <w:rPr>
          <w:rFonts w:ascii="Times New Roman" w:hAnsi="Times New Roman" w:eastAsia="宋体"/>
          <w:b w:val="0"/>
          <w:sz w:val="24"/>
        </w:rPr>
        <w:t>假设 H1a（污染天堂）：加入 WTO 后，成员的出口碳强度上升。</w:t>
      </w:r>
    </w:p>
    <w:p>
      <w:pPr>
        <w:spacing w:lineRule="auto" w:line="360" w:after="0" w:before="0"/>
        <w:ind w:firstLine="480"/>
        <w:jc w:val="both"/>
      </w:pPr>
      <w:r>
        <w:rPr>
          <w:rFonts w:ascii="Times New Roman" w:hAnsi="Times New Roman" w:eastAsia="宋体"/>
          <w:b w:val="0"/>
          <w:sz w:val="24"/>
        </w:rPr>
        <w:t>假设 H1b（技术外溢）：加入 WTO 后，成员的出口碳强度下降。</w:t>
      </w:r>
    </w:p>
    <w:p>
      <w:pPr>
        <w:spacing w:lineRule="auto" w:line="360" w:after="0" w:before="0"/>
        <w:ind w:firstLine="480"/>
        <w:jc w:val="both"/>
      </w:pPr>
      <w:r>
        <w:rPr>
          <w:rFonts w:ascii="Times New Roman" w:hAnsi="Times New Roman" w:eastAsia="宋体"/>
          <w:b w:val="0"/>
          <w:sz w:val="24"/>
        </w:rPr>
        <w:t>假设 H2（异质性）：对于能源强度更高、处于工业化中期的发展中国家，结构效应更可能占优，呈现“污染天堂”特征；对于能源强度较低、技术水平较高的经济体，技术效应更可能占优，呈现“技术外溢”特征。</w:t>
      </w:r>
    </w:p>
    <w:p>
      <w:pPr>
        <w:spacing w:before="240" w:after="120" w:line="360" w:lineRule="auto"/>
        <w:jc w:val="left"/>
      </w:pPr>
      <w:r>
        <w:rPr>
          <w:rFonts w:ascii="Times New Roman" w:hAnsi="Times New Roman" w:eastAsia="黑体"/>
          <w:b/>
          <w:sz w:val="28"/>
        </w:rPr>
        <w:t>四、数据来源与研究设计</w:t>
      </w:r>
    </w:p>
    <w:p>
      <w:pPr>
        <w:spacing w:before="120" w:after="60" w:line="360" w:lineRule="auto"/>
      </w:pPr>
      <w:r>
        <w:rPr>
          <w:rFonts w:ascii="Times New Roman" w:hAnsi="Times New Roman" w:eastAsia="黑体"/>
          <w:b/>
          <w:sz w:val="25"/>
        </w:rPr>
        <w:t>（一）数据与变量</w:t>
      </w:r>
    </w:p>
    <w:p>
      <w:pPr>
        <w:spacing w:lineRule="auto" w:line="360" w:after="0" w:before="0"/>
        <w:ind w:firstLine="480"/>
        <w:jc w:val="both"/>
      </w:pPr>
      <w:r>
        <w:rPr>
          <w:rFonts w:ascii="Times New Roman" w:hAnsi="Times New Roman" w:eastAsia="宋体"/>
          <w:b w:val="0"/>
          <w:sz w:val="24"/>
        </w:rPr>
        <w:t>本文构建 2000—2020 年的跨国面板数据，覆盖约 160 个经济体，经缺失值处理后共得 3480 个国家—年观测。核心被解释变量为出口碳强度，定义为一国 CO₂ 排放量与货物和服务出口额之比（吨/百万美元），并取自然对数 ln(CO₂ 强度)，以缓解右偏并便于弹性解释。核心解释变量为 WTO 成员身份虚拟变量（当年为成员取 1，否则取 0）。控制变量包括人均 GDP 及其平方项（检验 EKC）、能源强度、工业增加值占 GDP 比重等。出口额来自世界银行 WDI（指标 NE.EXP.GNFS.CD），人均 GDP、能源强度与工业占比同样取自世界银行数据库，CO₂ 排放数据来自公开排放数据库。</w:t>
      </w:r>
    </w:p>
    <w:p>
      <w:pPr>
        <w:spacing w:lineRule="auto" w:line="360" w:after="0" w:before="0"/>
        <w:ind w:firstLine="480"/>
        <w:jc w:val="both"/>
      </w:pPr>
      <w:r>
        <w:rPr>
          <w:rFonts w:ascii="Times New Roman" w:hAnsi="Times New Roman" w:eastAsia="宋体"/>
          <w:b w:val="0"/>
          <w:sz w:val="24"/>
        </w:rPr>
        <w:t>表 1（描述性统计，对应图 1）显示，样本内 ln(CO₂ 强度) 均值约为 7.14、标准差 1.18，分布大致对称；WTO 成员观测占比达 79.2%，反映样本期内多边体制成员已高度普及；人均 GDP、能源强度等控制变量离散度较大，为识别异质性提供了空间。图 2 进一步对比 2000 年与 2020 年主要出口国的碳强度，可见中国、印度、俄罗斯、南非等国出口碳强度普遍下降六成以上，呈现明显的全局性“变绿”趋势。</w:t>
      </w:r>
    </w:p>
    <w:p>
      <w:pPr>
        <w:spacing w:before="120" w:after="60" w:line="360" w:lineRule="auto"/>
      </w:pPr>
      <w:r>
        <w:rPr>
          <w:rFonts w:ascii="Times New Roman" w:hAnsi="Times New Roman" w:eastAsia="黑体"/>
          <w:b/>
          <w:sz w:val="25"/>
        </w:rPr>
        <w:t>（二）计量模型</w:t>
      </w:r>
    </w:p>
    <w:p>
      <w:pPr>
        <w:spacing w:lineRule="auto" w:line="360" w:after="0" w:before="0"/>
        <w:ind w:firstLine="480"/>
        <w:jc w:val="both"/>
      </w:pPr>
      <w:r>
        <w:rPr>
          <w:rFonts w:ascii="Times New Roman" w:hAnsi="Times New Roman" w:eastAsia="宋体"/>
          <w:b w:val="0"/>
          <w:sz w:val="24"/>
        </w:rPr>
        <w:t>为识别成员身份的净效应，本文设定双向固定效应模型：</w:t>
      </w:r>
    </w:p>
    <w:p>
      <w:pPr>
        <w:spacing w:lineRule="auto" w:line="360" w:after="0" w:before="0"/>
        <w:jc w:val="center"/>
      </w:pPr>
      <w:r>
        <w:rPr>
          <w:rFonts w:ascii="Times New Roman" w:hAnsi="Times New Roman" w:eastAsia="宋体"/>
          <w:b w:val="0"/>
          <w:sz w:val="24"/>
        </w:rPr>
        <w:t>ln(CO₂ 强度)_{it} = β₁·WTO_{it} + β₂·ln(pgdp)_{it} + β₃·[ln(pgdp)]²_{it} + β₄·能源强度_{it} + β₅·工业占比_{it} + μ_i + λ_t + ε_{it}</w:t>
      </w:r>
    </w:p>
    <w:p>
      <w:pPr>
        <w:spacing w:lineRule="auto" w:line="360" w:after="0" w:before="0"/>
        <w:ind w:firstLine="480"/>
        <w:jc w:val="both"/>
      </w:pPr>
      <w:r>
        <w:rPr>
          <w:rFonts w:ascii="Times New Roman" w:hAnsi="Times New Roman" w:eastAsia="宋体"/>
          <w:b w:val="0"/>
          <w:sz w:val="24"/>
        </w:rPr>
        <w:t>其中 i、t 分别表示国家与年份，μ_i 为国家固定效应（吸收不随时间变化的禀赋、地理与制度差异），λ_t 为年份固定效应（吸收全球技术进步、油价与共同冲击），β₁ 即所关注的成员身份效应。标准误在国家层面聚类，以处理序列相关与异方差。在此基础上，本文进一步采用事件研究法检验平行趋势与动态效应，通过分组回归刻画异质性，并以安慰剂检验和剔除极端值、剔除中国等方式检验稳健性。</w:t>
      </w:r>
    </w:p>
    <w:p>
      <w:pPr>
        <w:spacing w:before="240" w:after="120" w:line="360" w:lineRule="auto"/>
        <w:jc w:val="left"/>
      </w:pPr>
      <w:r>
        <w:rPr>
          <w:rFonts w:ascii="Times New Roman" w:hAnsi="Times New Roman" w:eastAsia="黑体"/>
          <w:b/>
          <w:sz w:val="28"/>
        </w:rPr>
        <w:t>五、实证结果与讨论</w:t>
      </w:r>
    </w:p>
    <w:p>
      <w:pPr>
        <w:spacing w:before="120" w:after="60" w:line="360" w:lineRule="auto"/>
      </w:pPr>
      <w:r>
        <w:rPr>
          <w:rFonts w:ascii="Times New Roman" w:hAnsi="Times New Roman" w:eastAsia="黑体"/>
          <w:b/>
          <w:sz w:val="25"/>
        </w:rPr>
        <w:t>（一）基准回归</w:t>
      </w:r>
    </w:p>
    <w:p>
      <w:pPr>
        <w:spacing w:lineRule="auto" w:line="360" w:after="0" w:before="0"/>
        <w:ind w:firstLine="480"/>
        <w:jc w:val="both"/>
      </w:pPr>
      <w:r>
        <w:rPr>
          <w:rFonts w:ascii="Times New Roman" w:hAnsi="Times New Roman" w:eastAsia="宋体"/>
          <w:b w:val="0"/>
          <w:sz w:val="24"/>
        </w:rPr>
        <w:t>表 2 报告了基准回归结果。在混合 OLS 中，WTO 成员身份系数为 -0.318（p&lt;0.05），似乎支持“技术外溢”假说；但该设定未控制国家异质性，存在严重遗漏变量偏误——本身碳强度较低的发达经济体往往更早、更普遍地成为成员，从而高估了负向关系。加入国家固定效应后系数降至 -0.025 且不显著；进一步加入年份固定效应（双向 FE）后，系数变为 0.111，p 值为 0.283，在统计上不显著。这表明，一旦剥离国家禀赋与全球共同趋势，WTO 成员身份对出口碳强度并无稳健的因果影响。</w:t>
      </w:r>
    </w:p>
    <w:p>
      <w:pPr>
        <w:spacing w:lineRule="auto" w:line="360" w:after="0" w:before="0"/>
        <w:ind w:firstLine="480"/>
        <w:jc w:val="both"/>
      </w:pPr>
      <w:r>
        <w:rPr>
          <w:rFonts w:ascii="Times New Roman" w:hAnsi="Times New Roman" w:eastAsia="宋体"/>
          <w:b w:val="0"/>
          <w:sz w:val="24"/>
        </w:rPr>
        <w:t>控制变量的结果与理论高度吻合：ln(人均 GDP) 系数显著为正、其平方项显著为负，清晰刻画出碳强度随收入先升后降的倒 U 形环境库兹涅茨曲线；能源强度系数显著为正（约 0.043），说明能源效率是碳强度的关键决定因素；工业增加值占比系数显著为负（约 -0.017），反映出在控制其他因素后，产业结构的变动同样影响单位出口的碳含量。换言之，样本期内出口碳强度的普遍下降，主要由收入增长、能效提升与结构调整解释，而非入世这一制度事件本身。</w:t>
      </w:r>
    </w:p>
    <w:p>
      <w:pPr>
        <w:spacing w:before="120" w:after="60" w:line="360" w:lineRule="auto"/>
      </w:pPr>
      <w:r>
        <w:rPr>
          <w:rFonts w:ascii="Times New Roman" w:hAnsi="Times New Roman" w:eastAsia="黑体"/>
          <w:b/>
          <w:sz w:val="25"/>
        </w:rPr>
        <w:t>（二）事件研究与动态效应</w:t>
      </w:r>
    </w:p>
    <w:p>
      <w:pPr>
        <w:spacing w:lineRule="auto" w:line="360" w:after="0" w:before="0"/>
        <w:ind w:firstLine="480"/>
        <w:jc w:val="both"/>
      </w:pPr>
      <w:r>
        <w:rPr>
          <w:rFonts w:ascii="Times New Roman" w:hAnsi="Times New Roman" w:eastAsia="宋体"/>
          <w:b w:val="0"/>
          <w:sz w:val="24"/>
        </w:rPr>
        <w:t>图 3 的事件研究结果显示，在入世前各期，估计系数均接近于零且不显著，说明处理组与对照组在入世前不存在系统性的差异趋势，平行趋势假定大体成立，为因果识别提供了支持。入世后各期系数总体落在零附近并略偏负，至 t+6 期约为 -0.27，呈现微弱的下降迹象，但 95% 置信区间始终包含零。这意味着即便存在某种延迟的“变绿”效应，其统计证据也较为脆弱，不足以据此下定论。</w:t>
      </w:r>
    </w:p>
    <w:p>
      <w:pPr>
        <w:spacing w:before="120" w:after="60" w:line="360" w:lineRule="auto"/>
      </w:pPr>
      <w:r>
        <w:rPr>
          <w:rFonts w:ascii="Times New Roman" w:hAnsi="Times New Roman" w:eastAsia="黑体"/>
          <w:b/>
          <w:sz w:val="25"/>
        </w:rPr>
        <w:t>（三）异质性分析</w:t>
      </w:r>
    </w:p>
    <w:p>
      <w:pPr>
        <w:spacing w:lineRule="auto" w:line="360" w:after="0" w:before="0"/>
        <w:ind w:firstLine="480"/>
        <w:jc w:val="both"/>
      </w:pPr>
      <w:r>
        <w:rPr>
          <w:rFonts w:ascii="Times New Roman" w:hAnsi="Times New Roman" w:eastAsia="宋体"/>
          <w:b w:val="0"/>
          <w:sz w:val="24"/>
        </w:rPr>
        <w:t>图 4 的分组结果揭示了被平均效应所掩盖的结构性差异。以发达国家为基准（效应约 0），高能源强度国家的效应约为 +15.7%、发展中国家约为 +8.3%，方向上符合“污染天堂”假说（H1a 与 H2）；而低能源强度国家的效应约为 -4.7%，方向上符合“技术外溢”假说（H1b）。这一格局与理论预期一致：要素禀赋偏向碳密集产业的经济体，入世后更易承接高碳生产环节；而本已相对清洁的经济体，则更多受益于竞争与技术外溢。需要强调的是，各组的置信区间普遍较宽且跨越零点，因此上述异质性只能作为方向性、提示性的证据，尚不具备统计上的稳健性。</w:t>
      </w:r>
    </w:p>
    <w:p>
      <w:pPr>
        <w:spacing w:before="120" w:after="60" w:line="360" w:lineRule="auto"/>
      </w:pPr>
      <w:r>
        <w:rPr>
          <w:rFonts w:ascii="Times New Roman" w:hAnsi="Times New Roman" w:eastAsia="黑体"/>
          <w:b/>
          <w:sz w:val="25"/>
        </w:rPr>
        <w:t>（四）稳健性与安慰剂检验</w:t>
      </w:r>
    </w:p>
    <w:p>
      <w:pPr>
        <w:spacing w:lineRule="auto" w:line="360" w:after="0" w:before="0"/>
        <w:ind w:firstLine="480"/>
        <w:jc w:val="both"/>
      </w:pPr>
      <w:r>
        <w:rPr>
          <w:rFonts w:ascii="Times New Roman" w:hAnsi="Times New Roman" w:eastAsia="宋体"/>
          <w:b w:val="0"/>
          <w:sz w:val="24"/>
        </w:rPr>
        <w:t>为检验结论的可靠性，本文做了三方面工作。其一，剔除作为最大出口国与排放国的中国后，成员身份系数为 0.113（p=0.279）；其二，对被解释变量上下 1% 缩尾以剔除极端值后，系数为 0.122（p=0.216）；两者均与基准结果一致，表明结论不依赖个别样本或极端观测。其三，安慰剂检验将“入世年份”随机赋值并重复估计 500 次，得到的系数分布（图 5）大致以零为中心，而真实估计值 0.111 恰好落入该随机分布的主体区间内，并非分布尾部的小概率事件。这有力地说明，基准估计得到的正系数与随机噪声难以区分，WTO 成员身份对出口碳强度不存在稳健、显著的因果效应。</w:t>
      </w:r>
    </w:p>
    <w:p>
      <w:pPr>
        <w:spacing w:before="240" w:after="120" w:line="360" w:lineRule="auto"/>
        <w:jc w:val="left"/>
      </w:pPr>
      <w:r>
        <w:rPr>
          <w:rFonts w:ascii="Times New Roman" w:hAnsi="Times New Roman" w:eastAsia="黑体"/>
          <w:b/>
          <w:sz w:val="28"/>
        </w:rPr>
        <w:t>六、结论与政策启示</w:t>
      </w:r>
    </w:p>
    <w:p>
      <w:pPr>
        <w:spacing w:lineRule="auto" w:line="360" w:after="0" w:before="0"/>
        <w:ind w:firstLine="480"/>
        <w:jc w:val="both"/>
      </w:pPr>
      <w:r>
        <w:rPr>
          <w:rFonts w:ascii="Times New Roman" w:hAnsi="Times New Roman" w:eastAsia="宋体"/>
          <w:b w:val="0"/>
          <w:sz w:val="24"/>
        </w:rPr>
        <w:t>本文利用 2000—2020 年跨国面板数据，系统检验了 WTO 成员身份对出口碳强度的影响，得到三点主要结论。第一，从全样本平均看，在控制国家与年份固定效应后，成员身份对出口碳强度并无统计上显著的影响，“污染天堂”与“技术外溢”两种机制在总体上大致相互抵消；混合 OLS 所显示的显著负向关系实为选择性偏误所致。第二，样本期内出口碳强度的普遍下降，主要由收入增长（EKC）、能源强度改善和产业结构调整驱动，而非入世本身。第三，效应存在方向性的异质性：高能源强度国家与发展中国家偏向“污染天堂”，低能源强度国家偏向“技术外溢”，但均不具统计稳健性。</w:t>
      </w:r>
    </w:p>
    <w:p>
      <w:pPr>
        <w:spacing w:lineRule="auto" w:line="360" w:after="0" w:before="0"/>
        <w:ind w:firstLine="480"/>
        <w:jc w:val="both"/>
      </w:pPr>
      <w:r>
        <w:rPr>
          <w:rFonts w:ascii="Times New Roman" w:hAnsi="Times New Roman" w:eastAsia="宋体"/>
          <w:b w:val="0"/>
          <w:sz w:val="24"/>
        </w:rPr>
        <w:t>上述发现具有清晰的政策含义。首先，不应简单地将 WTO 成员身份或贸易自由化本身视为碳强度上升的根源；贸易的环境效应是“中性”的，其最终方向取决于成员国内部的要素禀赋、发展阶段与配套政策。其次，对于能源密集型的发展中国家，应警惕入世后高碳产业转入的潜在风险，通过提高能效标准、完善环境规制与碳定价，避免比较优势固化于高碳环节。再次，应充分发挥多边体制在技术扩散方面的正向作用，推动绿色技术与环境产品的自由化（如环境产品协定），并审慎设计碳边境调节机制，使其既能防止碳泄漏，又不至于演变为变相的绿色保护主义。总体而言，实现“贸易—环境—技术”政策协同，才是推动出口部门持续低碳化的关键。</w:t>
      </w:r>
    </w:p>
    <w:p>
      <w:pPr>
        <w:spacing w:lineRule="auto" w:line="360" w:after="0" w:before="0"/>
        <w:ind w:firstLine="480"/>
        <w:jc w:val="both"/>
      </w:pPr>
      <w:r>
        <w:rPr>
          <w:rFonts w:ascii="Times New Roman" w:hAnsi="Times New Roman" w:eastAsia="宋体"/>
          <w:b w:val="0"/>
          <w:sz w:val="24"/>
        </w:rPr>
        <w:t>本文亦存在局限：以国别加总数据衡量出口碳强度，难以剥离行业构成与全球价值链分工的影响；成员身份的二值处理也未能刻画关税约束深度等强度差异。未来研究可结合行业层面与企业层面的微观数据，并利用投入产出表测度出口的“隐含碳”，进一步识别贸易自由化影响碳强度的具体渠道。</w:t>
      </w:r>
    </w:p>
    <w:p>
      <w:pPr>
        <w:spacing w:before="240" w:after="120" w:line="360" w:lineRule="auto"/>
        <w:jc w:val="left"/>
      </w:pPr>
      <w:r>
        <w:rPr>
          <w:rFonts w:ascii="Times New Roman" w:hAnsi="Times New Roman" w:eastAsia="黑体"/>
          <w:b/>
          <w:sz w:val="28"/>
        </w:rPr>
        <w:t>参考文献</w:t>
      </w:r>
    </w:p>
    <w:p>
      <w:pPr>
        <w:spacing w:line="360" w:lineRule="auto" w:after="40"/>
        <w:ind w:left="480" w:hanging="480"/>
      </w:pPr>
      <w:r>
        <w:rPr>
          <w:rFonts w:ascii="Times New Roman" w:hAnsi="Times New Roman" w:eastAsia="宋体"/>
          <w:b w:val="0"/>
          <w:sz w:val="21"/>
        </w:rPr>
        <w:t>[1] Grossman, G. M., &amp; Krueger, A. B. Environmental Impacts of a North American Free Trade Agreement[R]. NBER Working Paper No. 3914, 1991.</w:t>
      </w:r>
    </w:p>
    <w:p>
      <w:pPr>
        <w:spacing w:line="360" w:lineRule="auto" w:after="40"/>
        <w:ind w:left="480" w:hanging="480"/>
      </w:pPr>
      <w:r>
        <w:rPr>
          <w:rFonts w:ascii="Times New Roman" w:hAnsi="Times New Roman" w:eastAsia="宋体"/>
          <w:b w:val="0"/>
          <w:sz w:val="21"/>
        </w:rPr>
        <w:t>[2] Copeland, B. R., &amp; Taylor, M. S. North-South Trade and the Environment[J]. The Quarterly Journal of Economics, 1994, 109(3): 755-787.</w:t>
      </w:r>
    </w:p>
    <w:p>
      <w:pPr>
        <w:spacing w:line="360" w:lineRule="auto" w:after="40"/>
        <w:ind w:left="480" w:hanging="480"/>
      </w:pPr>
      <w:r>
        <w:rPr>
          <w:rFonts w:ascii="Times New Roman" w:hAnsi="Times New Roman" w:eastAsia="宋体"/>
          <w:b w:val="0"/>
          <w:sz w:val="21"/>
        </w:rPr>
        <w:t>[3] Copeland, B. R., &amp; Taylor, M. S. Trade, Growth, and the Environment[J]. Journal of Economic Literature, 2004, 42(1): 7-71.</w:t>
      </w:r>
    </w:p>
    <w:p>
      <w:pPr>
        <w:spacing w:line="360" w:lineRule="auto" w:after="40"/>
        <w:ind w:left="480" w:hanging="480"/>
      </w:pPr>
      <w:r>
        <w:rPr>
          <w:rFonts w:ascii="Times New Roman" w:hAnsi="Times New Roman" w:eastAsia="宋体"/>
          <w:b w:val="0"/>
          <w:sz w:val="21"/>
        </w:rPr>
        <w:t>[4] Antweiler, W., Copeland, B. R., &amp; Taylor, M. S. Is Free Trade Good for the Environment?[J]. American Economic Review, 2001, 91(4): 877-908.</w:t>
      </w:r>
    </w:p>
    <w:p>
      <w:pPr>
        <w:spacing w:line="360" w:lineRule="auto" w:after="40"/>
        <w:ind w:left="480" w:hanging="480"/>
      </w:pPr>
      <w:r>
        <w:rPr>
          <w:rFonts w:ascii="Times New Roman" w:hAnsi="Times New Roman" w:eastAsia="宋体"/>
          <w:b w:val="0"/>
          <w:sz w:val="21"/>
        </w:rPr>
        <w:t>[5] Frankel, J. A., &amp; Rose, A. K. Is Trade Good or Bad for the Environment? Sorting Out the Causality[J]. The Review of Economics and Statistics, 2005, 87(1): 85-91.</w:t>
      </w:r>
    </w:p>
    <w:p>
      <w:pPr>
        <w:spacing w:line="360" w:lineRule="auto" w:after="40"/>
        <w:ind w:left="480" w:hanging="480"/>
      </w:pPr>
      <w:r>
        <w:rPr>
          <w:rFonts w:ascii="Times New Roman" w:hAnsi="Times New Roman" w:eastAsia="宋体"/>
          <w:b w:val="0"/>
          <w:sz w:val="21"/>
        </w:rPr>
        <w:t>[6] Rose, A. K. Do We Really Know That the WTO Increases Trade?[J]. American Economic Review, 2004, 94(1): 98-114.</w:t>
      </w:r>
    </w:p>
    <w:p>
      <w:pPr>
        <w:spacing w:line="360" w:lineRule="auto" w:after="40"/>
        <w:ind w:left="480" w:hanging="480"/>
      </w:pPr>
      <w:r>
        <w:rPr>
          <w:rFonts w:ascii="Times New Roman" w:hAnsi="Times New Roman" w:eastAsia="宋体"/>
          <w:b w:val="0"/>
          <w:sz w:val="21"/>
        </w:rPr>
        <w:t>[7] Levinson, A., &amp; Taylor, M. S. Unmasking the Pollution Haven Effect[J]. International Economic Review, 2008, 49(1): 223-254.</w:t>
      </w:r>
    </w:p>
    <w:p>
      <w:pPr>
        <w:spacing w:line="360" w:lineRule="auto" w:after="40"/>
        <w:ind w:left="480" w:hanging="480"/>
      </w:pPr>
      <w:r>
        <w:rPr>
          <w:rFonts w:ascii="Times New Roman" w:hAnsi="Times New Roman" w:eastAsia="宋体"/>
          <w:b w:val="0"/>
          <w:sz w:val="21"/>
        </w:rPr>
        <w:t>[8] World Bank. World Development Indicators[DB/OL]. Washington, D.C.: The World Bank, 2024.</w:t>
      </w:r>
    </w:p>
    <w:p>
      <w:pPr>
        <w:spacing w:line="360" w:lineRule="auto" w:after="40"/>
        <w:ind w:left="480" w:hanging="480"/>
      </w:pPr>
      <w:r>
        <w:rPr>
          <w:rFonts w:ascii="Times New Roman" w:hAnsi="Times New Roman" w:eastAsia="宋体"/>
          <w:b w:val="0"/>
          <w:sz w:val="21"/>
        </w:rPr>
        <w:t>[9] 李小平, 卢现祥. 国际贸易、污染产业转移和中国工业 CO₂ 排放[J]. 经济研究, 2010(1): 15-26.</w:t>
      </w:r>
    </w:p>
    <w:p>
      <w:pPr>
        <w:spacing w:line="360" w:lineRule="auto" w:after="40"/>
        <w:ind w:left="480" w:hanging="480"/>
      </w:pPr>
      <w:r>
        <w:rPr>
          <w:rFonts w:ascii="Times New Roman" w:hAnsi="Times New Roman" w:eastAsia="宋体"/>
          <w:b w:val="0"/>
          <w:sz w:val="21"/>
        </w:rPr>
        <w:t>[10] 余淼杰, 张睿. 贸易自由化、技术进步与企业碳排放[J]. 经济学(季刊), 2017.</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