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120"/>
      </w:pPr>
      <w:r>
        <w:rPr>
          <w:rFonts w:ascii="Times New Roman" w:hAnsi="Times New Roman" w:eastAsia="SimSun" w:cs="Times New Roman"/>
          <w:sz w:val="24"/>
          <w:szCs w:val="24"/>
        </w:rPr>
        <w:t xml:space="preserve">Пояснение к слайдам: международный платежный баланс</w:t>
      </w:r>
    </w:p>
    <w:p>
      <w:pPr>
        <w:spacing w:after="160"/>
        <w:jc w:val="both"/>
      </w:pPr>
      <w:r>
        <w:rPr>
          <w:rFonts w:ascii="Times New Roman" w:hAnsi="Times New Roman" w:eastAsia="SimSun" w:cs="Times New Roman"/>
          <w:sz w:val="24"/>
          <w:szCs w:val="24"/>
        </w:rPr>
        <w:t xml:space="preserve">Документ подготовлен на русском языке. Китайские термины приведены в скобках рядом с ключевыми понятиями, которые объясняются.</w:t>
      </w:r>
    </w:p>
    <w:p>
      <w:pPr>
        <w:pStyle w:val="Heading1"/>
        <w:spacing w:after="120"/>
      </w:pPr>
      <w:r>
        <w:rPr>
          <w:rFonts w:ascii="Times New Roman" w:hAnsi="Times New Roman" w:eastAsia="SimSun" w:cs="Times New Roman"/>
          <w:sz w:val="24"/>
          <w:szCs w:val="24"/>
        </w:rPr>
        <w:t xml:space="preserve">Слайд 1. Международный платежный баланс</w:t>
      </w:r>
    </w:p>
    <w:p>
      <w:pPr>
        <w:spacing w:after="160"/>
        <w:jc w:val="both"/>
      </w:pPr>
      <w:r>
        <w:rPr>
          <w:rFonts w:ascii="Times New Roman" w:hAnsi="Times New Roman" w:eastAsia="SimSun" w:cs="Times New Roman"/>
          <w:b/>
          <w:bCs/>
          <w:sz w:val="24"/>
          <w:szCs w:val="24"/>
        </w:rPr>
        <w:t xml:space="preserve">Ключевые термины: международный платежный баланс (国际收支平衡表)</w:t>
      </w:r>
    </w:p>
    <w:p>
      <w:pPr>
        <w:spacing w:after="160"/>
        <w:jc w:val="both"/>
      </w:pPr>
      <w:r>
        <w:rPr>
          <w:rFonts w:ascii="Times New Roman" w:hAnsi="Times New Roman" w:eastAsia="SimSun" w:cs="Times New Roman"/>
          <w:sz w:val="24"/>
          <w:szCs w:val="24"/>
        </w:rPr>
        <w:t xml:space="preserve">Этот слайд задает главную тему: международный платежный баланс (国际收支平衡表). Под ним понимают систематизированную таблицу, в которой страна фиксирует все экономические операции с внешним миром за определенный период.</w:t>
      </w:r>
    </w:p>
    <w:p>
      <w:pPr>
        <w:spacing w:after="160"/>
        <w:jc w:val="both"/>
      </w:pPr>
      <w:r>
        <w:rPr>
          <w:rFonts w:ascii="Times New Roman" w:hAnsi="Times New Roman" w:eastAsia="SimSun" w:cs="Times New Roman"/>
          <w:sz w:val="24"/>
          <w:szCs w:val="24"/>
        </w:rPr>
        <w:t xml:space="preserve">Важно сразу увидеть, что речь идет не только о торговле товарами. Платежный баланс показывает движение товаров, услуг, доходов, капитала, финансовых активов и резервов. Поэтому он помогает понять, откуда страна получает валюту, куда она ее расходует и насколько устойчивы ее внешнеэкономические связи.</w:t>
      </w:r>
    </w:p>
    <w:p>
      <w:pPr>
        <w:pStyle w:val="Heading1"/>
        <w:spacing w:after="120"/>
      </w:pPr>
      <w:r>
        <w:rPr>
          <w:rFonts w:ascii="Times New Roman" w:hAnsi="Times New Roman" w:eastAsia="SimSun" w:cs="Times New Roman"/>
          <w:sz w:val="24"/>
          <w:szCs w:val="24"/>
        </w:rPr>
        <w:t xml:space="preserve">Слайд 2. Ключевые знания темы</w:t>
      </w:r>
    </w:p>
    <w:p>
      <w:pPr>
        <w:spacing w:after="160"/>
        <w:jc w:val="both"/>
      </w:pPr>
      <w:r>
        <w:rPr>
          <w:rFonts w:ascii="Times New Roman" w:hAnsi="Times New Roman" w:eastAsia="SimSun" w:cs="Times New Roman"/>
          <w:b/>
          <w:bCs/>
          <w:sz w:val="24"/>
          <w:szCs w:val="24"/>
        </w:rPr>
        <w:t xml:space="preserve">Ключевые термины: содержание платежного баланса (国际收支平衡表的内容), специальные права заимствования (特别提款权), двойной профицит (双顺差), долговой кризис развивающихся стран (发展中国家债务危机), торговый дефицит США (美国贸易赤字)</w:t>
      </w:r>
    </w:p>
    <w:p>
      <w:pPr>
        <w:spacing w:after="160"/>
        <w:jc w:val="both"/>
      </w:pPr>
      <w:r>
        <w:rPr>
          <w:rFonts w:ascii="Times New Roman" w:hAnsi="Times New Roman" w:eastAsia="SimSun" w:cs="Times New Roman"/>
          <w:sz w:val="24"/>
          <w:szCs w:val="24"/>
        </w:rPr>
        <w:t xml:space="preserve">На слайде перечислены основные блоки лекции. Сначала разбирается смысл платежного баланса (国际收支平衡表的含义), затем его структура и счета, после чего отдельно рассматриваются специальные права заимствования (特别提款权, SDR) как часть международных резервов.</w:t>
      </w:r>
    </w:p>
    <w:p>
      <w:pPr>
        <w:spacing w:after="160"/>
        <w:jc w:val="both"/>
      </w:pPr>
      <w:r>
        <w:rPr>
          <w:rFonts w:ascii="Times New Roman" w:hAnsi="Times New Roman" w:eastAsia="SimSun" w:cs="Times New Roman"/>
          <w:sz w:val="24"/>
          <w:szCs w:val="24"/>
        </w:rPr>
        <w:t xml:space="preserve">Далее тема связывается с реальными экономическими проблемами: двойной профицит Китая (中国国际收支的“双顺差”结构), долговые кризисы развивающихся стран (发展中国家债务危机) и долгосрочный торговый дефицит США (美国长期贸易赤字). Эти примеры показывают, что платежный баланс является не только статистикой, но и инструментом анализа экономической модели страны.</w:t>
      </w:r>
    </w:p>
    <w:p>
      <w:pPr>
        <w:pStyle w:val="Heading1"/>
        <w:spacing w:after="120"/>
      </w:pPr>
      <w:r>
        <w:rPr>
          <w:rFonts w:ascii="Times New Roman" w:hAnsi="Times New Roman" w:eastAsia="SimSun" w:cs="Times New Roman"/>
          <w:sz w:val="24"/>
          <w:szCs w:val="24"/>
        </w:rPr>
        <w:t xml:space="preserve">Слайд 3. Значение международного платежного баланса</w:t>
      </w:r>
    </w:p>
    <w:p>
      <w:pPr>
        <w:spacing w:after="160"/>
        <w:jc w:val="both"/>
      </w:pPr>
      <w:r>
        <w:rPr>
          <w:rFonts w:ascii="Times New Roman" w:hAnsi="Times New Roman" w:eastAsia="SimSun" w:cs="Times New Roman"/>
          <w:b/>
          <w:bCs/>
          <w:sz w:val="24"/>
          <w:szCs w:val="24"/>
        </w:rPr>
        <w:t xml:space="preserve">Ключевые термины: значение платежного баланса (国际收支平衡表的含义)</w:t>
      </w:r>
    </w:p>
    <w:p>
      <w:pPr>
        <w:spacing w:after="160"/>
        <w:jc w:val="both"/>
      </w:pPr>
      <w:r>
        <w:rPr>
          <w:rFonts w:ascii="Times New Roman" w:hAnsi="Times New Roman" w:eastAsia="SimSun" w:cs="Times New Roman"/>
          <w:sz w:val="24"/>
          <w:szCs w:val="24"/>
        </w:rPr>
        <w:t xml:space="preserve">Этот раздел объясняет, что именно показывает платежный баланс (国际收支平衡表) и почему он нужен в системе макроэкономического учета. Он связывает внутреннюю экономику страны с внешним сектором: экспортом, импортом, инвестициями, кредитами и резервами.</w:t>
      </w:r>
    </w:p>
    <w:p>
      <w:pPr>
        <w:spacing w:after="160"/>
        <w:jc w:val="both"/>
      </w:pPr>
      <w:r>
        <w:rPr>
          <w:rFonts w:ascii="Times New Roman" w:hAnsi="Times New Roman" w:eastAsia="SimSun" w:cs="Times New Roman"/>
          <w:sz w:val="24"/>
          <w:szCs w:val="24"/>
        </w:rPr>
        <w:t xml:space="preserve">Главная идея раздела состоит в том, что любая страна постоянно взаимодействует с нерезидентами. Чтобы оценить эти взаимодействия, нужен единый учетный документ, который показывает потоки поступлений и платежей между резидентами и нерезидентами.</w:t>
      </w:r>
    </w:p>
    <w:p>
      <w:pPr>
        <w:pStyle w:val="Heading1"/>
        <w:spacing w:after="120"/>
      </w:pPr>
      <w:r>
        <w:rPr>
          <w:rFonts w:ascii="Times New Roman" w:hAnsi="Times New Roman" w:eastAsia="SimSun" w:cs="Times New Roman"/>
          <w:sz w:val="24"/>
          <w:szCs w:val="24"/>
        </w:rPr>
        <w:t xml:space="preserve">Слайд 4. Определение платежного баланса</w:t>
      </w:r>
    </w:p>
    <w:p>
      <w:pPr>
        <w:spacing w:after="160"/>
        <w:jc w:val="both"/>
      </w:pPr>
      <w:r>
        <w:rPr>
          <w:rFonts w:ascii="Times New Roman" w:hAnsi="Times New Roman" w:eastAsia="SimSun" w:cs="Times New Roman"/>
          <w:b/>
          <w:bCs/>
          <w:sz w:val="24"/>
          <w:szCs w:val="24"/>
        </w:rPr>
        <w:t xml:space="preserve">Ключевые термины: национальные счета (国民经济核算体系), узкий платежный баланс (狭义国际收支), широкий платежный баланс (广义国际收支), резиденты и нерезиденты (居民和非居民), поток (流量)</w:t>
      </w:r>
    </w:p>
    <w:p>
      <w:pPr>
        <w:spacing w:after="160"/>
        <w:jc w:val="both"/>
      </w:pPr>
      <w:r>
        <w:rPr>
          <w:rFonts w:ascii="Times New Roman" w:hAnsi="Times New Roman" w:eastAsia="SimSun" w:cs="Times New Roman"/>
          <w:sz w:val="24"/>
          <w:szCs w:val="24"/>
        </w:rPr>
        <w:t xml:space="preserve">Платежный баланс (国际收支平衡表) является частью системы национальных счетов (国民经济核算体系). В узком смысле (狭义国际收支) он отражает операции, связанные с иностранной валютой. В широком смысле (广义国际收支) он охватывает все внешнеэкономические операции страны или региона за период.</w:t>
      </w:r>
    </w:p>
    <w:p>
      <w:pPr>
        <w:spacing w:after="160"/>
        <w:jc w:val="both"/>
      </w:pPr>
      <w:r>
        <w:rPr>
          <w:rFonts w:ascii="Times New Roman" w:hAnsi="Times New Roman" w:eastAsia="SimSun" w:cs="Times New Roman"/>
          <w:sz w:val="24"/>
          <w:szCs w:val="24"/>
        </w:rPr>
        <w:t xml:space="preserve">Ключевое различие проходит между резидентами и нерезидентами (居民和非居民). Резидентом считается экономический субъект, центр экономического интереса которого находится внутри страны, а нерезидентом - субъект внешнего мира. Платежный баланс фиксирует не запас, а поток (流量), то есть операции за месяц, квартал, полугодие или год.</w:t>
      </w:r>
    </w:p>
    <w:p>
      <w:pPr>
        <w:pStyle w:val="Heading1"/>
        <w:spacing w:after="120"/>
      </w:pPr>
      <w:r>
        <w:rPr>
          <w:rFonts w:ascii="Times New Roman" w:hAnsi="Times New Roman" w:eastAsia="SimSun" w:cs="Times New Roman"/>
          <w:sz w:val="24"/>
          <w:szCs w:val="24"/>
        </w:rPr>
        <w:t xml:space="preserve">Слайд 5. Составление платежного баланса</w:t>
      </w:r>
    </w:p>
    <w:p>
      <w:pPr>
        <w:spacing w:after="160"/>
        <w:jc w:val="both"/>
      </w:pPr>
      <w:r>
        <w:rPr>
          <w:rFonts w:ascii="Times New Roman" w:hAnsi="Times New Roman" w:eastAsia="SimSun" w:cs="Times New Roman"/>
          <w:b/>
          <w:bCs/>
          <w:sz w:val="24"/>
          <w:szCs w:val="24"/>
        </w:rPr>
        <w:t xml:space="preserve">Ключевые термины: методология составления (编制方法), Международный валютный фонд (国际货币基金组织), Руководство по платежному балансу и международной инвестиционной позиции (国际收支和国际投资头寸手册)</w:t>
      </w:r>
    </w:p>
    <w:p>
      <w:pPr>
        <w:spacing w:after="160"/>
        <w:jc w:val="both"/>
      </w:pPr>
      <w:r>
        <w:rPr>
          <w:rFonts w:ascii="Times New Roman" w:hAnsi="Times New Roman" w:eastAsia="SimSun" w:cs="Times New Roman"/>
          <w:sz w:val="24"/>
          <w:szCs w:val="24"/>
        </w:rPr>
        <w:t xml:space="preserve">Так как внешнеэкономических операций много, страны могут отличаться по источникам данных и статистическим процедурам. Чтобы показатели были сопоставимы, Международный валютный фонд (国际货币基金组织, IMF) разрабатывает методологические стандарты.</w:t>
      </w:r>
    </w:p>
    <w:p>
      <w:pPr>
        <w:spacing w:after="160"/>
        <w:jc w:val="both"/>
      </w:pPr>
      <w:r>
        <w:rPr>
          <w:rFonts w:ascii="Times New Roman" w:hAnsi="Times New Roman" w:eastAsia="SimSun" w:cs="Times New Roman"/>
          <w:sz w:val="24"/>
          <w:szCs w:val="24"/>
        </w:rPr>
        <w:t xml:space="preserve">Сейчас основным международным стандартом является шестое издание Руководства по платежному балансу и международной инвестиционной позиции (国际收支和国际投资头寸手册, BPM6), опубликованное в 2009 году. Развитые страны начали переходить на него в 2012-2013 годах, Китай - с 2015 года. Периодичность учета может быть годовой, полугодовой или квартальной.</w:t>
      </w:r>
    </w:p>
    <w:p>
      <w:pPr>
        <w:pStyle w:val="Heading1"/>
        <w:spacing w:after="120"/>
      </w:pPr>
      <w:r>
        <w:rPr>
          <w:rFonts w:ascii="Times New Roman" w:hAnsi="Times New Roman" w:eastAsia="SimSun" w:cs="Times New Roman"/>
          <w:sz w:val="24"/>
          <w:szCs w:val="24"/>
        </w:rPr>
        <w:t xml:space="preserve">Слайд 6. Принципы оценки операций</w:t>
      </w:r>
    </w:p>
    <w:p>
      <w:pPr>
        <w:spacing w:after="160"/>
        <w:jc w:val="both"/>
      </w:pPr>
      <w:r>
        <w:rPr>
          <w:rFonts w:ascii="Times New Roman" w:hAnsi="Times New Roman" w:eastAsia="SimSun" w:cs="Times New Roman"/>
          <w:b/>
          <w:bCs/>
          <w:sz w:val="24"/>
          <w:szCs w:val="24"/>
        </w:rPr>
        <w:t xml:space="preserve">Ключевые термины: денежная оценка (货币金额计值), принцип оценки (计价原则), рыночная цена (市场价格), цена FOB / цена франко-борт (离岸价格)</w:t>
      </w:r>
    </w:p>
    <w:p>
      <w:pPr>
        <w:spacing w:after="160"/>
        <w:jc w:val="both"/>
      </w:pPr>
      <w:r>
        <w:rPr>
          <w:rFonts w:ascii="Times New Roman" w:hAnsi="Times New Roman" w:eastAsia="SimSun" w:cs="Times New Roman"/>
          <w:sz w:val="24"/>
          <w:szCs w:val="24"/>
        </w:rPr>
        <w:t xml:space="preserve">Платежный баланс (国际收支平衡表) составляется в денежном выражении (货币金额计值). Страна может использовать национальную валюту или международно применяемую валюту, например доллар США, но все операции должны быть приведены к единой денежной оценке.</w:t>
      </w:r>
    </w:p>
    <w:p>
      <w:pPr>
        <w:spacing w:after="160"/>
        <w:jc w:val="both"/>
      </w:pPr>
      <w:r>
        <w:rPr>
          <w:rFonts w:ascii="Times New Roman" w:hAnsi="Times New Roman" w:eastAsia="SimSun" w:cs="Times New Roman"/>
          <w:sz w:val="24"/>
          <w:szCs w:val="24"/>
        </w:rPr>
        <w:t xml:space="preserve">Принцип оценки (计价原则) означает, что операции в основном записываются по рыночной цене (市场价格) на момент сделки. Для товаров используется цена FOB, или цена франко-борт (离岸价格): в нее включается стоимость товара до погрузки на судно или другое транспортное средство, но не включаются дальнейшие международные перевозки и страхование.</w:t>
      </w:r>
    </w:p>
    <w:p>
      <w:pPr>
        <w:pStyle w:val="Heading1"/>
        <w:spacing w:after="120"/>
      </w:pPr>
      <w:r>
        <w:rPr>
          <w:rFonts w:ascii="Times New Roman" w:hAnsi="Times New Roman" w:eastAsia="SimSun" w:cs="Times New Roman"/>
          <w:sz w:val="24"/>
          <w:szCs w:val="24"/>
        </w:rPr>
        <w:t xml:space="preserve">Слайд 7. Двойная запись</w:t>
      </w:r>
    </w:p>
    <w:p>
      <w:pPr>
        <w:spacing w:after="160"/>
        <w:jc w:val="both"/>
      </w:pPr>
      <w:r>
        <w:rPr>
          <w:rFonts w:ascii="Times New Roman" w:hAnsi="Times New Roman" w:eastAsia="SimSun" w:cs="Times New Roman"/>
          <w:b/>
          <w:bCs/>
          <w:sz w:val="24"/>
          <w:szCs w:val="24"/>
        </w:rPr>
        <w:t xml:space="preserve">Ключевые термины: двойная запись (复式记账原则), метод начисления (权责发生制), дебет (借方), кредит (贷方), активы (资产), обязательства (负债)</w:t>
      </w:r>
    </w:p>
    <w:p>
      <w:pPr>
        <w:spacing w:after="160"/>
        <w:jc w:val="both"/>
      </w:pPr>
      <w:r>
        <w:rPr>
          <w:rFonts w:ascii="Times New Roman" w:hAnsi="Times New Roman" w:eastAsia="SimSun" w:cs="Times New Roman"/>
          <w:sz w:val="24"/>
          <w:szCs w:val="24"/>
        </w:rPr>
        <w:t xml:space="preserve">Международный платежный баланс использует принцип двойной записи (复式记账原则). Это значит, что каждая операция отражается одновременно по дебету (借方) и кредиту (贷方), а сумма дебетовых и кредитовых записей должна совпадать.</w:t>
      </w:r>
    </w:p>
    <w:p>
      <w:pPr>
        <w:spacing w:after="160"/>
        <w:jc w:val="both"/>
      </w:pPr>
      <w:r>
        <w:rPr>
          <w:rFonts w:ascii="Times New Roman" w:hAnsi="Times New Roman" w:eastAsia="SimSun" w:cs="Times New Roman"/>
          <w:sz w:val="24"/>
          <w:szCs w:val="24"/>
        </w:rPr>
        <w:t xml:space="preserve">Учет ведется по методу начисления (权责发生制): операция признается тогда, когда возникает право требования или обязательство, а не обязательно тогда, когда прошли деньги. Кредитная запись обычно отражает уменьшение активов (资产) или увеличение обязательств (负债), а дебетовая запись - увеличение активов или уменьшение обязательств.</w:t>
      </w:r>
    </w:p>
    <w:p>
      <w:pPr>
        <w:pStyle w:val="Heading1"/>
        <w:spacing w:after="120"/>
      </w:pPr>
      <w:r>
        <w:rPr>
          <w:rFonts w:ascii="Times New Roman" w:hAnsi="Times New Roman" w:eastAsia="SimSun" w:cs="Times New Roman"/>
          <w:sz w:val="24"/>
          <w:szCs w:val="24"/>
        </w:rPr>
        <w:t xml:space="preserve">Слайд 8. Виды внешнеэкономических операций</w:t>
      </w:r>
    </w:p>
    <w:p>
      <w:pPr>
        <w:spacing w:after="160"/>
        <w:jc w:val="both"/>
      </w:pPr>
      <w:r>
        <w:rPr>
          <w:rFonts w:ascii="Times New Roman" w:hAnsi="Times New Roman" w:eastAsia="SimSun" w:cs="Times New Roman"/>
          <w:b/>
          <w:bCs/>
          <w:sz w:val="24"/>
          <w:szCs w:val="24"/>
        </w:rPr>
        <w:t xml:space="preserve">Ключевые термины: торговые операции (贸易往来), неторговые операции (非贸易往来), безвозмездные трансферты (无偿转让), движение капитала (资本往来), резервы (储备)</w:t>
      </w:r>
    </w:p>
    <w:p>
      <w:pPr>
        <w:spacing w:after="160"/>
        <w:jc w:val="both"/>
      </w:pPr>
      <w:r>
        <w:rPr>
          <w:rFonts w:ascii="Times New Roman" w:hAnsi="Times New Roman" w:eastAsia="SimSun" w:cs="Times New Roman"/>
          <w:sz w:val="24"/>
          <w:szCs w:val="24"/>
        </w:rPr>
        <w:t xml:space="preserve">Внешнеэкономические операции делятся на несколько групп. Торговые операции (贸易往来) связаны с экспортом и импортом материальных товаров. Неторговые операции (非贸易往来) включают услуги, транспорт, туризм, страхование, финансовые услуги и доходы от инвестиций.</w:t>
      </w:r>
    </w:p>
    <w:p>
      <w:pPr>
        <w:spacing w:after="160"/>
        <w:jc w:val="both"/>
      </w:pPr>
      <w:r>
        <w:rPr>
          <w:rFonts w:ascii="Times New Roman" w:hAnsi="Times New Roman" w:eastAsia="SimSun" w:cs="Times New Roman"/>
          <w:sz w:val="24"/>
          <w:szCs w:val="24"/>
        </w:rPr>
        <w:t xml:space="preserve">Безвозмездные трансферты (无偿转让) означают передачу ресурсов без встречного эквивалента, например помощь или переводы. Движение капитала (资本往来) может быть долгосрочным и краткосрочным. Резервы (储备) сами по себе являются запасом, но в платежном балансе учитывается их изменение за период, то есть поток.</w:t>
      </w:r>
    </w:p>
    <w:p>
      <w:pPr>
        <w:pStyle w:val="Heading1"/>
        <w:spacing w:after="120"/>
      </w:pPr>
      <w:r>
        <w:rPr>
          <w:rFonts w:ascii="Times New Roman" w:hAnsi="Times New Roman" w:eastAsia="SimSun" w:cs="Times New Roman"/>
          <w:sz w:val="24"/>
          <w:szCs w:val="24"/>
        </w:rPr>
        <w:t xml:space="preserve">Слайд 9. Кредитовые и дебетовые статьи</w:t>
      </w:r>
    </w:p>
    <w:p>
      <w:pPr>
        <w:spacing w:after="160"/>
        <w:jc w:val="both"/>
      </w:pPr>
      <w:r>
        <w:rPr>
          <w:rFonts w:ascii="Times New Roman" w:hAnsi="Times New Roman" w:eastAsia="SimSun" w:cs="Times New Roman"/>
          <w:b/>
          <w:bCs/>
          <w:sz w:val="24"/>
          <w:szCs w:val="24"/>
        </w:rPr>
        <w:t xml:space="preserve">Ключевые термины: кредитовые статьи (贷方项目), дебетовые статьи (借方项目), валютные поступления (外汇收入), валютные расходы (外汇支出)</w:t>
      </w:r>
    </w:p>
    <w:p>
      <w:pPr>
        <w:spacing w:after="160"/>
        <w:jc w:val="both"/>
      </w:pPr>
      <w:r>
        <w:rPr>
          <w:rFonts w:ascii="Times New Roman" w:hAnsi="Times New Roman" w:eastAsia="SimSun" w:cs="Times New Roman"/>
          <w:sz w:val="24"/>
          <w:szCs w:val="24"/>
        </w:rPr>
        <w:t xml:space="preserve">Кредитовые статьи (贷方项目) - это операции, которые приводят к поступлению иностранной валюты (外汇收入) или к росту требований внешнего мира к данной стране. К ним относятся экспорт товаров, доходы от оказанных услуг, приток иностранных инвестиций и увеличение активов иностранцев внутри страны.</w:t>
      </w:r>
    </w:p>
    <w:p>
      <w:pPr>
        <w:spacing w:after="160"/>
        <w:jc w:val="both"/>
      </w:pPr>
      <w:r>
        <w:rPr>
          <w:rFonts w:ascii="Times New Roman" w:hAnsi="Times New Roman" w:eastAsia="SimSun" w:cs="Times New Roman"/>
          <w:sz w:val="24"/>
          <w:szCs w:val="24"/>
        </w:rPr>
        <w:t xml:space="preserve">Дебетовые статьи (借方项目) вызывают валютные расходы (外汇支出). Это импорт товаров, оплата иностранных услуг, инвестиции резидентов за рубеж и рост зарубежных активов страны. Разделение на кредит и дебет позволяет увидеть, какие операции приносят валюту, а какие требуют ее расходования.</w:t>
      </w:r>
    </w:p>
    <w:p>
      <w:pPr>
        <w:pStyle w:val="Heading1"/>
        <w:spacing w:after="120"/>
      </w:pPr>
      <w:r>
        <w:rPr>
          <w:rFonts w:ascii="Times New Roman" w:hAnsi="Times New Roman" w:eastAsia="SimSun" w:cs="Times New Roman"/>
          <w:sz w:val="24"/>
          <w:szCs w:val="24"/>
        </w:rPr>
        <w:t xml:space="preserve">Слайд 10. Содержание платежного баланса</w:t>
      </w:r>
    </w:p>
    <w:p>
      <w:pPr>
        <w:spacing w:after="160"/>
        <w:jc w:val="both"/>
      </w:pPr>
      <w:r>
        <w:rPr>
          <w:rFonts w:ascii="Times New Roman" w:hAnsi="Times New Roman" w:eastAsia="SimSun" w:cs="Times New Roman"/>
          <w:b/>
          <w:bCs/>
          <w:sz w:val="24"/>
          <w:szCs w:val="24"/>
        </w:rPr>
        <w:t xml:space="preserve">Ключевые термины: содержание платежного баланса (国际收支平衡表的内容)</w:t>
      </w:r>
    </w:p>
    <w:p>
      <w:pPr>
        <w:spacing w:after="160"/>
        <w:jc w:val="both"/>
      </w:pPr>
      <w:r>
        <w:rPr>
          <w:rFonts w:ascii="Times New Roman" w:hAnsi="Times New Roman" w:eastAsia="SimSun" w:cs="Times New Roman"/>
          <w:sz w:val="24"/>
          <w:szCs w:val="24"/>
        </w:rPr>
        <w:t xml:space="preserve">Этот слайд открывает раздел о структуре платежного баланса (国际收支平衡表的内容). После определения и принципов учета важно понять, из каких счетов состоит таблица и какие экономические операции входят в каждый счет.</w:t>
      </w:r>
    </w:p>
    <w:p>
      <w:pPr>
        <w:spacing w:after="160"/>
        <w:jc w:val="both"/>
      </w:pPr>
      <w:r>
        <w:rPr>
          <w:rFonts w:ascii="Times New Roman" w:hAnsi="Times New Roman" w:eastAsia="SimSun" w:cs="Times New Roman"/>
          <w:sz w:val="24"/>
          <w:szCs w:val="24"/>
        </w:rPr>
        <w:t xml:space="preserve">В современной методологии платежный баланс обычно делится на счет текущих операций, счет операций с капиталом, финансовый счет, счет резервных активов и статью ошибок и пропусков. Такое деление помогает анализировать не только общий итог, но и источники внешнего равновесия или дисбаланса.</w:t>
      </w:r>
    </w:p>
    <w:p>
      <w:pPr>
        <w:pStyle w:val="Heading1"/>
        <w:spacing w:after="120"/>
      </w:pPr>
      <w:r>
        <w:rPr>
          <w:rFonts w:ascii="Times New Roman" w:hAnsi="Times New Roman" w:eastAsia="SimSun" w:cs="Times New Roman"/>
          <w:sz w:val="24"/>
          <w:szCs w:val="24"/>
        </w:rPr>
        <w:t xml:space="preserve">Слайд 11. Эволюция содержания</w:t>
      </w:r>
    </w:p>
    <w:p>
      <w:pPr>
        <w:spacing w:after="160"/>
        <w:jc w:val="both"/>
      </w:pPr>
      <w:r>
        <w:rPr>
          <w:rFonts w:ascii="Times New Roman" w:hAnsi="Times New Roman" w:eastAsia="SimSun" w:cs="Times New Roman"/>
          <w:b/>
          <w:bCs/>
          <w:sz w:val="24"/>
          <w:szCs w:val="24"/>
        </w:rPr>
        <w:t xml:space="preserve">Ключевые термины: эволюция содержания (内容的演变), счета (账户), классификация по источнику и назначению (按照实际来源和用途分类)</w:t>
      </w:r>
    </w:p>
    <w:p>
      <w:pPr>
        <w:spacing w:after="160"/>
        <w:jc w:val="both"/>
      </w:pPr>
      <w:r>
        <w:rPr>
          <w:rFonts w:ascii="Times New Roman" w:hAnsi="Times New Roman" w:eastAsia="SimSun" w:cs="Times New Roman"/>
          <w:sz w:val="24"/>
          <w:szCs w:val="24"/>
        </w:rPr>
        <w:t xml:space="preserve">Содержание платежного баланса меняется вместе с мировой экономикой. Когда появляются новые виды международных операций или возрастает их значение, статистика выделяет их в самостоятельные счета (账户) или уточняет классификацию.</w:t>
      </w:r>
    </w:p>
    <w:p>
      <w:pPr>
        <w:spacing w:after="160"/>
        <w:jc w:val="both"/>
      </w:pPr>
      <w:r>
        <w:rPr>
          <w:rFonts w:ascii="Times New Roman" w:hAnsi="Times New Roman" w:eastAsia="SimSun" w:cs="Times New Roman"/>
          <w:sz w:val="24"/>
          <w:szCs w:val="24"/>
        </w:rPr>
        <w:t xml:space="preserve">Например, по мере роста услуг, финансовых деривативов и трансграничных инвестиций эти статьи стали требовать более детального отражения. Одновременно менее значимые статьи могут объединяться. Цель эволюции содержания (内容的演变) - сделать платежный баланс более удобным для анализа, сопоставления и статистического учета.</w:t>
      </w:r>
    </w:p>
    <w:p>
      <w:pPr>
        <w:pStyle w:val="Heading1"/>
        <w:spacing w:after="120"/>
      </w:pPr>
      <w:r>
        <w:rPr>
          <w:rFonts w:ascii="Times New Roman" w:hAnsi="Times New Roman" w:eastAsia="SimSun" w:cs="Times New Roman"/>
          <w:sz w:val="24"/>
          <w:szCs w:val="24"/>
        </w:rPr>
        <w:t xml:space="preserve">Слайд 12. Переход к счетам платежного баланса</w:t>
      </w:r>
    </w:p>
    <w:p>
      <w:pPr>
        <w:spacing w:after="160"/>
        <w:jc w:val="both"/>
      </w:pPr>
      <w:r>
        <w:rPr>
          <w:rFonts w:ascii="Times New Roman" w:hAnsi="Times New Roman" w:eastAsia="SimSun" w:cs="Times New Roman"/>
          <w:b/>
          <w:bCs/>
          <w:sz w:val="24"/>
          <w:szCs w:val="24"/>
        </w:rPr>
        <w:t xml:space="preserve">Ключевые термины: структура счетов (账户结构), классификация операций (交易分类)</w:t>
      </w:r>
    </w:p>
    <w:p>
      <w:pPr>
        <w:spacing w:after="160"/>
        <w:jc w:val="both"/>
      </w:pPr>
      <w:r>
        <w:rPr>
          <w:rFonts w:ascii="Times New Roman" w:hAnsi="Times New Roman" w:eastAsia="SimSun" w:cs="Times New Roman"/>
          <w:sz w:val="24"/>
          <w:szCs w:val="24"/>
        </w:rPr>
        <w:t xml:space="preserve">В извлеченном тексте этот слайд не содержит отдельного списка, поэтому его можно понимать как переход от общей идеи эволюции к конкретной структуре счетов (账户结构). Он подготавливает объяснение того, какие операции попадают в текущий счет, капитал и финансы, резервы и ошибки.</w:t>
      </w:r>
    </w:p>
    <w:p>
      <w:pPr>
        <w:spacing w:after="160"/>
        <w:jc w:val="both"/>
      </w:pPr>
      <w:r>
        <w:rPr>
          <w:rFonts w:ascii="Times New Roman" w:hAnsi="Times New Roman" w:eastAsia="SimSun" w:cs="Times New Roman"/>
          <w:sz w:val="24"/>
          <w:szCs w:val="24"/>
        </w:rPr>
        <w:t xml:space="preserve">Главная логика классификации операций (交易分类) состоит в том, чтобы отличать реальные ресурсы от финансовых требований. Товары, услуги и доходы показывают движение текущих ресурсов, а финансовые операции показывают изменение собственности на активы и обязательства.</w:t>
      </w:r>
    </w:p>
    <w:p>
      <w:pPr>
        <w:pStyle w:val="Heading1"/>
        <w:spacing w:after="120"/>
      </w:pPr>
      <w:r>
        <w:rPr>
          <w:rFonts w:ascii="Times New Roman" w:hAnsi="Times New Roman" w:eastAsia="SimSun" w:cs="Times New Roman"/>
          <w:sz w:val="24"/>
          <w:szCs w:val="24"/>
        </w:rPr>
        <w:t xml:space="preserve">Слайд 13. Текущий счет</w:t>
      </w:r>
    </w:p>
    <w:p>
      <w:pPr>
        <w:spacing w:after="160"/>
        <w:jc w:val="both"/>
      </w:pPr>
      <w:r>
        <w:rPr>
          <w:rFonts w:ascii="Times New Roman" w:hAnsi="Times New Roman" w:eastAsia="SimSun" w:cs="Times New Roman"/>
          <w:b/>
          <w:bCs/>
          <w:sz w:val="24"/>
          <w:szCs w:val="24"/>
        </w:rPr>
        <w:t xml:space="preserve">Ключевые термины: текущий счет (经常账户), товары и услуги (货物和服务), первичные доходы (初次收入), вторичные доходы (二次收入), текущие трансферты (经常转移)</w:t>
      </w:r>
    </w:p>
    <w:p>
      <w:pPr>
        <w:spacing w:after="160"/>
        <w:jc w:val="both"/>
      </w:pPr>
      <w:r>
        <w:rPr>
          <w:rFonts w:ascii="Times New Roman" w:hAnsi="Times New Roman" w:eastAsia="SimSun" w:cs="Times New Roman"/>
          <w:sz w:val="24"/>
          <w:szCs w:val="24"/>
        </w:rPr>
        <w:t xml:space="preserve">Текущий счет (经常账户, Current Account, CA) показывает передачу реальных ресурсов между страной и внешним миром. Это один из самых важных разделов платежного баланса, потому что он отражает экспорт, импорт, доходы и текущие переводы.</w:t>
      </w:r>
    </w:p>
    <w:p>
      <w:pPr>
        <w:spacing w:after="160"/>
        <w:jc w:val="both"/>
      </w:pPr>
      <w:r>
        <w:rPr>
          <w:rFonts w:ascii="Times New Roman" w:hAnsi="Times New Roman" w:eastAsia="SimSun" w:cs="Times New Roman"/>
          <w:sz w:val="24"/>
          <w:szCs w:val="24"/>
        </w:rPr>
        <w:t xml:space="preserve">Внутри текущего счета выделяются товары и услуги (货物和服务), первичные доходы (初次收入) и вторичные доходы (二次收入). Товары - это обычная товарная торговля. Услуги включают транспорт, поездки, строительство, страховые, пенсионные, финансовые, информационные, культурные и другие услуги. Первичные доходы включают оплату труда и инвестиционные доходы, а вторичные доходы - текущие трансферты (经常转移), например односторонние переводы.</w:t>
      </w:r>
    </w:p>
    <w:p>
      <w:pPr>
        <w:pStyle w:val="Heading1"/>
        <w:spacing w:after="120"/>
      </w:pPr>
      <w:r>
        <w:rPr>
          <w:rFonts w:ascii="Times New Roman" w:hAnsi="Times New Roman" w:eastAsia="SimSun" w:cs="Times New Roman"/>
          <w:sz w:val="24"/>
          <w:szCs w:val="24"/>
        </w:rPr>
        <w:t xml:space="preserve">Слайд 14. Счет капитала и финансовый счет</w:t>
      </w:r>
    </w:p>
    <w:p>
      <w:pPr>
        <w:spacing w:after="160"/>
        <w:jc w:val="both"/>
      </w:pPr>
      <w:r>
        <w:rPr>
          <w:rFonts w:ascii="Times New Roman" w:hAnsi="Times New Roman" w:eastAsia="SimSun" w:cs="Times New Roman"/>
          <w:b/>
          <w:bCs/>
          <w:sz w:val="24"/>
          <w:szCs w:val="24"/>
        </w:rPr>
        <w:t xml:space="preserve">Ключевые термины: счет капитала и финансовый счет (资本和金融账户), счет капитала (资本账户), финансовый счет (金融账户), прямые инвестиции (直接投资), портфельные инвестиции (证券投资), финансовые производные инструменты (金融衍生工具), резервные активы (储备资产)</w:t>
      </w:r>
    </w:p>
    <w:p>
      <w:pPr>
        <w:spacing w:after="160"/>
        <w:jc w:val="both"/>
      </w:pPr>
      <w:r>
        <w:rPr>
          <w:rFonts w:ascii="Times New Roman" w:hAnsi="Times New Roman" w:eastAsia="SimSun" w:cs="Times New Roman"/>
          <w:sz w:val="24"/>
          <w:szCs w:val="24"/>
        </w:rPr>
        <w:t xml:space="preserve">Счет капитала и финансовый счет (资本和金融账户, KA) отражают операции, связанные с капиталом, активами и обязательствами. Счет капитала (资本账户) включает капитальные трансферты и операции с непроизведенными нефинансовыми активами, например правами на природные ресурсы или отдельные нематериальные активы.</w:t>
      </w:r>
    </w:p>
    <w:p>
      <w:pPr>
        <w:spacing w:after="160"/>
        <w:jc w:val="both"/>
      </w:pPr>
      <w:r>
        <w:rPr>
          <w:rFonts w:ascii="Times New Roman" w:hAnsi="Times New Roman" w:eastAsia="SimSun" w:cs="Times New Roman"/>
          <w:sz w:val="24"/>
          <w:szCs w:val="24"/>
        </w:rPr>
        <w:t xml:space="preserve">Финансовый счет (金融账户) показывает операции, меняющие внешние финансовые активы и обязательства экономики. В него входят прямые инвестиции (直接投资), портфельные инвестиции (证券投资), финансовые производные инструменты (金融衍生工具), прочие инвестиции и резервные активы (储备资产). Поэтому этот счет показывает, как страна финансирует дефицит или размещает профицит текущих операций.</w:t>
      </w:r>
    </w:p>
    <w:p>
      <w:pPr>
        <w:pStyle w:val="Heading1"/>
        <w:spacing w:after="120"/>
      </w:pPr>
      <w:r>
        <w:rPr>
          <w:rFonts w:ascii="Times New Roman" w:hAnsi="Times New Roman" w:eastAsia="SimSun" w:cs="Times New Roman"/>
          <w:sz w:val="24"/>
          <w:szCs w:val="24"/>
        </w:rPr>
        <w:t xml:space="preserve">Слайд 15. Счет резервных активов</w:t>
      </w:r>
    </w:p>
    <w:p>
      <w:pPr>
        <w:spacing w:after="160"/>
        <w:jc w:val="both"/>
      </w:pPr>
      <w:r>
        <w:rPr>
          <w:rFonts w:ascii="Times New Roman" w:hAnsi="Times New Roman" w:eastAsia="SimSun" w:cs="Times New Roman"/>
          <w:b/>
          <w:bCs/>
          <w:sz w:val="24"/>
          <w:szCs w:val="24"/>
        </w:rPr>
        <w:t xml:space="preserve">Ключевые термины: резервные активы (储备资产), монетарное золото (货币黄金), резервная позиция в IMF (在IMF中的储备头寸), специальные права заимствования (特别提款权), валютные резервы (外汇储备)</w:t>
      </w:r>
    </w:p>
    <w:p>
      <w:pPr>
        <w:spacing w:after="160"/>
        <w:jc w:val="both"/>
      </w:pPr>
      <w:r>
        <w:rPr>
          <w:rFonts w:ascii="Times New Roman" w:hAnsi="Times New Roman" w:eastAsia="SimSun" w:cs="Times New Roman"/>
          <w:sz w:val="24"/>
          <w:szCs w:val="24"/>
        </w:rPr>
        <w:t xml:space="preserve">Счет резервных активов (储备资产账户, RA) показывает изменение официальных международных резервов страны. Эти активы находятся под контролем денежных властей и используются для поддержания внешней ликвидности, обслуживания внешних обязательств и стабилизации валютного рынка.</w:t>
      </w:r>
    </w:p>
    <w:p>
      <w:pPr>
        <w:spacing w:after="160"/>
        <w:jc w:val="both"/>
      </w:pPr>
      <w:r>
        <w:rPr>
          <w:rFonts w:ascii="Times New Roman" w:hAnsi="Times New Roman" w:eastAsia="SimSun" w:cs="Times New Roman"/>
          <w:sz w:val="24"/>
          <w:szCs w:val="24"/>
        </w:rPr>
        <w:t xml:space="preserve">К резервным активам относятся монетарное золото (货币黄金), резервная позиция в IMF (在IMF中的储备头寸), специальные права заимствования (特别提款权, SDRs) и валютные резервы (外汇储备). Если страна накапливает резервы, это обычно связано с избытком валютных поступлений; если резервы сокращаются, они могут использоваться для покрытия дефицита платежного баланса.</w:t>
      </w:r>
    </w:p>
    <w:p>
      <w:pPr>
        <w:pStyle w:val="Heading1"/>
        <w:spacing w:after="120"/>
      </w:pPr>
      <w:r>
        <w:rPr>
          <w:rFonts w:ascii="Times New Roman" w:hAnsi="Times New Roman" w:eastAsia="SimSun" w:cs="Times New Roman"/>
          <w:sz w:val="24"/>
          <w:szCs w:val="24"/>
        </w:rPr>
        <w:t xml:space="preserve">Слайд 16. Чистые ошибки и пропуски</w:t>
      </w:r>
    </w:p>
    <w:p>
      <w:pPr>
        <w:spacing w:after="160"/>
        <w:jc w:val="both"/>
      </w:pPr>
      <w:r>
        <w:rPr>
          <w:rFonts w:ascii="Times New Roman" w:hAnsi="Times New Roman" w:eastAsia="SimSun" w:cs="Times New Roman"/>
          <w:b/>
          <w:bCs/>
          <w:sz w:val="24"/>
          <w:szCs w:val="24"/>
        </w:rPr>
        <w:t xml:space="preserve">Ключевые термины: чистые ошибки и пропуски (净误差与遗漏), статистическое расхождение (Statistical Discrepancy / 统计误差)</w:t>
      </w:r>
    </w:p>
    <w:p>
      <w:pPr>
        <w:spacing w:after="160"/>
        <w:jc w:val="both"/>
      </w:pPr>
      <w:r>
        <w:rPr>
          <w:rFonts w:ascii="Times New Roman" w:hAnsi="Times New Roman" w:eastAsia="SimSun" w:cs="Times New Roman"/>
          <w:sz w:val="24"/>
          <w:szCs w:val="24"/>
        </w:rPr>
        <w:t xml:space="preserve">Чистые ошибки и пропуски (净误差与遗漏) также называются статистическим расхождением (Statistical Discrepancy / 统计误差). Эта статья нужна потому, что в реальной статистике данные приходят из разных источников, с разной периодичностью и иногда с неполным охватом.</w:t>
      </w:r>
    </w:p>
    <w:p>
      <w:pPr>
        <w:spacing w:after="160"/>
        <w:jc w:val="both"/>
      </w:pPr>
      <w:r>
        <w:rPr>
          <w:rFonts w:ascii="Times New Roman" w:hAnsi="Times New Roman" w:eastAsia="SimSun" w:cs="Times New Roman"/>
          <w:sz w:val="24"/>
          <w:szCs w:val="24"/>
        </w:rPr>
        <w:t xml:space="preserve">Теоретически сумма дебета и кредита в платежном балансе должна быть равна. На практике из-за неполных данных, различий во времени регистрации, пересчета валют и оценочных ошибок возникает разрыв. Статья чистых ошибок и пропусков искусственно уравновешивает таблицу, но одновременно сигнализирует о качестве статистики и возможных неучтенных потоках капитала.</w:t>
      </w:r>
    </w:p>
    <w:p>
      <w:pPr>
        <w:pStyle w:val="Heading1"/>
        <w:spacing w:after="120"/>
      </w:pPr>
      <w:r>
        <w:rPr>
          <w:rFonts w:ascii="Times New Roman" w:hAnsi="Times New Roman" w:eastAsia="SimSun" w:cs="Times New Roman"/>
          <w:sz w:val="24"/>
          <w:szCs w:val="24"/>
        </w:rPr>
        <w:t xml:space="preserve">Слайд 17. Специальные права заимствования</w:t>
      </w:r>
    </w:p>
    <w:p>
      <w:pPr>
        <w:spacing w:after="160"/>
        <w:jc w:val="both"/>
      </w:pPr>
      <w:r>
        <w:rPr>
          <w:rFonts w:ascii="Times New Roman" w:hAnsi="Times New Roman" w:eastAsia="SimSun" w:cs="Times New Roman"/>
          <w:b/>
          <w:bCs/>
          <w:sz w:val="24"/>
          <w:szCs w:val="24"/>
        </w:rPr>
        <w:t xml:space="preserve">Ключевые термины: специальные права заимствования (特别提款权)</w:t>
      </w:r>
    </w:p>
    <w:p>
      <w:pPr>
        <w:spacing w:after="160"/>
        <w:jc w:val="both"/>
      </w:pPr>
      <w:r>
        <w:rPr>
          <w:rFonts w:ascii="Times New Roman" w:hAnsi="Times New Roman" w:eastAsia="SimSun" w:cs="Times New Roman"/>
          <w:sz w:val="24"/>
          <w:szCs w:val="24"/>
        </w:rPr>
        <w:t xml:space="preserve">Этот слайд открывает отдельный раздел о специальных правах заимствования (特别提款权, SDRs). SDR - это не обычная валюта и не наличные деньги, а международный резервный актив, созданный Международным валютным фондом.</w:t>
      </w:r>
    </w:p>
    <w:p>
      <w:pPr>
        <w:spacing w:after="160"/>
        <w:jc w:val="both"/>
      </w:pPr>
      <w:r>
        <w:rPr>
          <w:rFonts w:ascii="Times New Roman" w:hAnsi="Times New Roman" w:eastAsia="SimSun" w:cs="Times New Roman"/>
          <w:sz w:val="24"/>
          <w:szCs w:val="24"/>
        </w:rPr>
        <w:t xml:space="preserve">Понимание SDR важно для темы платежного баланса, потому что они входят в официальные резервные активы. Через SDR государства могут дополнять свои международные резервы и проводить расчеты между официальными органами стран - членов IMF.</w:t>
      </w:r>
    </w:p>
    <w:p>
      <w:pPr>
        <w:pStyle w:val="Heading1"/>
        <w:spacing w:after="120"/>
      </w:pPr>
      <w:r>
        <w:rPr>
          <w:rFonts w:ascii="Times New Roman" w:hAnsi="Times New Roman" w:eastAsia="SimSun" w:cs="Times New Roman"/>
          <w:sz w:val="24"/>
          <w:szCs w:val="24"/>
        </w:rPr>
        <w:t xml:space="preserve">Слайд 18. Что такое SDR</w:t>
      </w:r>
    </w:p>
    <w:p>
      <w:pPr>
        <w:spacing w:after="160"/>
        <w:jc w:val="both"/>
      </w:pPr>
      <w:r>
        <w:rPr>
          <w:rFonts w:ascii="Times New Roman" w:hAnsi="Times New Roman" w:eastAsia="SimSun" w:cs="Times New Roman"/>
          <w:b/>
          <w:bCs/>
          <w:sz w:val="24"/>
          <w:szCs w:val="24"/>
        </w:rPr>
        <w:t xml:space="preserve">Ключевые термины: специальные права заимствования (特别提款权), бумажное золото (纸黄金), учетный актив (账面资产), квота IMF (认缴的份额)</w:t>
      </w:r>
    </w:p>
    <w:p>
      <w:pPr>
        <w:spacing w:after="160"/>
        <w:jc w:val="both"/>
      </w:pPr>
      <w:r>
        <w:rPr>
          <w:rFonts w:ascii="Times New Roman" w:hAnsi="Times New Roman" w:eastAsia="SimSun" w:cs="Times New Roman"/>
          <w:sz w:val="24"/>
          <w:szCs w:val="24"/>
        </w:rPr>
        <w:t xml:space="preserve">Специальные права заимствования (特别提款权, SDR) также называют бумажным золотом (纸黄金). Они были впервые выпущены в 1969 году IMF и распределяются между странами в зависимости от их квот (认缴的份额) в фонде.</w:t>
      </w:r>
    </w:p>
    <w:p>
      <w:pPr>
        <w:spacing w:after="160"/>
        <w:jc w:val="both"/>
      </w:pPr>
      <w:r>
        <w:rPr>
          <w:rFonts w:ascii="Times New Roman" w:hAnsi="Times New Roman" w:eastAsia="SimSun" w:cs="Times New Roman"/>
          <w:sz w:val="24"/>
          <w:szCs w:val="24"/>
        </w:rPr>
        <w:t xml:space="preserve">SDR является учетным активом (账面资产): его нельзя использовать как банкноты внутри страны, но можно применять для расчетов между правительствами и с IMF, например для погашения обязательств или покрытия дефицита платежного баланса. Изначально одна единица SDR была приравнена к 0,888 грамма золота и фактически соответствовала тогдашнему доллару США. Цель выпуска состояла в дополнении золота и свободно конвертируемых валют для стабильности мировой валютной системы.</w:t>
      </w:r>
    </w:p>
    <w:p>
      <w:pPr>
        <w:pStyle w:val="Heading1"/>
        <w:spacing w:after="120"/>
      </w:pPr>
      <w:r>
        <w:rPr>
          <w:rFonts w:ascii="Times New Roman" w:hAnsi="Times New Roman" w:eastAsia="SimSun" w:cs="Times New Roman"/>
          <w:sz w:val="24"/>
          <w:szCs w:val="24"/>
        </w:rPr>
        <w:t xml:space="preserve">Слайд 19. Первый выпуск SDR</w:t>
      </w:r>
    </w:p>
    <w:p>
      <w:pPr>
        <w:spacing w:after="160"/>
        <w:jc w:val="both"/>
      </w:pPr>
      <w:r>
        <w:rPr>
          <w:rFonts w:ascii="Times New Roman" w:hAnsi="Times New Roman" w:eastAsia="SimSun" w:cs="Times New Roman"/>
          <w:b/>
          <w:bCs/>
          <w:sz w:val="24"/>
          <w:szCs w:val="24"/>
        </w:rPr>
        <w:t xml:space="preserve">Ключевые термины: эмиссия SDR (SDRs的发行), резервные активы (储备资产), Бреттон-Вудская система (布雷顿森林体系)</w:t>
      </w:r>
    </w:p>
    <w:p>
      <w:pPr>
        <w:spacing w:after="160"/>
        <w:jc w:val="both"/>
      </w:pPr>
      <w:r>
        <w:rPr>
          <w:rFonts w:ascii="Times New Roman" w:hAnsi="Times New Roman" w:eastAsia="SimSun" w:cs="Times New Roman"/>
          <w:sz w:val="24"/>
          <w:szCs w:val="24"/>
        </w:rPr>
        <w:t xml:space="preserve">Первый выпуск SDR (SDRs的发行) начался 1 января 1970 года: IMF распределил 3 миллиарда SDR между странами-членами. В 1971 и 1972 годах распределение повторялось по 3 миллиарда SDR ежегодно, поэтому за три года SDR стали заметной частью мировых негосударственных золотых резервных активов (储备资产).</w:t>
      </w:r>
    </w:p>
    <w:p>
      <w:pPr>
        <w:spacing w:after="160"/>
        <w:jc w:val="both"/>
      </w:pPr>
      <w:r>
        <w:rPr>
          <w:rFonts w:ascii="Times New Roman" w:hAnsi="Times New Roman" w:eastAsia="SimSun" w:cs="Times New Roman"/>
          <w:sz w:val="24"/>
          <w:szCs w:val="24"/>
        </w:rPr>
        <w:t xml:space="preserve">Однако в 1973 году Бреттон-Вудская система (布雷顿森林体系) фиксированных валютных курсов распалась. Рост дефицита платежного баланса США увеличивал мировое предложение долларовых резервов, поэтому SDR временно утратили прежнюю срочность как дополнительный резервный актив. IMF решил не продолжать увеличение SDR в тот момент.</w:t>
      </w:r>
    </w:p>
    <w:p>
      <w:pPr>
        <w:pStyle w:val="Heading1"/>
        <w:spacing w:after="120"/>
      </w:pPr>
      <w:r>
        <w:rPr>
          <w:rFonts w:ascii="Times New Roman" w:hAnsi="Times New Roman" w:eastAsia="SimSun" w:cs="Times New Roman"/>
          <w:sz w:val="24"/>
          <w:szCs w:val="24"/>
        </w:rPr>
        <w:t xml:space="preserve">Слайд 20. Правила распределения и новый выпуск SDR</w:t>
      </w:r>
    </w:p>
    <w:p>
      <w:pPr>
        <w:spacing w:after="160"/>
        <w:jc w:val="both"/>
      </w:pPr>
      <w:r>
        <w:rPr>
          <w:rFonts w:ascii="Times New Roman" w:hAnsi="Times New Roman" w:eastAsia="SimSun" w:cs="Times New Roman"/>
          <w:b/>
          <w:bCs/>
          <w:sz w:val="24"/>
          <w:szCs w:val="24"/>
        </w:rPr>
        <w:t xml:space="preserve">Ключевые термины: базовый период распределения (分配特别提款权的基本期), участник счета SDR (特别提款帐户参加国), долларовые резервы (美元计价的外汇储备)</w:t>
      </w:r>
    </w:p>
    <w:p>
      <w:pPr>
        <w:spacing w:after="160"/>
        <w:jc w:val="both"/>
      </w:pPr>
      <w:r>
        <w:rPr>
          <w:rFonts w:ascii="Times New Roman" w:hAnsi="Times New Roman" w:eastAsia="SimSun" w:cs="Times New Roman"/>
          <w:sz w:val="24"/>
          <w:szCs w:val="24"/>
        </w:rPr>
        <w:t xml:space="preserve">IMF установил, что базовый период распределения SDR (分配特别提款权的基本期) составляет пять лет. Страны добровольно участвуют в распределении, становясь участниками счета SDR (特别提款帐户参加国), и могут выйти из участия, предварительно уведомив IMF.</w:t>
      </w:r>
    </w:p>
    <w:p>
      <w:pPr>
        <w:spacing w:after="160"/>
        <w:jc w:val="both"/>
      </w:pPr>
      <w:r>
        <w:rPr>
          <w:rFonts w:ascii="Times New Roman" w:hAnsi="Times New Roman" w:eastAsia="SimSun" w:cs="Times New Roman"/>
          <w:sz w:val="24"/>
          <w:szCs w:val="24"/>
        </w:rPr>
        <w:t xml:space="preserve">После резкого падения доллара 30 октября 1978 года многие страны стали опасаться чрезмерной зависимости от долларовых резервов (美元计价的外汇储备). В ответ в последующие четыре года IMF выпустил еще 12 миллиардов SDR, чтобы снизить зависимость мировой резервной системы от одной валюты.</w:t>
      </w:r>
    </w:p>
    <w:p>
      <w:pPr>
        <w:pStyle w:val="Heading1"/>
        <w:spacing w:after="120"/>
      </w:pPr>
      <w:r>
        <w:rPr>
          <w:rFonts w:ascii="Times New Roman" w:hAnsi="Times New Roman" w:eastAsia="SimSun" w:cs="Times New Roman"/>
          <w:sz w:val="24"/>
          <w:szCs w:val="24"/>
        </w:rPr>
        <w:t xml:space="preserve">Слайд 21. Выпуск SDR после глобального финансового кризиса</w:t>
      </w:r>
    </w:p>
    <w:p>
      <w:pPr>
        <w:spacing w:after="160"/>
        <w:jc w:val="both"/>
      </w:pPr>
      <w:r>
        <w:rPr>
          <w:rFonts w:ascii="Times New Roman" w:hAnsi="Times New Roman" w:eastAsia="SimSun" w:cs="Times New Roman"/>
          <w:b/>
          <w:bCs/>
          <w:sz w:val="24"/>
          <w:szCs w:val="24"/>
        </w:rPr>
        <w:t xml:space="preserve">Ключевые термины: глобальный финансовый кризис (全球金融危机), ликвидность (流动性), страны с формирующимися рынками (新兴市场国家)</w:t>
      </w:r>
    </w:p>
    <w:p>
      <w:pPr>
        <w:spacing w:after="160"/>
        <w:jc w:val="both"/>
      </w:pPr>
      <w:r>
        <w:rPr>
          <w:rFonts w:ascii="Times New Roman" w:hAnsi="Times New Roman" w:eastAsia="SimSun" w:cs="Times New Roman"/>
          <w:sz w:val="24"/>
          <w:szCs w:val="24"/>
        </w:rPr>
        <w:t xml:space="preserve">В 2008 году глобальный финансовый кризис (全球金融危机) снова поставил под вопрос устойчивость доллароцентричной системы. Мировая финансовая система столкнулась с нехваткой ликвидности (流动性), то есть доступных платежных средств и резервов.</w:t>
      </w:r>
    </w:p>
    <w:p>
      <w:pPr>
        <w:spacing w:after="160"/>
        <w:jc w:val="both"/>
      </w:pPr>
      <w:r>
        <w:rPr>
          <w:rFonts w:ascii="Times New Roman" w:hAnsi="Times New Roman" w:eastAsia="SimSun" w:cs="Times New Roman"/>
          <w:sz w:val="24"/>
          <w:szCs w:val="24"/>
        </w:rPr>
        <w:t xml:space="preserve">В 2009 году IMF создал 182,6 миллиарда SDR и распределил их по квотам стран-членов. Это был третий и крупнейший выпуск SDR. Важной целью было не только дать миру дополнительную ликвидность, но и лучше отразить возросшую роль стран с формирующимися рынками (新兴市场国家), которые раньше получали меньше SDR.</w:t>
      </w:r>
    </w:p>
    <w:p>
      <w:pPr>
        <w:pStyle w:val="Heading1"/>
        <w:spacing w:after="120"/>
      </w:pPr>
      <w:r>
        <w:rPr>
          <w:rFonts w:ascii="Times New Roman" w:hAnsi="Times New Roman" w:eastAsia="SimSun" w:cs="Times New Roman"/>
          <w:sz w:val="24"/>
          <w:szCs w:val="24"/>
        </w:rPr>
        <w:t xml:space="preserve">Слайд 22. Валютная корзина SDR</w:t>
      </w:r>
    </w:p>
    <w:p>
      <w:pPr>
        <w:spacing w:after="160"/>
        <w:jc w:val="both"/>
      </w:pPr>
      <w:r>
        <w:rPr>
          <w:rFonts w:ascii="Times New Roman" w:hAnsi="Times New Roman" w:eastAsia="SimSun" w:cs="Times New Roman"/>
          <w:b/>
          <w:bCs/>
          <w:sz w:val="24"/>
          <w:szCs w:val="24"/>
        </w:rPr>
        <w:t xml:space="preserve">Ключевые термины: валютная корзина SDR (特别提款权货币篮子), фиксированный валютный курс (固定汇率), пересмотр корзины (例行复审)</w:t>
      </w:r>
    </w:p>
    <w:p>
      <w:pPr>
        <w:spacing w:after="160"/>
        <w:jc w:val="both"/>
      </w:pPr>
      <w:r>
        <w:rPr>
          <w:rFonts w:ascii="Times New Roman" w:hAnsi="Times New Roman" w:eastAsia="SimSun" w:cs="Times New Roman"/>
          <w:sz w:val="24"/>
          <w:szCs w:val="24"/>
        </w:rPr>
        <w:t xml:space="preserve">После распада системы фиксированных валютных курсов (固定汇率体系) стоимость SDR стали определять через валютную корзину SDR (特别提款权货币篮子). Это означает, что SDR рассчитывается как комбинация нескольких ведущих валют, а не как фиксированное количество золота.</w:t>
      </w:r>
    </w:p>
    <w:p>
      <w:pPr>
        <w:spacing w:after="160"/>
        <w:jc w:val="both"/>
      </w:pPr>
      <w:r>
        <w:rPr>
          <w:rFonts w:ascii="Times New Roman" w:hAnsi="Times New Roman" w:eastAsia="SimSun" w:cs="Times New Roman"/>
          <w:sz w:val="24"/>
          <w:szCs w:val="24"/>
        </w:rPr>
        <w:t xml:space="preserve">IMF проводит регулярный пересмотр корзины (例行复审) каждые пять лет. Изначально корзина включала 16 валют стран, доля которых в мировом экспорте товаров и услуг превышала 1 процент. Такой широкий состав должен был сделать SDR более представительным международным резервным активом.</w:t>
      </w:r>
    </w:p>
    <w:p>
      <w:pPr>
        <w:pStyle w:val="Heading1"/>
        <w:spacing w:after="120"/>
      </w:pPr>
      <w:r>
        <w:rPr>
          <w:rFonts w:ascii="Times New Roman" w:hAnsi="Times New Roman" w:eastAsia="SimSun" w:cs="Times New Roman"/>
          <w:sz w:val="24"/>
          <w:szCs w:val="24"/>
        </w:rPr>
        <w:t xml:space="preserve">Слайд 23. Упрощение валютной корзины SDR</w:t>
      </w:r>
    </w:p>
    <w:p>
      <w:pPr>
        <w:spacing w:after="160"/>
        <w:jc w:val="both"/>
      </w:pPr>
      <w:r>
        <w:rPr>
          <w:rFonts w:ascii="Times New Roman" w:hAnsi="Times New Roman" w:eastAsia="SimSun" w:cs="Times New Roman"/>
          <w:b/>
          <w:bCs/>
          <w:sz w:val="24"/>
          <w:szCs w:val="24"/>
        </w:rPr>
        <w:t xml:space="preserve">Ключевые термины: валютная корзина (一篮子), доллар США (美元), немецкая марка (联邦德国马克), японская иена (日元), французский франк (法国法郎), фунт стерлингов (英镑), евро (欧元)</w:t>
      </w:r>
    </w:p>
    <w:p>
      <w:pPr>
        <w:spacing w:after="160"/>
        <w:jc w:val="both"/>
      </w:pPr>
      <w:r>
        <w:rPr>
          <w:rFonts w:ascii="Times New Roman" w:hAnsi="Times New Roman" w:eastAsia="SimSun" w:cs="Times New Roman"/>
          <w:sz w:val="24"/>
          <w:szCs w:val="24"/>
        </w:rPr>
        <w:t xml:space="preserve">Состав валютной корзины (一篮子) менялся по мере изменения мировой экономики. В 1976 году IMF исключил датскую крону и южноафриканский рэнд, заменив их саудовским риялом и иранским риалом.</w:t>
      </w:r>
    </w:p>
    <w:p>
      <w:pPr>
        <w:spacing w:after="160"/>
        <w:jc w:val="both"/>
      </w:pPr>
      <w:r>
        <w:rPr>
          <w:rFonts w:ascii="Times New Roman" w:hAnsi="Times New Roman" w:eastAsia="SimSun" w:cs="Times New Roman"/>
          <w:sz w:val="24"/>
          <w:szCs w:val="24"/>
        </w:rPr>
        <w:t xml:space="preserve">В 1980 году корзина была упрощена до пяти ведущих валют: доллара США (美元), немецкой марки (联邦德国马克), японской иены (日元), французского франка (法国法郎) и фунта стерлингов (英镑). После появления евро (欧元) в 1999 году он заменил немецкую марку и французский франк. Это отражает движение от широкой экспортной корзины к корзине наиболее значимых международных валют.</w:t>
      </w:r>
    </w:p>
    <w:p>
      <w:pPr>
        <w:pStyle w:val="Heading1"/>
        <w:spacing w:after="120"/>
      </w:pPr>
      <w:r>
        <w:rPr>
          <w:rFonts w:ascii="Times New Roman" w:hAnsi="Times New Roman" w:eastAsia="SimSun" w:cs="Times New Roman"/>
          <w:sz w:val="24"/>
          <w:szCs w:val="24"/>
        </w:rPr>
        <w:t xml:space="preserve">Слайд 24. Первый критерий включения валюты в SDR</w:t>
      </w:r>
    </w:p>
    <w:p>
      <w:pPr>
        <w:spacing w:after="160"/>
        <w:jc w:val="both"/>
      </w:pPr>
      <w:r>
        <w:rPr>
          <w:rFonts w:ascii="Times New Roman" w:hAnsi="Times New Roman" w:eastAsia="SimSun" w:cs="Times New Roman"/>
          <w:b/>
          <w:bCs/>
          <w:sz w:val="24"/>
          <w:szCs w:val="24"/>
        </w:rPr>
        <w:t xml:space="preserve">Ключевые термины: валюта корзины SDR (SDR篮子的组成货币), участник IMF (IMF参加国), валютный союз (货币联盟), крупнейшие экспортеры товаров и услуг (最大的商品和服务贸易出口地)</w:t>
      </w:r>
    </w:p>
    <w:p>
      <w:pPr>
        <w:spacing w:after="160"/>
        <w:jc w:val="both"/>
      </w:pPr>
      <w:r>
        <w:rPr>
          <w:rFonts w:ascii="Times New Roman" w:hAnsi="Times New Roman" w:eastAsia="SimSun" w:cs="Times New Roman"/>
          <w:sz w:val="24"/>
          <w:szCs w:val="24"/>
        </w:rPr>
        <w:t xml:space="preserve">С 2005 года для включения валюты в корзину SDR (SDR篮子的组成货币) применяются два основных критерия. Первый связан с экономическим масштабом: валюта должна выпускаться страной - участником IMF (IMF参加国) или валютным союзом (货币联盟).</w:t>
      </w:r>
    </w:p>
    <w:p>
      <w:pPr>
        <w:spacing w:after="160"/>
        <w:jc w:val="both"/>
      </w:pPr>
      <w:r>
        <w:rPr>
          <w:rFonts w:ascii="Times New Roman" w:hAnsi="Times New Roman" w:eastAsia="SimSun" w:cs="Times New Roman"/>
          <w:sz w:val="24"/>
          <w:szCs w:val="24"/>
        </w:rPr>
        <w:t xml:space="preserve">Кроме того, соответствующая экономика должна входить в число четырех крупнейших экспортеров товаров и услуг (最大的商品和服务贸易出口地) за пятилетний период до вступления корзины в силу. Этот критерий показывает, что валюта должна опираться на крупную и значимую внешнеторговую экономику.</w:t>
      </w:r>
    </w:p>
    <w:p>
      <w:pPr>
        <w:pStyle w:val="Heading1"/>
        <w:spacing w:after="120"/>
      </w:pPr>
      <w:r>
        <w:rPr>
          <w:rFonts w:ascii="Times New Roman" w:hAnsi="Times New Roman" w:eastAsia="SimSun" w:cs="Times New Roman"/>
          <w:sz w:val="24"/>
          <w:szCs w:val="24"/>
        </w:rPr>
        <w:t xml:space="preserve">Слайд 25. Свободно используемая валюта и голосование IMF</w:t>
      </w:r>
    </w:p>
    <w:p>
      <w:pPr>
        <w:spacing w:after="160"/>
        <w:jc w:val="both"/>
      </w:pPr>
      <w:r>
        <w:rPr>
          <w:rFonts w:ascii="Times New Roman" w:hAnsi="Times New Roman" w:eastAsia="SimSun" w:cs="Times New Roman"/>
          <w:b/>
          <w:bCs/>
          <w:sz w:val="24"/>
          <w:szCs w:val="24"/>
        </w:rPr>
        <w:t xml:space="preserve">Ключевые термины: свободно используемая валюта (自由使用货币), международные операции (国际交易), официальные резервные активы (官方储备资产), валютный рынок (外汇市场), голосование IMF (国际货币基金组织成员国投票)</w:t>
      </w:r>
    </w:p>
    <w:p>
      <w:pPr>
        <w:spacing w:after="160"/>
        <w:jc w:val="both"/>
      </w:pPr>
      <w:r>
        <w:rPr>
          <w:rFonts w:ascii="Times New Roman" w:hAnsi="Times New Roman" w:eastAsia="SimSun" w:cs="Times New Roman"/>
          <w:sz w:val="24"/>
          <w:szCs w:val="24"/>
        </w:rPr>
        <w:t xml:space="preserve">Второй критерий - валюта должна быть свободно используемой (自由使用货币) согласно статьям соглашения IMF. Это не означает полную внутреннюю конвертируемость во всех режимах, а означает широкое применение валюты в международных операциях (国际交易) и активную торговлю на основных валютных рынках (外汇市场).</w:t>
      </w:r>
    </w:p>
    <w:p>
      <w:pPr>
        <w:spacing w:after="160"/>
        <w:jc w:val="both"/>
      </w:pPr>
      <w:r>
        <w:rPr>
          <w:rFonts w:ascii="Times New Roman" w:hAnsi="Times New Roman" w:eastAsia="SimSun" w:cs="Times New Roman"/>
          <w:sz w:val="24"/>
          <w:szCs w:val="24"/>
        </w:rPr>
        <w:t xml:space="preserve">IMF оценивает долю экспорта, объем официальных резервных активов (官方储备资产), номинированных в этой валюте, обороты валютных сделок, наличие форвардного рынка и величину спредов. Для включения валюты в корзину SDR требуется поддержка не менее 70 процентов голосов стран - членов IMF (国际货币基金组织成员国投票).</w:t>
      </w:r>
    </w:p>
    <w:p>
      <w:pPr>
        <w:pStyle w:val="Heading1"/>
        <w:spacing w:after="120"/>
      </w:pPr>
      <w:r>
        <w:rPr>
          <w:rFonts w:ascii="Times New Roman" w:hAnsi="Times New Roman" w:eastAsia="SimSun" w:cs="Times New Roman"/>
          <w:sz w:val="24"/>
          <w:szCs w:val="24"/>
        </w:rPr>
        <w:t xml:space="preserve">Слайд 26. Включение юаня в корзину SDR</w:t>
      </w:r>
    </w:p>
    <w:p>
      <w:pPr>
        <w:spacing w:after="160"/>
        <w:jc w:val="both"/>
      </w:pPr>
      <w:r>
        <w:rPr>
          <w:rFonts w:ascii="Times New Roman" w:hAnsi="Times New Roman" w:eastAsia="SimSun" w:cs="Times New Roman"/>
          <w:b/>
          <w:bCs/>
          <w:sz w:val="24"/>
          <w:szCs w:val="24"/>
        </w:rPr>
        <w:t xml:space="preserve">Ключевые термины: китайский юань / жэньминьби (人民币), корзина SDR (SDRs篮子货币), вес валюты (权重), текущий обменный курс (当期汇率)</w:t>
      </w:r>
    </w:p>
    <w:p>
      <w:pPr>
        <w:spacing w:after="160"/>
        <w:jc w:val="both"/>
      </w:pPr>
      <w:r>
        <w:rPr>
          <w:rFonts w:ascii="Times New Roman" w:hAnsi="Times New Roman" w:eastAsia="SimSun" w:cs="Times New Roman"/>
          <w:sz w:val="24"/>
          <w:szCs w:val="24"/>
        </w:rPr>
        <w:t xml:space="preserve">Китай подал заявку на включение юаня, или жэньминьби (人民币), в корзину SDR в 2010 году, но тогда заявка не была одобрена. В 2015 году IMF согласился включить юань, и с 1 октября 2016 года SDR стал рассчитываться на основе пяти валют.</w:t>
      </w:r>
    </w:p>
    <w:p>
      <w:pPr>
        <w:spacing w:after="160"/>
        <w:jc w:val="both"/>
      </w:pPr>
      <w:r>
        <w:rPr>
          <w:rFonts w:ascii="Times New Roman" w:hAnsi="Times New Roman" w:eastAsia="SimSun" w:cs="Times New Roman"/>
          <w:sz w:val="24"/>
          <w:szCs w:val="24"/>
        </w:rPr>
        <w:t xml:space="preserve">В корзину вошли доллар США, евро, юань, японская иена и фунт стерлингов. Их веса (权重) на тот момент составляли 41,73 процента, 30,93 процента, 10,92 процента, 8,33 процента и 8,09 процента соответственно. Это решение означало международное признание роли Китая в торговле и финансах, а стоимость SDR стала определяться текущими обменными курсами (当期汇率) этих валют.</w:t>
      </w:r>
    </w:p>
    <w:p>
      <w:pPr>
        <w:pStyle w:val="Heading1"/>
        <w:spacing w:after="120"/>
      </w:pPr>
      <w:r>
        <w:rPr>
          <w:rFonts w:ascii="Times New Roman" w:hAnsi="Times New Roman" w:eastAsia="SimSun" w:cs="Times New Roman"/>
          <w:sz w:val="24"/>
          <w:szCs w:val="24"/>
        </w:rPr>
        <w:t xml:space="preserve">Слайд 27. Двойной профицит платежного баланса Китая</w:t>
      </w:r>
    </w:p>
    <w:p>
      <w:pPr>
        <w:spacing w:after="160"/>
        <w:jc w:val="both"/>
      </w:pPr>
      <w:r>
        <w:rPr>
          <w:rFonts w:ascii="Times New Roman" w:hAnsi="Times New Roman" w:eastAsia="SimSun" w:cs="Times New Roman"/>
          <w:b/>
          <w:bCs/>
          <w:sz w:val="24"/>
          <w:szCs w:val="24"/>
        </w:rPr>
        <w:t xml:space="preserve">Ключевые термины: двойной профицит (双顺差), платежный баланс Китая (中国国际收支)</w:t>
      </w:r>
    </w:p>
    <w:p>
      <w:pPr>
        <w:spacing w:after="160"/>
        <w:jc w:val="both"/>
      </w:pPr>
      <w:r>
        <w:rPr>
          <w:rFonts w:ascii="Times New Roman" w:hAnsi="Times New Roman" w:eastAsia="SimSun" w:cs="Times New Roman"/>
          <w:sz w:val="24"/>
          <w:szCs w:val="24"/>
        </w:rPr>
        <w:t xml:space="preserve">Этот раздел посвящен структуре платежного баланса Китая (中国国际收支), особенно феномену двойного профицита (双顺差). Двойной профицит означает, что положительное сальдо наблюдается одновременно по текущему счету и по счету капитала и финансовым операциям.</w:t>
      </w:r>
    </w:p>
    <w:p>
      <w:pPr>
        <w:spacing w:after="160"/>
        <w:jc w:val="both"/>
      </w:pPr>
      <w:r>
        <w:rPr>
          <w:rFonts w:ascii="Times New Roman" w:hAnsi="Times New Roman" w:eastAsia="SimSun" w:cs="Times New Roman"/>
          <w:sz w:val="24"/>
          <w:szCs w:val="24"/>
        </w:rPr>
        <w:t xml:space="preserve">Такая структура долгое время была характерна для Китая: страна получала валюту от экспорта товаров и одновременно привлекала иностранный капитал. В результате возникал сильный приток иностранной валюты, который часто приводил к росту официальных валютных резервов.</w:t>
      </w:r>
    </w:p>
    <w:p>
      <w:pPr>
        <w:pStyle w:val="Heading1"/>
        <w:spacing w:after="120"/>
      </w:pPr>
      <w:r>
        <w:rPr>
          <w:rFonts w:ascii="Times New Roman" w:hAnsi="Times New Roman" w:eastAsia="SimSun" w:cs="Times New Roman"/>
          <w:sz w:val="24"/>
          <w:szCs w:val="24"/>
        </w:rPr>
        <w:t xml:space="preserve">Слайд 28. Сальдо платежного баланса</w:t>
      </w:r>
    </w:p>
    <w:p>
      <w:pPr>
        <w:spacing w:after="160"/>
        <w:jc w:val="both"/>
      </w:pPr>
      <w:r>
        <w:rPr>
          <w:rFonts w:ascii="Times New Roman" w:hAnsi="Times New Roman" w:eastAsia="SimSun" w:cs="Times New Roman"/>
          <w:b/>
          <w:bCs/>
          <w:sz w:val="24"/>
          <w:szCs w:val="24"/>
        </w:rPr>
        <w:t xml:space="preserve">Ключевые термины: автономные статьи (自主性项目), статьи финансирования / компенсирующие статьи (弥补性项目), текущий счет (CA), счет капитала и финансов без резервов (KA不含RA), резервные активы (RA), общее сальдо платежного баланса (国际收支总差额)</w:t>
      </w:r>
    </w:p>
    <w:p>
      <w:pPr>
        <w:spacing w:after="160"/>
        <w:jc w:val="both"/>
      </w:pPr>
      <w:r>
        <w:rPr>
          <w:rFonts w:ascii="Times New Roman" w:hAnsi="Times New Roman" w:eastAsia="SimSun" w:cs="Times New Roman"/>
          <w:sz w:val="24"/>
          <w:szCs w:val="24"/>
        </w:rPr>
        <w:t xml:space="preserve">Автономные статьи (自主性项目), или статьи над чертой, включают текущий счет (CA) и счет капитала и финансов без резервных активов (KA不含RA). Они отражают операции, которые совершаются по экономическим мотивам: торговля, доходы, инвестиции, кредиты.</w:t>
      </w:r>
    </w:p>
    <w:p>
      <w:pPr>
        <w:spacing w:after="160"/>
        <w:jc w:val="both"/>
      </w:pPr>
      <w:r>
        <w:rPr>
          <w:rFonts w:ascii="Times New Roman" w:hAnsi="Times New Roman" w:eastAsia="SimSun" w:cs="Times New Roman"/>
          <w:sz w:val="24"/>
          <w:szCs w:val="24"/>
        </w:rPr>
        <w:t xml:space="preserve">Компенсирующие статьи (弥补性项目) представлены резервными активами (RA). Формула показывает, что общее сальдо платежного баланса (国际收支总差额) равно сумме сальдо текущего счета, сальдо капитального и финансового счета и чистых ошибок и пропусков. Затем изменение резервных активов уравновешивает итог: если есть общий профицит, резервы обычно растут; если дефицит - резервы могут сокращаться.</w:t>
      </w:r>
    </w:p>
    <w:p>
      <w:pPr>
        <w:pStyle w:val="Heading1"/>
        <w:spacing w:after="120"/>
      </w:pPr>
      <w:r>
        <w:rPr>
          <w:rFonts w:ascii="Times New Roman" w:hAnsi="Times New Roman" w:eastAsia="SimSun" w:cs="Times New Roman"/>
          <w:sz w:val="24"/>
          <w:szCs w:val="24"/>
        </w:rPr>
        <w:t xml:space="preserve">Слайд 29. Международная инвестиционная позиция</w:t>
      </w:r>
    </w:p>
    <w:p>
      <w:pPr>
        <w:spacing w:after="160"/>
        <w:jc w:val="both"/>
      </w:pPr>
      <w:r>
        <w:rPr>
          <w:rFonts w:ascii="Times New Roman" w:hAnsi="Times New Roman" w:eastAsia="SimSun" w:cs="Times New Roman"/>
          <w:b/>
          <w:bCs/>
          <w:sz w:val="24"/>
          <w:szCs w:val="24"/>
        </w:rPr>
        <w:t xml:space="preserve">Ключевые термины: международная инвестиционная позиция (国际投资头寸表), внешний актив (在外资产), иностранный актив внутри страны (外国在本国资产), запас (存量)</w:t>
      </w:r>
    </w:p>
    <w:p>
      <w:pPr>
        <w:spacing w:after="160"/>
        <w:jc w:val="both"/>
      </w:pPr>
      <w:r>
        <w:rPr>
          <w:rFonts w:ascii="Times New Roman" w:hAnsi="Times New Roman" w:eastAsia="SimSun" w:cs="Times New Roman"/>
          <w:sz w:val="24"/>
          <w:szCs w:val="24"/>
        </w:rPr>
        <w:t xml:space="preserve">Международная инвестиционная позиция (国际投资头寸表, IIP) показывает финансовые активы и обязательства страны перед внешним миром на конкретную дату, например на конец года или месяца. В отличие от платежного баланса, она является показателем запаса (存量), а не потока.</w:t>
      </w:r>
    </w:p>
    <w:p>
      <w:pPr>
        <w:spacing w:after="160"/>
        <w:jc w:val="both"/>
      </w:pPr>
      <w:r>
        <w:rPr>
          <w:rFonts w:ascii="Times New Roman" w:hAnsi="Times New Roman" w:eastAsia="SimSun" w:cs="Times New Roman"/>
          <w:sz w:val="24"/>
          <w:szCs w:val="24"/>
        </w:rPr>
        <w:t xml:space="preserve">В таблице отражаются активы резидентов за рубежом (在外资产) и активы иностранцев внутри страны (外国在本国资产). Если внешние активы страны превышают ее внешние обязательства, она имеет положительную чистую международную инвестиционную позицию; если наоборот - отрицательную.</w:t>
      </w:r>
    </w:p>
    <w:p>
      <w:pPr>
        <w:pStyle w:val="Heading1"/>
        <w:spacing w:after="120"/>
      </w:pPr>
      <w:r>
        <w:rPr>
          <w:rFonts w:ascii="Times New Roman" w:hAnsi="Times New Roman" w:eastAsia="SimSun" w:cs="Times New Roman"/>
          <w:sz w:val="24"/>
          <w:szCs w:val="24"/>
        </w:rPr>
        <w:t xml:space="preserve">Слайд 30. Связь IIP и платежного баланса</w:t>
      </w:r>
    </w:p>
    <w:p>
      <w:pPr>
        <w:spacing w:after="160"/>
        <w:jc w:val="both"/>
      </w:pPr>
      <w:r>
        <w:rPr>
          <w:rFonts w:ascii="Times New Roman" w:hAnsi="Times New Roman" w:eastAsia="SimSun" w:cs="Times New Roman"/>
          <w:b/>
          <w:bCs/>
          <w:sz w:val="24"/>
          <w:szCs w:val="24"/>
        </w:rPr>
        <w:t xml:space="preserve">Ключевые термины: таблица запасов (存量表), финансовый счет (金融账户), операции (交易), изменения цен (价格变化), изменения валютного курса (汇率变化), международные счета (国际账户体系)</w:t>
      </w:r>
    </w:p>
    <w:p>
      <w:pPr>
        <w:spacing w:after="160"/>
        <w:jc w:val="both"/>
      </w:pPr>
      <w:r>
        <w:rPr>
          <w:rFonts w:ascii="Times New Roman" w:hAnsi="Times New Roman" w:eastAsia="SimSun" w:cs="Times New Roman"/>
          <w:sz w:val="24"/>
          <w:szCs w:val="24"/>
        </w:rPr>
        <w:t xml:space="preserve">Международная инвестиционная позиция (国际投资头寸表) является таблицей запасов (存量表), которая дополняет финансовый счет (金融账户) платежного баланса. Платежный баланс объясняет, какие финансовые операции произошли за период, а IIP показывает накопленный результат на определенную дату.</w:t>
      </w:r>
    </w:p>
    <w:p>
      <w:pPr>
        <w:spacing w:after="160"/>
        <w:jc w:val="both"/>
      </w:pPr>
      <w:r>
        <w:rPr>
          <w:rFonts w:ascii="Times New Roman" w:hAnsi="Times New Roman" w:eastAsia="SimSun" w:cs="Times New Roman"/>
          <w:sz w:val="24"/>
          <w:szCs w:val="24"/>
        </w:rPr>
        <w:t xml:space="preserve">Изменение IIP связано не только с операциями (交易), но и с изменениями цен (价格变化), изменениями валютного курса (汇率变化) и другими корректировками. Поэтому IIP и платежный баланс вместе образуют целостную систему международных счетов (国际账户体系) страны.</w:t>
      </w:r>
    </w:p>
    <w:p>
      <w:pPr>
        <w:pStyle w:val="Heading1"/>
        <w:spacing w:after="120"/>
      </w:pPr>
      <w:r>
        <w:rPr>
          <w:rFonts w:ascii="Times New Roman" w:hAnsi="Times New Roman" w:eastAsia="SimSun" w:cs="Times New Roman"/>
          <w:sz w:val="24"/>
          <w:szCs w:val="24"/>
        </w:rPr>
        <w:t xml:space="preserve">Слайд 31. Основные компоненты сальдо платежного баланса Китая</w:t>
      </w:r>
    </w:p>
    <w:p>
      <w:pPr>
        <w:spacing w:after="160"/>
        <w:jc w:val="both"/>
      </w:pPr>
      <w:r>
        <w:rPr>
          <w:rFonts w:ascii="Times New Roman" w:hAnsi="Times New Roman" w:eastAsia="SimSun" w:cs="Times New Roman"/>
          <w:b/>
          <w:bCs/>
          <w:sz w:val="24"/>
          <w:szCs w:val="24"/>
        </w:rPr>
        <w:t xml:space="preserve">Ключевые термины: сальдо платежного баланса (国际收支差额), сальдо текущего счета (经常账户差额), счет капитала и финансов без резервов (资本和金融账户（非储备）)</w:t>
      </w:r>
    </w:p>
    <w:p>
      <w:pPr>
        <w:spacing w:after="160"/>
        <w:jc w:val="both"/>
      </w:pPr>
      <w:r>
        <w:rPr>
          <w:rFonts w:ascii="Times New Roman" w:hAnsi="Times New Roman" w:eastAsia="SimSun" w:cs="Times New Roman"/>
          <w:sz w:val="24"/>
          <w:szCs w:val="24"/>
        </w:rPr>
        <w:t xml:space="preserve">Таблица показывает динамику платежного баланса Китая в 2010-2018 годах в миллиардах долларов США. Видно, что общее сальдо платежного баланса (国际收支差额) было положительным в большинстве лет, но в 2015 и 2016 годах стало отрицательным.</w:t>
      </w:r>
    </w:p>
    <w:p>
      <w:pPr>
        <w:spacing w:after="160"/>
        <w:jc w:val="both"/>
      </w:pPr>
      <w:r>
        <w:rPr>
          <w:rFonts w:ascii="Times New Roman" w:hAnsi="Times New Roman" w:eastAsia="SimSun" w:cs="Times New Roman"/>
          <w:sz w:val="24"/>
          <w:szCs w:val="24"/>
        </w:rPr>
        <w:t xml:space="preserve">Сальдо текущего счета (经常账户差额) оставалось положительным во все указанные годы, хотя к 2018 году заметно сократилось. Счет капитала и финансов без резервов (资本和金融账户（非储备）) вел себя более волатильно: в отдельные годы был большим плюсом, а в 2015-2016 годах стал крупным минусом. Это показывает переход от устойчивого притока капитала к периодам оттока и двусторонних колебаний.</w:t>
      </w:r>
    </w:p>
    <w:p>
      <w:pPr>
        <w:pStyle w:val="Heading1"/>
        <w:spacing w:after="120"/>
      </w:pPr>
      <w:r>
        <w:rPr>
          <w:rFonts w:ascii="Times New Roman" w:hAnsi="Times New Roman" w:eastAsia="SimSun" w:cs="Times New Roman"/>
          <w:sz w:val="24"/>
          <w:szCs w:val="24"/>
        </w:rPr>
        <w:t xml:space="preserve">Слайд 32. Валютные резервы Китая</w:t>
      </w:r>
    </w:p>
    <w:p>
      <w:pPr>
        <w:spacing w:after="160"/>
        <w:jc w:val="both"/>
      </w:pPr>
      <w:r>
        <w:rPr>
          <w:rFonts w:ascii="Times New Roman" w:hAnsi="Times New Roman" w:eastAsia="SimSun" w:cs="Times New Roman"/>
          <w:b/>
          <w:bCs/>
          <w:sz w:val="24"/>
          <w:szCs w:val="24"/>
        </w:rPr>
        <w:t xml:space="preserve">Ключевые термины: валютные резервы (外汇储备), накопление резервов (储备增长)</w:t>
      </w:r>
    </w:p>
    <w:p>
      <w:pPr>
        <w:spacing w:after="160"/>
        <w:jc w:val="both"/>
      </w:pPr>
      <w:r>
        <w:rPr>
          <w:rFonts w:ascii="Times New Roman" w:hAnsi="Times New Roman" w:eastAsia="SimSun" w:cs="Times New Roman"/>
          <w:sz w:val="24"/>
          <w:szCs w:val="24"/>
        </w:rPr>
        <w:t xml:space="preserve">Слайд показывает быстрый рост валютных резервов Китая (外汇储备) в XXI веке. С 165,57 миллиарда долларов в конце 2000 года резервы выросли до 1 триллиона долларов в 2006 году, затем превысили 2 триллиона в 2009 году и 3 триллиона в 2011 году.</w:t>
      </w:r>
    </w:p>
    <w:p>
      <w:pPr>
        <w:spacing w:after="160"/>
        <w:jc w:val="both"/>
      </w:pPr>
      <w:r>
        <w:rPr>
          <w:rFonts w:ascii="Times New Roman" w:hAnsi="Times New Roman" w:eastAsia="SimSun" w:cs="Times New Roman"/>
          <w:sz w:val="24"/>
          <w:szCs w:val="24"/>
        </w:rPr>
        <w:t xml:space="preserve">Пик приблизился к 4 триллионам долларов в 2014 году, после чего резервы начали снижаться. Накопление резервов (储备增长) было связано с торговыми профицитами, притоком капитала и валютными интервенциями. Снижение после 2014 года отражало изменение потоков капитала, давление на обменный курс и корректировку структуры платежного баланса.</w:t>
      </w:r>
    </w:p>
    <w:p>
      <w:pPr>
        <w:pStyle w:val="Heading1"/>
        <w:spacing w:after="120"/>
      </w:pPr>
      <w:r>
        <w:rPr>
          <w:rFonts w:ascii="Times New Roman" w:hAnsi="Times New Roman" w:eastAsia="SimSun" w:cs="Times New Roman"/>
          <w:sz w:val="24"/>
          <w:szCs w:val="24"/>
        </w:rPr>
        <w:t xml:space="preserve">Слайд 33. Структура платежного баланса Китая</w:t>
      </w:r>
    </w:p>
    <w:p>
      <w:pPr>
        <w:spacing w:after="160"/>
        <w:jc w:val="both"/>
      </w:pPr>
      <w:r>
        <w:rPr>
          <w:rFonts w:ascii="Times New Roman" w:hAnsi="Times New Roman" w:eastAsia="SimSun" w:cs="Times New Roman"/>
          <w:b/>
          <w:bCs/>
          <w:sz w:val="24"/>
          <w:szCs w:val="24"/>
        </w:rPr>
        <w:t xml:space="preserve">Ключевые термины: двойной профицит (双顺差), новая нормальность (新常态), базовое равновесие платежного баланса (国际收支基本平衡)</w:t>
      </w:r>
    </w:p>
    <w:p>
      <w:pPr>
        <w:spacing w:after="160"/>
        <w:jc w:val="both"/>
      </w:pPr>
      <w:r>
        <w:rPr>
          <w:rFonts w:ascii="Times New Roman" w:hAnsi="Times New Roman" w:eastAsia="SimSun" w:cs="Times New Roman"/>
          <w:sz w:val="24"/>
          <w:szCs w:val="24"/>
        </w:rPr>
        <w:t xml:space="preserve">Китай в целом сохранял модель двойного профицита (双顺差), но власти начали стремиться к более сбалансированной структуре внешних счетов. В период двенадцатой пятилетки была поставлена задача оптимизировать структуру платежного баланса.</w:t>
      </w:r>
    </w:p>
    <w:p>
      <w:pPr>
        <w:spacing w:after="160"/>
        <w:jc w:val="both"/>
      </w:pPr>
      <w:r>
        <w:rPr>
          <w:rFonts w:ascii="Times New Roman" w:hAnsi="Times New Roman" w:eastAsia="SimSun" w:cs="Times New Roman"/>
          <w:sz w:val="24"/>
          <w:szCs w:val="24"/>
        </w:rPr>
        <w:t xml:space="preserve">Новая нормальность (新常态) предполагала сохранение профицита текущего счета при более двусторонних колебаниях счета капитала и финансов. Цель - перейти к базовому равновесию платежного баланса (国际收支基本平衡), чтобы экономика меньше зависела от постоянного накопления резервов и одностороннего притока капитала.</w:t>
      </w:r>
    </w:p>
    <w:p>
      <w:pPr>
        <w:pStyle w:val="Heading1"/>
        <w:spacing w:after="120"/>
      </w:pPr>
      <w:r>
        <w:rPr>
          <w:rFonts w:ascii="Times New Roman" w:hAnsi="Times New Roman" w:eastAsia="SimSun" w:cs="Times New Roman"/>
          <w:sz w:val="24"/>
          <w:szCs w:val="24"/>
        </w:rPr>
        <w:t xml:space="preserve">Слайд 34. Долговой кризис развивающихся стран</w:t>
      </w:r>
    </w:p>
    <w:p>
      <w:pPr>
        <w:spacing w:after="160"/>
        <w:jc w:val="both"/>
      </w:pPr>
      <w:r>
        <w:rPr>
          <w:rFonts w:ascii="Times New Roman" w:hAnsi="Times New Roman" w:eastAsia="SimSun" w:cs="Times New Roman"/>
          <w:b/>
          <w:bCs/>
          <w:sz w:val="24"/>
          <w:szCs w:val="24"/>
        </w:rPr>
        <w:t xml:space="preserve">Ключевые термины: долговой кризис развивающихся стран (发展中国家债务危机)</w:t>
      </w:r>
    </w:p>
    <w:p>
      <w:pPr>
        <w:spacing w:after="160"/>
        <w:jc w:val="both"/>
      </w:pPr>
      <w:r>
        <w:rPr>
          <w:rFonts w:ascii="Times New Roman" w:hAnsi="Times New Roman" w:eastAsia="SimSun" w:cs="Times New Roman"/>
          <w:sz w:val="24"/>
          <w:szCs w:val="24"/>
        </w:rPr>
        <w:t xml:space="preserve">Этот раздел переходит от платежного баланса к проблеме внешней задолженности. Долговой кризис развивающихся стран (发展中国家债务危机) показывает, что дефицит внешних ресурсов может долго финансироваться займами, но при неблагоприятных условиях превращается в системный кризис.</w:t>
      </w:r>
    </w:p>
    <w:p>
      <w:pPr>
        <w:spacing w:after="160"/>
        <w:jc w:val="both"/>
      </w:pPr>
      <w:r>
        <w:rPr>
          <w:rFonts w:ascii="Times New Roman" w:hAnsi="Times New Roman" w:eastAsia="SimSun" w:cs="Times New Roman"/>
          <w:sz w:val="24"/>
          <w:szCs w:val="24"/>
        </w:rPr>
        <w:t xml:space="preserve">Связь с платежным балансом прямая: если страна импортирует больше, чем экспортирует, или нуждается в капитале для развития, она может занимать за рубежом. Но долговая нагрузка становится опасной, когда обслуживание долга требует слишком большой доли экспортных доходов или ВВП.</w:t>
      </w:r>
    </w:p>
    <w:p>
      <w:pPr>
        <w:pStyle w:val="Heading1"/>
        <w:spacing w:after="120"/>
      </w:pPr>
      <w:r>
        <w:rPr>
          <w:rFonts w:ascii="Times New Roman" w:hAnsi="Times New Roman" w:eastAsia="SimSun" w:cs="Times New Roman"/>
          <w:sz w:val="24"/>
          <w:szCs w:val="24"/>
        </w:rPr>
        <w:t xml:space="preserve">Слайд 35. Теория двух разрывов</w:t>
      </w:r>
    </w:p>
    <w:p>
      <w:pPr>
        <w:spacing w:after="160"/>
        <w:jc w:val="both"/>
      </w:pPr>
      <w:r>
        <w:rPr>
          <w:rFonts w:ascii="Times New Roman" w:hAnsi="Times New Roman" w:eastAsia="SimSun" w:cs="Times New Roman"/>
          <w:b/>
          <w:bCs/>
          <w:sz w:val="24"/>
          <w:szCs w:val="24"/>
        </w:rPr>
        <w:t xml:space="preserve">Ключевые термины: теория двух разрывов (两缺口理论), разрыв инвестиции-сбережения (投资—储蓄缺口), валютный разрыв (外汇缺口), фискальное равновесие (财政平衡)</w:t>
      </w:r>
    </w:p>
    <w:p>
      <w:pPr>
        <w:spacing w:after="160"/>
        <w:jc w:val="both"/>
      </w:pPr>
      <w:r>
        <w:rPr>
          <w:rFonts w:ascii="Times New Roman" w:hAnsi="Times New Roman" w:eastAsia="SimSun" w:cs="Times New Roman"/>
          <w:sz w:val="24"/>
          <w:szCs w:val="24"/>
        </w:rPr>
        <w:t xml:space="preserve">Теория двух разрывов (两缺口理论) объясняет, почему развивающиеся страны часто нуждаются во внешнем финансировании. Первый разрыв - это разрыв между инвестициями и внутренними сбережениями (投资—储蓄缺口): для роста нужно больше инвестиций, чем страна может профинансировать своими сбережениями.</w:t>
      </w:r>
    </w:p>
    <w:p>
      <w:pPr>
        <w:spacing w:after="160"/>
        <w:jc w:val="both"/>
      </w:pPr>
      <w:r>
        <w:rPr>
          <w:rFonts w:ascii="Times New Roman" w:hAnsi="Times New Roman" w:eastAsia="SimSun" w:cs="Times New Roman"/>
          <w:sz w:val="24"/>
          <w:szCs w:val="24"/>
        </w:rPr>
        <w:t xml:space="preserve">Второй разрыв - валютный разрыв (外汇缺口): для импорта оборудования, технологий и сырья нужна иностранная валюта. Из макроэкономических тождеств следует, что при фискальном равновесии (财政平衡) разница между инвестициями и сбережениями равна разнице между импортом и экспортом: I - S = M - X. Поэтому нехватка внутренних сбережений проявляется как потребность во внешней валюте.</w:t>
      </w:r>
    </w:p>
    <w:p>
      <w:pPr>
        <w:pStyle w:val="Heading1"/>
        <w:spacing w:after="120"/>
      </w:pPr>
      <w:r>
        <w:rPr>
          <w:rFonts w:ascii="Times New Roman" w:hAnsi="Times New Roman" w:eastAsia="SimSun" w:cs="Times New Roman"/>
          <w:sz w:val="24"/>
          <w:szCs w:val="24"/>
        </w:rPr>
        <w:t xml:space="preserve">Слайд 36. Истоки долгового кризиса</w:t>
      </w:r>
    </w:p>
    <w:p>
      <w:pPr>
        <w:spacing w:after="160"/>
        <w:jc w:val="both"/>
      </w:pPr>
      <w:r>
        <w:rPr>
          <w:rFonts w:ascii="Times New Roman" w:hAnsi="Times New Roman" w:eastAsia="SimSun" w:cs="Times New Roman"/>
          <w:b/>
          <w:bCs/>
          <w:sz w:val="24"/>
          <w:szCs w:val="24"/>
        </w:rPr>
        <w:t xml:space="preserve">Ключевые термины: внешний долг (外债), долговая реструктуризация (债务重新安排), капитализация долга (债务资本化), секьюритизация долга (债务证券化)</w:t>
      </w:r>
    </w:p>
    <w:p>
      <w:pPr>
        <w:spacing w:after="160"/>
        <w:jc w:val="both"/>
      </w:pPr>
      <w:r>
        <w:rPr>
          <w:rFonts w:ascii="Times New Roman" w:hAnsi="Times New Roman" w:eastAsia="SimSun" w:cs="Times New Roman"/>
          <w:sz w:val="24"/>
          <w:szCs w:val="24"/>
        </w:rPr>
        <w:t xml:space="preserve">Долговой кризис развивающихся стран начался в 1970-е годы и резко проявился в начале 1980-х. Внешний долг (外债) быстро рос: к 1981 году совокупная задолженность достигла 555 миллиардов долларов, затем после краткого смягчения снова увеличилась до 800 миллиардов в 1985 году и 1,035 триллиона в 1986 году.</w:t>
      </w:r>
    </w:p>
    <w:p>
      <w:pPr>
        <w:spacing w:after="160"/>
        <w:jc w:val="both"/>
      </w:pPr>
      <w:r>
        <w:rPr>
          <w:rFonts w:ascii="Times New Roman" w:hAnsi="Times New Roman" w:eastAsia="SimSun" w:cs="Times New Roman"/>
          <w:sz w:val="24"/>
          <w:szCs w:val="24"/>
        </w:rPr>
        <w:t xml:space="preserve">Кризис давил не только на страны-должники, но и на банки развитых стран и международную финансовую систему. Среди предложенных решений были долговая реструктуризация (债务重新安排), капитализация долга (债务资本化) и секьюритизация долга (债务证券化). Все эти меры направлены на изменение сроков, формы или стоимости долга, чтобы сделать его обслуживание более устойчивым.</w:t>
      </w:r>
    </w:p>
    <w:p>
      <w:pPr>
        <w:pStyle w:val="Heading1"/>
        <w:spacing w:after="120"/>
      </w:pPr>
      <w:r>
        <w:rPr>
          <w:rFonts w:ascii="Times New Roman" w:hAnsi="Times New Roman" w:eastAsia="SimSun" w:cs="Times New Roman"/>
          <w:sz w:val="24"/>
          <w:szCs w:val="24"/>
        </w:rPr>
        <w:t xml:space="preserve">Слайд 37. Привлечение иностранного капитала и показатели долга</w:t>
      </w:r>
    </w:p>
    <w:p>
      <w:pPr>
        <w:spacing w:after="160"/>
        <w:jc w:val="both"/>
      </w:pPr>
      <w:r>
        <w:rPr>
          <w:rFonts w:ascii="Times New Roman" w:hAnsi="Times New Roman" w:eastAsia="SimSun" w:cs="Times New Roman"/>
          <w:b/>
          <w:bCs/>
          <w:sz w:val="24"/>
          <w:szCs w:val="24"/>
        </w:rPr>
        <w:t xml:space="preserve">Ключевые термины: привлечение иностранного капитала (外资引进), предельный доход (MR), предельные издержки (MC), структура внешнего долга (外债结构), коэффициент обслуживания долга (偿债率), экспортный долговой коэффициент (出口债务率), экономический долговой коэффициент (经济债务率)</w:t>
      </w:r>
    </w:p>
    <w:p>
      <w:pPr>
        <w:spacing w:after="160"/>
        <w:jc w:val="both"/>
      </w:pPr>
      <w:r>
        <w:rPr>
          <w:rFonts w:ascii="Times New Roman" w:hAnsi="Times New Roman" w:eastAsia="SimSun" w:cs="Times New Roman"/>
          <w:sz w:val="24"/>
          <w:szCs w:val="24"/>
        </w:rPr>
        <w:t xml:space="preserve">Оптимальное привлечение иностранного капитала (外资引进) описывается правилом MR = MC: предельный доход (MR) от дополнительного внешнего финансирования должен равняться предельным издержкам (MC) его привлечения и обслуживания. Если долг приносит меньше выгоды, чем стоит его обслуживание, он становится источником риска.</w:t>
      </w:r>
    </w:p>
    <w:p>
      <w:pPr>
        <w:spacing w:after="160"/>
        <w:jc w:val="both"/>
      </w:pPr>
      <w:r>
        <w:rPr>
          <w:rFonts w:ascii="Times New Roman" w:hAnsi="Times New Roman" w:eastAsia="SimSun" w:cs="Times New Roman"/>
          <w:sz w:val="24"/>
          <w:szCs w:val="24"/>
        </w:rPr>
        <w:t xml:space="preserve">Структура внешнего долга (外债结构) важна по процентным ставкам, валютам, срокам, странам-кредиторам и рынкам заимствования. Для оценки устойчивости используются коэффициент обслуживания долга (偿债率), экспортный долговой коэффициент (出口债务率), экономический долговой коэффициент (经济债务率), а также показатели приведенной стоимости долга к ВВП и экспорту. Указанные пороговые значения помогают понять, когда долг становится чрезмерным.</w:t>
      </w:r>
    </w:p>
    <w:p>
      <w:pPr>
        <w:pStyle w:val="Heading1"/>
        <w:spacing w:after="120"/>
      </w:pPr>
      <w:r>
        <w:rPr>
          <w:rFonts w:ascii="Times New Roman" w:hAnsi="Times New Roman" w:eastAsia="SimSun" w:cs="Times New Roman"/>
          <w:sz w:val="24"/>
          <w:szCs w:val="24"/>
        </w:rPr>
        <w:t xml:space="preserve">Слайд 38. Долговые проблемы развитых стран</w:t>
      </w:r>
    </w:p>
    <w:p>
      <w:pPr>
        <w:spacing w:after="160"/>
        <w:jc w:val="both"/>
      </w:pPr>
      <w:r>
        <w:rPr>
          <w:rFonts w:ascii="Times New Roman" w:hAnsi="Times New Roman" w:eastAsia="SimSun" w:cs="Times New Roman"/>
          <w:b/>
          <w:bCs/>
          <w:sz w:val="24"/>
          <w:szCs w:val="24"/>
        </w:rPr>
        <w:t xml:space="preserve">Ключевые термины: долговой кризис (债务危机), европейский долговой кризис (欧债危机), суверенный долг (主权债务)</w:t>
      </w:r>
    </w:p>
    <w:p>
      <w:pPr>
        <w:spacing w:after="160"/>
        <w:jc w:val="both"/>
      </w:pPr>
      <w:r>
        <w:rPr>
          <w:rFonts w:ascii="Times New Roman" w:hAnsi="Times New Roman" w:eastAsia="SimSun" w:cs="Times New Roman"/>
          <w:sz w:val="24"/>
          <w:szCs w:val="24"/>
        </w:rPr>
        <w:t xml:space="preserve">Слайд подчеркивает, что долговой кризис (债务危机) не является проблемой только развивающихся стран. Развитые страны также могут столкнуться с чрезмерным государственным долгом, особенно если экономика слабо растет, а бюджетные расходы превышают доходы.</w:t>
      </w:r>
    </w:p>
    <w:p>
      <w:pPr>
        <w:spacing w:after="160"/>
        <w:jc w:val="both"/>
      </w:pPr>
      <w:r>
        <w:rPr>
          <w:rFonts w:ascii="Times New Roman" w:hAnsi="Times New Roman" w:eastAsia="SimSun" w:cs="Times New Roman"/>
          <w:sz w:val="24"/>
          <w:szCs w:val="24"/>
        </w:rPr>
        <w:t xml:space="preserve">Европейский долговой кризис (欧债危机) - это кризис суверенного долга (主权债务), начавшийся после 2009 года в ряде стран Европы. Он показал, что даже страны с развитой финансовой системой могут потерять доверие инвесторов, если долговая динамика становится неустойчивой.</w:t>
      </w:r>
    </w:p>
    <w:p>
      <w:pPr>
        <w:pStyle w:val="Heading1"/>
        <w:spacing w:after="120"/>
      </w:pPr>
      <w:r>
        <w:rPr>
          <w:rFonts w:ascii="Times New Roman" w:hAnsi="Times New Roman" w:eastAsia="SimSun" w:cs="Times New Roman"/>
          <w:sz w:val="24"/>
          <w:szCs w:val="24"/>
        </w:rPr>
        <w:t xml:space="preserve">Слайд 39. Сущность и распространение европейского долгового кризиса</w:t>
      </w:r>
    </w:p>
    <w:p>
      <w:pPr>
        <w:spacing w:after="160"/>
        <w:jc w:val="both"/>
      </w:pPr>
      <w:r>
        <w:rPr>
          <w:rFonts w:ascii="Times New Roman" w:hAnsi="Times New Roman" w:eastAsia="SimSun" w:cs="Times New Roman"/>
          <w:b/>
          <w:bCs/>
          <w:sz w:val="24"/>
          <w:szCs w:val="24"/>
        </w:rPr>
        <w:t xml:space="preserve">Ключевые термины: долговая нагрузка (债务负担), риск дефолта (违约风险), кризис субстандартной ипотеки США (美国次贷危机), европейская пятерка (葡萄牙、意大利、爱尔兰、希腊、西班牙)</w:t>
      </w:r>
    </w:p>
    <w:p>
      <w:pPr>
        <w:spacing w:after="160"/>
        <w:jc w:val="both"/>
      </w:pPr>
      <w:r>
        <w:rPr>
          <w:rFonts w:ascii="Times New Roman" w:hAnsi="Times New Roman" w:eastAsia="SimSun" w:cs="Times New Roman"/>
          <w:sz w:val="24"/>
          <w:szCs w:val="24"/>
        </w:rPr>
        <w:t xml:space="preserve">Сущность европейского долгового кризиса состояла в том, что долговая нагрузка (债务负担) правительств превысила уровень, который рынки считали безопасным. Это породило риск дефолта (违约风险), то есть невозможности государства своевременно обслуживать свои обязательства.</w:t>
      </w:r>
    </w:p>
    <w:p>
      <w:pPr>
        <w:spacing w:after="160"/>
        <w:jc w:val="both"/>
      </w:pPr>
      <w:r>
        <w:rPr>
          <w:rFonts w:ascii="Times New Roman" w:hAnsi="Times New Roman" w:eastAsia="SimSun" w:cs="Times New Roman"/>
          <w:sz w:val="24"/>
          <w:szCs w:val="24"/>
        </w:rPr>
        <w:t xml:space="preserve">Кризис был связан с последствиями кризиса субстандартной ипотеки США (美国次贷危机), который ухудшил состояние банков, бюджетов и экономического роста. Первые признаки проявились в Исландии в 2008 году, затем в 2009-2010 годах резко обострилась проблема Греции и распространилась на так называемую европейскую пятерку: Португалию, Италию, Ирландию, Грецию и Испанию (葡萄牙、意大利、爱尔兰、希腊、西班牙).</w:t>
      </w:r>
    </w:p>
    <w:p>
      <w:pPr>
        <w:pStyle w:val="Heading1"/>
        <w:spacing w:after="120"/>
      </w:pPr>
      <w:r>
        <w:rPr>
          <w:rFonts w:ascii="Times New Roman" w:hAnsi="Times New Roman" w:eastAsia="SimSun" w:cs="Times New Roman"/>
          <w:sz w:val="24"/>
          <w:szCs w:val="24"/>
        </w:rPr>
        <w:t xml:space="preserve">Слайд 40. Причины европейского долгового кризиса: слабость экономики и статистика</w:t>
      </w:r>
    </w:p>
    <w:p>
      <w:pPr>
        <w:spacing w:after="160"/>
        <w:jc w:val="both"/>
      </w:pPr>
      <w:r>
        <w:rPr>
          <w:rFonts w:ascii="Times New Roman" w:hAnsi="Times New Roman" w:eastAsia="SimSun" w:cs="Times New Roman"/>
          <w:b/>
          <w:bCs/>
          <w:sz w:val="24"/>
          <w:szCs w:val="24"/>
        </w:rPr>
        <w:t xml:space="preserve">Ключевые термины: экономическая слабость (经济实力薄弱), бюджетный дефицит (预算赤字), государственный долг (政府负债), Маастрихтские критерии (《马约》标准), финансовая фальсификация (财务造假)</w:t>
      </w:r>
    </w:p>
    <w:p>
      <w:pPr>
        <w:spacing w:after="160"/>
        <w:jc w:val="both"/>
      </w:pPr>
      <w:r>
        <w:rPr>
          <w:rFonts w:ascii="Times New Roman" w:hAnsi="Times New Roman" w:eastAsia="SimSun" w:cs="Times New Roman"/>
          <w:sz w:val="24"/>
          <w:szCs w:val="24"/>
        </w:rPr>
        <w:t xml:space="preserve">Первая причина кризиса - экономическая слабость (经济实力薄弱) ряда стран. При низкой конкурентоспособности, слабом росте и несбалансированных государственных финансах бюджетный дефицит (预算赤字) и государственный долг (政府负债) накапливаются быстрее, чем экономика способна их обслуживать.</w:t>
      </w:r>
    </w:p>
    <w:p>
      <w:pPr>
        <w:spacing w:after="160"/>
        <w:jc w:val="both"/>
      </w:pPr>
      <w:r>
        <w:rPr>
          <w:rFonts w:ascii="Times New Roman" w:hAnsi="Times New Roman" w:eastAsia="SimSun" w:cs="Times New Roman"/>
          <w:sz w:val="24"/>
          <w:szCs w:val="24"/>
        </w:rPr>
        <w:t xml:space="preserve">Вторая причина - проблемы статистической и финансовой прозрачности. Греция не соответствовала Маастрихтским критериям (《马约》标准), по которым бюджетный дефицит должен быть не выше 3 процентов ВВП, а государственный долг - не выше 60 процентов ВВП. Использование сложных финансовых схем и финансовая фальсификация (财务造假) скрывали реальные масштабы проблемы до тех пор, пока доверие рынков не было потеряно.</w:t>
      </w:r>
    </w:p>
    <w:p>
      <w:pPr>
        <w:pStyle w:val="Heading1"/>
        <w:spacing w:after="120"/>
      </w:pPr>
      <w:r>
        <w:rPr>
          <w:rFonts w:ascii="Times New Roman" w:hAnsi="Times New Roman" w:eastAsia="SimSun" w:cs="Times New Roman"/>
          <w:sz w:val="24"/>
          <w:szCs w:val="24"/>
        </w:rPr>
        <w:t xml:space="preserve">Слайд 41. Причины европейского долгового кризиса: институты и политика</w:t>
      </w:r>
    </w:p>
    <w:p>
      <w:pPr>
        <w:spacing w:after="160"/>
        <w:jc w:val="both"/>
      </w:pPr>
      <w:r>
        <w:rPr>
          <w:rFonts w:ascii="Times New Roman" w:hAnsi="Times New Roman" w:eastAsia="SimSun" w:cs="Times New Roman"/>
          <w:b/>
          <w:bCs/>
          <w:sz w:val="24"/>
          <w:szCs w:val="24"/>
        </w:rPr>
        <w:t xml:space="preserve">Ключевые термины: евро (欧元), Европейский центральный банк (欧洲央行), девальвация валюты (货币贬值), социальное государство (社会福利), международные финансовые силы (国际金融力量)</w:t>
      </w:r>
    </w:p>
    <w:p>
      <w:pPr>
        <w:spacing w:after="160"/>
        <w:jc w:val="both"/>
      </w:pPr>
      <w:r>
        <w:rPr>
          <w:rFonts w:ascii="Times New Roman" w:hAnsi="Times New Roman" w:eastAsia="SimSun" w:cs="Times New Roman"/>
          <w:sz w:val="24"/>
          <w:szCs w:val="24"/>
        </w:rPr>
        <w:t xml:space="preserve">Евро (欧元) дал странам единую валюту, но ограничил их самостоятельную денежно-кредитную политику. Европейский центральный банк (欧洲央行) определяет общую монетарную политику, поэтому отдельная страна в кризисе не может просто провести девальвацию валюты (货币贬值), чтобы восстановить конкурентоспособность.</w:t>
      </w:r>
    </w:p>
    <w:p>
      <w:pPr>
        <w:spacing w:after="160"/>
        <w:jc w:val="both"/>
      </w:pPr>
      <w:r>
        <w:rPr>
          <w:rFonts w:ascii="Times New Roman" w:hAnsi="Times New Roman" w:eastAsia="SimSun" w:cs="Times New Roman"/>
          <w:sz w:val="24"/>
          <w:szCs w:val="24"/>
        </w:rPr>
        <w:t xml:space="preserve">Еще один фактор - высокие социальные обязательства. Социальное государство (社会福利) устойчиво только тогда, когда расходы опираются на стабильные доходы бюджета. Если политики расширяют льготы без финансовой базы, долг растет. При ухудшении показателей такие страны становятся объектом давления со стороны международных финансовых сил (国际金融力量), включая инвесторов и спекулятивные рынки.</w:t>
      </w:r>
    </w:p>
    <w:p>
      <w:pPr>
        <w:pStyle w:val="Heading1"/>
        <w:spacing w:after="120"/>
      </w:pPr>
      <w:r>
        <w:rPr>
          <w:rFonts w:ascii="Times New Roman" w:hAnsi="Times New Roman" w:eastAsia="SimSun" w:cs="Times New Roman"/>
          <w:sz w:val="24"/>
          <w:szCs w:val="24"/>
        </w:rPr>
        <w:t xml:space="preserve">Слайд 42. Структурные причины торгового дефицита США</w:t>
      </w:r>
    </w:p>
    <w:p>
      <w:pPr>
        <w:spacing w:after="160"/>
        <w:jc w:val="both"/>
      </w:pPr>
      <w:r>
        <w:rPr>
          <w:rFonts w:ascii="Times New Roman" w:hAnsi="Times New Roman" w:eastAsia="SimSun" w:cs="Times New Roman"/>
          <w:b/>
          <w:bCs/>
          <w:sz w:val="24"/>
          <w:szCs w:val="24"/>
        </w:rPr>
        <w:t xml:space="preserve">Ключевые термины: торговый дефицит США (美国贸易赤字), структурные причины (结构性原因)</w:t>
      </w:r>
    </w:p>
    <w:p>
      <w:pPr>
        <w:spacing w:after="160"/>
        <w:jc w:val="both"/>
      </w:pPr>
      <w:r>
        <w:rPr>
          <w:rFonts w:ascii="Times New Roman" w:hAnsi="Times New Roman" w:eastAsia="SimSun" w:cs="Times New Roman"/>
          <w:sz w:val="24"/>
          <w:szCs w:val="24"/>
        </w:rPr>
        <w:t xml:space="preserve">Этот раздел объясняет долгосрочный торговый дефицит США (美国贸易赤字) через структурные причины (结构性原因), а не через случайные колебания отдельных лет. Структурный подход ищет устойчивые особенности экономики, которые постоянно поддерживают импорт выше экспорта.</w:t>
      </w:r>
    </w:p>
    <w:p>
      <w:pPr>
        <w:spacing w:after="160"/>
        <w:jc w:val="both"/>
      </w:pPr>
      <w:r>
        <w:rPr>
          <w:rFonts w:ascii="Times New Roman" w:hAnsi="Times New Roman" w:eastAsia="SimSun" w:cs="Times New Roman"/>
          <w:sz w:val="24"/>
          <w:szCs w:val="24"/>
        </w:rPr>
        <w:t xml:space="preserve">Для США такими факторами являются высокая склонность к потреблению, низкая норма сбережений, роль доллара как мировой резервной валюты и бюджетная политика. Поэтому дефицит торговли рассматривается не только как проблема внешней торговли, но и как отражение внутренних макроэкономических дисбалансов.</w:t>
      </w:r>
    </w:p>
    <w:p>
      <w:pPr>
        <w:pStyle w:val="Heading1"/>
        <w:spacing w:after="120"/>
      </w:pPr>
      <w:r>
        <w:rPr>
          <w:rFonts w:ascii="Times New Roman" w:hAnsi="Times New Roman" w:eastAsia="SimSun" w:cs="Times New Roman"/>
          <w:sz w:val="24"/>
          <w:szCs w:val="24"/>
        </w:rPr>
        <w:t xml:space="preserve">Слайд 43. Историческое нарастание торгового дефицита США</w:t>
      </w:r>
    </w:p>
    <w:p>
      <w:pPr>
        <w:spacing w:after="160"/>
        <w:jc w:val="both"/>
      </w:pPr>
      <w:r>
        <w:rPr>
          <w:rFonts w:ascii="Times New Roman" w:hAnsi="Times New Roman" w:eastAsia="SimSun" w:cs="Times New Roman"/>
          <w:b/>
          <w:bCs/>
          <w:sz w:val="24"/>
          <w:szCs w:val="24"/>
        </w:rPr>
        <w:t xml:space="preserve">Ключевые термины: торговый дефицит (贸易赤字), импорт (进口), экспорт (出口)</w:t>
      </w:r>
    </w:p>
    <w:p>
      <w:pPr>
        <w:spacing w:after="160"/>
        <w:jc w:val="both"/>
      </w:pPr>
      <w:r>
        <w:rPr>
          <w:rFonts w:ascii="Times New Roman" w:hAnsi="Times New Roman" w:eastAsia="SimSun" w:cs="Times New Roman"/>
          <w:sz w:val="24"/>
          <w:szCs w:val="24"/>
        </w:rPr>
        <w:t xml:space="preserve">США начали устойчиво сталкиваться с торговым дефицитом (贸易赤字) с 1970-х годов. В 1977 году он достиг 31 миллиарда долларов, в 1984 году превысил 100 миллиардов, а в 1998 году - 200 миллиардов долларов.</w:t>
      </w:r>
    </w:p>
    <w:p>
      <w:pPr>
        <w:spacing w:after="160"/>
        <w:jc w:val="both"/>
      </w:pPr>
      <w:r>
        <w:rPr>
          <w:rFonts w:ascii="Times New Roman" w:hAnsi="Times New Roman" w:eastAsia="SimSun" w:cs="Times New Roman"/>
          <w:sz w:val="24"/>
          <w:szCs w:val="24"/>
        </w:rPr>
        <w:t xml:space="preserve">Торговый дефицит означает, что импорт (进口) товаров и услуг превышает экспорт (出口). Для США это стало долгосрочной тенденцией, связанной с высоким внутренним спросом, глобальным размещением производства и возможностью финансировать дефицит за счет притока капитала из-за рубежа.</w:t>
      </w:r>
    </w:p>
    <w:p>
      <w:pPr>
        <w:pStyle w:val="Heading1"/>
        <w:spacing w:after="120"/>
      </w:pPr>
      <w:r>
        <w:rPr>
          <w:rFonts w:ascii="Times New Roman" w:hAnsi="Times New Roman" w:eastAsia="SimSun" w:cs="Times New Roman"/>
          <w:sz w:val="24"/>
          <w:szCs w:val="24"/>
        </w:rPr>
        <w:t xml:space="preserve">Слайд 44. Дальнейшая динамика дефицита США</w:t>
      </w:r>
    </w:p>
    <w:p>
      <w:pPr>
        <w:spacing w:after="160"/>
        <w:jc w:val="both"/>
      </w:pPr>
      <w:r>
        <w:rPr>
          <w:rFonts w:ascii="Times New Roman" w:hAnsi="Times New Roman" w:eastAsia="SimSun" w:cs="Times New Roman"/>
          <w:b/>
          <w:bCs/>
          <w:sz w:val="24"/>
          <w:szCs w:val="24"/>
        </w:rPr>
        <w:t xml:space="preserve">Ключевые термины: финансовый кризис (金融危机), внешнее финансирование (外部融资), глобальный спрос на доллар (全球美元需求)</w:t>
      </w:r>
    </w:p>
    <w:p>
      <w:pPr>
        <w:spacing w:after="160"/>
        <w:jc w:val="both"/>
      </w:pPr>
      <w:r>
        <w:rPr>
          <w:rFonts w:ascii="Times New Roman" w:hAnsi="Times New Roman" w:eastAsia="SimSun" w:cs="Times New Roman"/>
          <w:sz w:val="24"/>
          <w:szCs w:val="24"/>
        </w:rPr>
        <w:t xml:space="preserve">Слайд продолжает статистику: в 1999 году торговый дефицит США достиг 336 миллиардов долларов, в 2000 году - 446 миллиардов, в 2003 году - 540 миллиардов, а затем поднимался до 664, 781, 836, 819 и 830 миллиардов долларов.</w:t>
      </w:r>
    </w:p>
    <w:p>
      <w:pPr>
        <w:spacing w:after="160"/>
        <w:jc w:val="both"/>
      </w:pPr>
      <w:r>
        <w:rPr>
          <w:rFonts w:ascii="Times New Roman" w:hAnsi="Times New Roman" w:eastAsia="SimSun" w:cs="Times New Roman"/>
          <w:sz w:val="24"/>
          <w:szCs w:val="24"/>
        </w:rPr>
        <w:t xml:space="preserve">После финансового кризиса (金融危机) дефицит снизился, но все равно оставался выше 300 миллиардов долларов. Это означает, что проблема была не временной, а структурной. США могли длительно поддерживать дефицит благодаря внешнему финансированию (外部融资) и глобальному спросу на доллар (全球美元需求) как резервную и расчетную валюту.</w:t>
      </w:r>
    </w:p>
    <w:p>
      <w:pPr>
        <w:pStyle w:val="Heading1"/>
        <w:spacing w:after="120"/>
      </w:pPr>
      <w:r>
        <w:rPr>
          <w:rFonts w:ascii="Times New Roman" w:hAnsi="Times New Roman" w:eastAsia="SimSun" w:cs="Times New Roman"/>
          <w:sz w:val="24"/>
          <w:szCs w:val="24"/>
        </w:rPr>
        <w:t xml:space="preserve">Слайд 45. Макроэкономическое объяснение дефицита США</w:t>
      </w:r>
    </w:p>
    <w:p>
      <w:pPr>
        <w:spacing w:after="160"/>
        <w:jc w:val="both"/>
      </w:pPr>
      <w:r>
        <w:rPr>
          <w:rFonts w:ascii="Times New Roman" w:hAnsi="Times New Roman" w:eastAsia="SimSun" w:cs="Times New Roman"/>
          <w:b/>
          <w:bCs/>
          <w:sz w:val="24"/>
          <w:szCs w:val="24"/>
        </w:rPr>
        <w:t xml:space="preserve">Ключевые термины: низкая норма сбережений (低储蓄率), потребительская привычка (消费习惯), функциональная фискальная политика (功能财政政策), государственные расходы (G), трансферты (TR), налоги (TA)</w:t>
      </w:r>
    </w:p>
    <w:p>
      <w:pPr>
        <w:spacing w:after="160"/>
        <w:jc w:val="both"/>
      </w:pPr>
      <w:r>
        <w:rPr>
          <w:rFonts w:ascii="Times New Roman" w:hAnsi="Times New Roman" w:eastAsia="SimSun" w:cs="Times New Roman"/>
          <w:sz w:val="24"/>
          <w:szCs w:val="24"/>
        </w:rPr>
        <w:t xml:space="preserve">Формулы на слайде связывают торговый баланс с внутренними сбережениями, инвестициями и бюджетом. Из тождества M - X = I - S + (G + TR - TA) следует, что превышение импорта над экспортом зависит от разрыва между инвестициями и сбережениями, а также от бюджетного дефицита.</w:t>
      </w:r>
    </w:p>
    <w:p>
      <w:pPr>
        <w:spacing w:after="160"/>
        <w:jc w:val="both"/>
      </w:pPr>
      <w:r>
        <w:rPr>
          <w:rFonts w:ascii="Times New Roman" w:hAnsi="Times New Roman" w:eastAsia="SimSun" w:cs="Times New Roman"/>
          <w:sz w:val="24"/>
          <w:szCs w:val="24"/>
        </w:rPr>
        <w:t xml:space="preserve">Если инвестиции равны сбережениям, то торговый дефицит определяется фискальной позицией: M - X = G + TR - TA. Для США важны две структурные причины: низкая норма сбережений (低储蓄率) и потребительская привычка (消费习惯), поддерживающая высокий импорт, а также функциональная фискальная политика (功能财政政策), при которой государственные расходы (G) и трансферты (TR) могут превышать налоги (TA). В результате внутренний дефицит сбережений проявляется как внешний торговый дефицит.</w:t>
      </w: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style w:type="paragraph" w:default="1" w:styleId="Normal">
    <w:name w:val="Normal"/>
    <w:qFormat/>
    <w:rPr>
      <w:rFonts w:ascii="Times New Roman" w:hAnsi="Times New Roman" w:eastAsia="SimSun" w:cs="Times New Roman"/>
      <w:sz w:val="24"/>
      <w:szCs w:val="24"/>
    </w:rPr>
  </w:style>
  <w:style w:type="paragraph" w:styleId="Title">
    <w:name w:val="Title"/>
    <w:basedOn w:val="Normal"/>
    <w:qFormat/>
    <w:pPr>
      <w:jc w:val="center"/>
      <w:spacing w:after="240"/>
    </w:pPr>
    <w:rPr>
      <w:rFonts w:ascii="Times New Roman" w:hAnsi="Times New Roman" w:eastAsia="SimSun" w:cs="Times New Roman"/>
      <w:b/>
      <w:bCs/>
      <w:sz w:val="36"/>
      <w:szCs w:val="36"/>
    </w:rPr>
  </w:style>
  <w:style w:type="paragraph" w:styleId="Heading1">
    <w:name w:val="heading 1"/>
    <w:basedOn w:val="Normal"/>
    <w:next w:val="Normal"/>
    <w:qFormat/>
    <w:pPr>
      <w:keepNext/>
      <w:spacing w:before="260" w:after="120"/>
    </w:pPr>
    <w:rPr>
      <w:rFonts w:ascii="Times New Roman" w:hAnsi="Times New Roman" w:eastAsia="SimSun" w:cs="Times New Roman"/>
      <w:b/>
      <w:bCs/>
      <w:color w:val="1F4E79"/>
      <w:sz w:val="30"/>
      <w:szCs w:val="30"/>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Cursor Cloud Agent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Пояснение к слайдам: международный платежный баланс</dc:title>
  <dc:language>ru-RU</dc:language>
  <cp:revision>1</cp:revision>
</cp:coreProperties>
</file>