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 w:eastAsia="Microsoft YaHei"/>
          <w:b/>
          <w:i w:val="0"/>
          <w:color w:val="8B0000"/>
          <w:sz w:val="52"/>
        </w:rPr>
        <w:t>对外贸易发展战略</w:t>
      </w:r>
    </w:p>
    <w:p>
      <w:pPr>
        <w:jc w:val="center"/>
      </w:pPr>
      <w:r>
        <w:rPr>
          <w:rFonts w:ascii="Calibri" w:hAnsi="Calibri" w:eastAsia="Microsoft YaHei"/>
          <w:b/>
          <w:i w:val="0"/>
          <w:color w:val="1F3A5F"/>
          <w:sz w:val="24"/>
        </w:rPr>
        <w:t>精简版 · 速记提纲 (краткий конспект для запоминания)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55555"/>
          <w:sz w:val="21"/>
        </w:rPr>
        <w:t>Стратегия развития внешней торговли Китая</w:t>
      </w:r>
    </w:p>
    <w:p/>
    <w:p>
      <w:pPr>
        <w:spacing w:before="240"/>
        <w:pBdr>
          <w:bottom w:val="single" w:sz="10" w:space="3" w:color="8B0000"/>
        </w:pBdr>
      </w:pPr>
      <w:r>
        <w:rPr>
          <w:rFonts w:ascii="Calibri" w:hAnsi="Calibri" w:eastAsia="Microsoft YaHei"/>
          <w:b/>
          <w:i w:val="0"/>
          <w:color w:val="8B0000"/>
          <w:sz w:val="32"/>
        </w:rPr>
        <w:t>六大战略</w:t>
      </w:r>
      <w:r>
        <w:rPr>
          <w:rFonts w:ascii="Calibri" w:hAnsi="Calibri" w:eastAsia="Microsoft YaHei"/>
          <w:b w:val="0"/>
          <w:i/>
          <w:color w:val="555555"/>
          <w:sz w:val="20"/>
        </w:rPr>
        <w:t xml:space="preserve">  · 6 стратегий — общая рамка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/>
          <w:i w:val="0"/>
          <w:color w:val="8B0000"/>
          <w:sz w:val="22"/>
        </w:rPr>
        <w:t xml:space="preserve">① </w:t>
      </w:r>
      <w:r>
        <w:rPr>
          <w:rFonts w:ascii="Calibri" w:hAnsi="Calibri" w:eastAsia="Microsoft YaHei"/>
          <w:b w:val="0"/>
          <w:i w:val="0"/>
          <w:sz w:val="22"/>
        </w:rPr>
        <w:t>出口商品战略 — экспортные товары (что вывозить)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/>
          <w:i w:val="0"/>
          <w:color w:val="8B0000"/>
          <w:sz w:val="22"/>
        </w:rPr>
        <w:t xml:space="preserve">② </w:t>
      </w:r>
      <w:r>
        <w:rPr>
          <w:rFonts w:ascii="Calibri" w:hAnsi="Calibri" w:eastAsia="Microsoft YaHei"/>
          <w:b w:val="0"/>
          <w:i w:val="0"/>
          <w:sz w:val="22"/>
        </w:rPr>
        <w:t>以质取胜 — победа за счёт качества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/>
          <w:i w:val="0"/>
          <w:color w:val="8B0000"/>
          <w:sz w:val="22"/>
        </w:rPr>
        <w:t xml:space="preserve">③ </w:t>
      </w:r>
      <w:r>
        <w:rPr>
          <w:rFonts w:ascii="Calibri" w:hAnsi="Calibri" w:eastAsia="Microsoft YaHei"/>
          <w:b w:val="0"/>
          <w:i w:val="0"/>
          <w:sz w:val="22"/>
        </w:rPr>
        <w:t>科技兴贸 — торговля через науку и технику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/>
          <w:i w:val="0"/>
          <w:color w:val="8B0000"/>
          <w:sz w:val="22"/>
        </w:rPr>
        <w:t xml:space="preserve">④ </w:t>
      </w:r>
      <w:r>
        <w:rPr>
          <w:rFonts w:ascii="Calibri" w:hAnsi="Calibri" w:eastAsia="Microsoft YaHei"/>
          <w:b w:val="0"/>
          <w:i w:val="0"/>
          <w:sz w:val="22"/>
        </w:rPr>
        <w:t>出口市场多元化 — диверсификация рынков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/>
          <w:i w:val="0"/>
          <w:color w:val="8B0000"/>
          <w:sz w:val="22"/>
        </w:rPr>
        <w:t xml:space="preserve">⑤ </w:t>
      </w:r>
      <w:r>
        <w:rPr>
          <w:rFonts w:ascii="Calibri" w:hAnsi="Calibri" w:eastAsia="Microsoft YaHei"/>
          <w:b w:val="0"/>
          <w:i w:val="0"/>
          <w:sz w:val="22"/>
        </w:rPr>
        <w:t>进口商品战略 — импортные товары (что ввозить)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/>
          <w:i w:val="0"/>
          <w:color w:val="8B0000"/>
          <w:sz w:val="22"/>
        </w:rPr>
        <w:t xml:space="preserve">⑥ </w:t>
      </w:r>
      <w:r>
        <w:rPr>
          <w:rFonts w:ascii="Calibri" w:hAnsi="Calibri" w:eastAsia="Microsoft YaHei"/>
          <w:b w:val="0"/>
          <w:i w:val="0"/>
          <w:sz w:val="22"/>
        </w:rPr>
        <w:t>自由贸易区(FTA) — зоны свободной торговли / RCEP</w:t>
      </w:r>
    </w:p>
    <w:p>
      <w:pPr>
        <w:spacing w:before="60" w:after="140"/>
        <w:shd w:val="clear" w:color="auto" w:fill="EAF3EC"/>
        <w:pBdr>
          <w:left w:val="single" w:sz="20" w:space="8" w:color="1A4D2E"/>
        </w:pBdr>
      </w:pPr>
      <w:r>
        <w:rPr>
          <w:rFonts w:ascii="Calibri" w:hAnsi="Calibri" w:eastAsia="Microsoft YaHei"/>
          <w:b/>
          <w:i w:val="0"/>
          <w:color w:val="1A4D2E"/>
          <w:sz w:val="20"/>
        </w:rPr>
        <w:t xml:space="preserve">💡 </w:t>
      </w:r>
      <w:r>
        <w:rPr>
          <w:rFonts w:ascii="Calibri" w:hAnsi="Calibri" w:eastAsia="Microsoft YaHei"/>
          <w:b w:val="0"/>
          <w:i w:val="0"/>
          <w:color w:val="202020"/>
          <w:sz w:val="20"/>
        </w:rPr>
        <w:t>Логика всей главы: переход ОТ дешёвого труда и сырья (比较优势) К технологиям, брендам и качеству (竞争优势). Схема ответа: 背景→依据→内容→成效.</w:t>
      </w:r>
    </w:p>
    <w:p>
      <w:pPr>
        <w:spacing w:before="240"/>
        <w:pBdr>
          <w:bottom w:val="single" w:sz="10" w:space="3" w:color="8B0000"/>
        </w:pBdr>
      </w:pPr>
      <w:r>
        <w:rPr>
          <w:rFonts w:ascii="Calibri" w:hAnsi="Calibri" w:eastAsia="Microsoft YaHei"/>
          <w:b/>
          <w:i w:val="0"/>
          <w:color w:val="8B0000"/>
          <w:sz w:val="32"/>
        </w:rPr>
        <w:t>① 出口商品战略：按五年计划速记</w:t>
      </w:r>
      <w:r>
        <w:rPr>
          <w:rFonts w:ascii="Calibri" w:hAnsi="Calibri" w:eastAsia="Microsoft YaHei"/>
          <w:b w:val="0"/>
          <w:i/>
          <w:color w:val="555555"/>
          <w:sz w:val="20"/>
        </w:rPr>
        <w:t xml:space="preserve">  · Эволюция экспорта — таблица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fill="8B0000"/>
          </w:tcPr>
          <w:p>
            <w:r>
              <w:rPr>
                <w:rFonts w:ascii="Calibri" w:hAnsi="Calibri" w:eastAsia="Microsoft YaHei"/>
                <w:b/>
                <w:color w:val="FFFFFF"/>
                <w:sz w:val="21"/>
              </w:rPr>
              <w:t>计划</w:t>
            </w:r>
          </w:p>
        </w:tc>
        <w:tc>
          <w:tcPr>
            <w:tcW w:type="dxa" w:w="1134"/>
            <w:shd w:val="clear" w:fill="8B0000"/>
          </w:tcPr>
          <w:p>
            <w:r>
              <w:rPr>
                <w:rFonts w:ascii="Calibri" w:hAnsi="Calibri" w:eastAsia="Microsoft YaHei"/>
                <w:b/>
                <w:color w:val="FFFFFF"/>
                <w:sz w:val="21"/>
              </w:rPr>
              <w:t>时期</w:t>
            </w:r>
          </w:p>
        </w:tc>
        <w:tc>
          <w:tcPr>
            <w:tcW w:type="dxa" w:w="4649"/>
            <w:shd w:val="clear" w:fill="8B0000"/>
          </w:tcPr>
          <w:p>
            <w:r>
              <w:rPr>
                <w:rFonts w:ascii="Calibri" w:hAnsi="Calibri" w:eastAsia="Microsoft YaHei"/>
                <w:b/>
                <w:color w:val="FFFFFF"/>
                <w:sz w:val="21"/>
              </w:rPr>
              <w:t>核心战略 / 口号</w:t>
            </w:r>
          </w:p>
        </w:tc>
        <w:tc>
          <w:tcPr>
            <w:tcW w:type="dxa" w:w="2721"/>
            <w:shd w:val="clear" w:fill="8B0000"/>
          </w:tcPr>
          <w:p>
            <w:r>
              <w:rPr>
                <w:rFonts w:ascii="Calibri" w:hAnsi="Calibri" w:eastAsia="Microsoft YaHei"/>
                <w:b/>
                <w:color w:val="FFFFFF"/>
                <w:sz w:val="21"/>
              </w:rPr>
              <w:t>Суть (RU)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Microsoft YaHei"/>
                <w:b/>
                <w:sz w:val="19"/>
              </w:rPr>
              <w:t>六五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1981-85</w:t>
            </w:r>
          </w:p>
        </w:tc>
        <w:tc>
          <w:tcPr>
            <w:tcW w:type="dxa" w:w="4649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发挥4优势：资源·传统技艺·劳动力·工业基础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Опора на сырьё и труд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Microsoft YaHei"/>
                <w:b/>
                <w:sz w:val="19"/>
              </w:rPr>
              <w:t>七五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1986-90</w:t>
            </w:r>
          </w:p>
        </w:tc>
        <w:tc>
          <w:tcPr>
            <w:tcW w:type="dxa" w:w="4649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“两个转变”：初级品→制成品；粗加工→精加工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 перехода (сырьё→изделия)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Microsoft YaHei"/>
                <w:b/>
                <w:sz w:val="19"/>
              </w:rPr>
              <w:t>八五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1991-95</w:t>
            </w:r>
          </w:p>
        </w:tc>
        <w:tc>
          <w:tcPr>
            <w:tcW w:type="dxa" w:w="4649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第二个转变；机电产品成最大宗出口品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Электромеханика — №1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Microsoft YaHei"/>
                <w:b/>
                <w:sz w:val="19"/>
              </w:rPr>
              <w:t>九五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1996-2000</w:t>
            </w:r>
          </w:p>
        </w:tc>
        <w:tc>
          <w:tcPr>
            <w:tcW w:type="dxa" w:w="4649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提出“以质取胜”；粗放型→集约型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Рождение «качество»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Microsoft YaHei"/>
                <w:b/>
                <w:sz w:val="19"/>
              </w:rPr>
              <w:t>十五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2001-05</w:t>
            </w:r>
          </w:p>
        </w:tc>
        <w:tc>
          <w:tcPr>
            <w:tcW w:type="dxa" w:w="4649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继续“以质取胜”+“科技兴贸”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Качество + технологии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Microsoft YaHei"/>
                <w:b/>
                <w:sz w:val="19"/>
              </w:rPr>
              <w:t>十一五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2006-10</w:t>
            </w:r>
          </w:p>
        </w:tc>
        <w:tc>
          <w:tcPr>
            <w:tcW w:type="dxa" w:w="4649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“三自”(品牌·知识产权·营销)；控“两高一资”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Свой бренд, контроль грязного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Microsoft YaHei"/>
                <w:b/>
                <w:sz w:val="19"/>
              </w:rPr>
              <w:t>十二五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2011-15</w:t>
            </w:r>
          </w:p>
        </w:tc>
        <w:tc>
          <w:tcPr>
            <w:tcW w:type="dxa" w:w="4649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新优势：技术·品牌·质量·服务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Подъём по цепочке стоимости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Microsoft YaHei"/>
                <w:b/>
                <w:sz w:val="19"/>
              </w:rPr>
              <w:t>十三五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2016-20</w:t>
            </w:r>
          </w:p>
        </w:tc>
        <w:tc>
          <w:tcPr>
            <w:tcW w:type="dxa" w:w="4649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“优进优出”；跨境电商等新业态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Качественно ввоз/вывоз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Microsoft YaHei"/>
                <w:b/>
                <w:sz w:val="19"/>
              </w:rPr>
              <w:t>十四五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2021-25</w:t>
            </w:r>
          </w:p>
        </w:tc>
        <w:tc>
          <w:tcPr>
            <w:tcW w:type="dxa" w:w="4649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高质量发展·“三个变革”·数字贸易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Цифра + высокое качество</w:t>
            </w:r>
          </w:p>
        </w:tc>
      </w:tr>
    </w:tbl>
    <w:p>
      <w:pPr>
        <w:spacing w:before="60" w:after="140"/>
        <w:shd w:val="clear" w:color="auto" w:fill="EAF3EC"/>
        <w:pBdr>
          <w:left w:val="single" w:sz="20" w:space="8" w:color="1A4D2E"/>
        </w:pBdr>
      </w:pPr>
      <w:r>
        <w:rPr>
          <w:rFonts w:ascii="Calibri" w:hAnsi="Calibri" w:eastAsia="Microsoft YaHei"/>
          <w:b/>
          <w:i w:val="0"/>
          <w:color w:val="1A4D2E"/>
          <w:sz w:val="20"/>
        </w:rPr>
        <w:t xml:space="preserve">💡 </w:t>
      </w:r>
      <w:r>
        <w:rPr>
          <w:rFonts w:ascii="Calibri" w:hAnsi="Calibri" w:eastAsia="Microsoft YaHei"/>
          <w:b w:val="0"/>
          <w:i w:val="0"/>
          <w:color w:val="202020"/>
          <w:sz w:val="20"/>
        </w:rPr>
        <w:t>Запомни лестницу: сначала 4 преимущества → «两个转变» → электромеханика лидер → «以质取胜» → +科技兴贸 → «三自» → «优进优出» → цифровая торговля. Самый частый тест — соотнести пятилетку и лозунг.</w:t>
      </w:r>
    </w:p>
    <w:p>
      <w:pPr>
        <w:spacing w:before="160" w:after="40"/>
      </w:pPr>
      <w:r>
        <w:rPr>
          <w:rFonts w:ascii="Calibri" w:hAnsi="Calibri" w:eastAsia="Microsoft YaHei"/>
          <w:b/>
          <w:i w:val="0"/>
          <w:color w:val="B03010"/>
          <w:sz w:val="25"/>
        </w:rPr>
        <w:t>重点对比：大进大出 → 优进优出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大进大出：进口原料→国内加工→出口；中国只赚“打工者利润”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优进：有选择进口紧缺的先进技术、关键设备、零部件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优出：出口高附加值产品 + 推动“全产业链出口”(产品+技术+服务)</w:t>
      </w:r>
    </w:p>
    <w:p>
      <w:pPr>
        <w:spacing w:before="60" w:after="140"/>
        <w:shd w:val="clear" w:color="auto" w:fill="EAF3EC"/>
        <w:pBdr>
          <w:left w:val="single" w:sz="20" w:space="8" w:color="1A4D2E"/>
        </w:pBdr>
      </w:pPr>
      <w:r>
        <w:rPr>
          <w:rFonts w:ascii="Calibri" w:hAnsi="Calibri" w:eastAsia="Microsoft YaHei"/>
          <w:b/>
          <w:i w:val="0"/>
          <w:color w:val="1A4D2E"/>
          <w:sz w:val="20"/>
        </w:rPr>
        <w:t xml:space="preserve">💡 </w:t>
      </w:r>
      <w:r>
        <w:rPr>
          <w:rFonts w:ascii="Calibri" w:hAnsi="Calibri" w:eastAsia="Microsoft YaHei"/>
          <w:b w:val="0"/>
          <w:i w:val="0"/>
          <w:color w:val="202020"/>
          <w:sz w:val="20"/>
        </w:rPr>
        <w:t>Главное противопоставление. Раньше Китай — «сборочный цех» (прибыль у иностранцев). 优进优出 — ввозить и вывозить КАЧЕСТВЕННО, экспортируя всю цепочку, а не только сборку.</w:t>
      </w:r>
    </w:p>
    <w:p>
      <w:r>
        <w:br w:type="page"/>
      </w:r>
    </w:p>
    <w:p>
      <w:pPr>
        <w:spacing w:before="240"/>
        <w:pBdr>
          <w:bottom w:val="single" w:sz="10" w:space="3" w:color="8B0000"/>
        </w:pBdr>
      </w:pPr>
      <w:r>
        <w:rPr>
          <w:rFonts w:ascii="Calibri" w:hAnsi="Calibri" w:eastAsia="Microsoft YaHei"/>
          <w:b/>
          <w:i w:val="0"/>
          <w:color w:val="8B0000"/>
          <w:sz w:val="32"/>
        </w:rPr>
        <w:t>② 以质取胜</w:t>
      </w:r>
      <w:r>
        <w:rPr>
          <w:rFonts w:ascii="Calibri" w:hAnsi="Calibri" w:eastAsia="Microsoft YaHei"/>
          <w:b w:val="0"/>
          <w:i/>
          <w:color w:val="555555"/>
          <w:sz w:val="20"/>
        </w:rPr>
        <w:t xml:space="preserve">  · Победа за счёт качества (с 九五)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内涵(3)：提质量信誉 + 优化结构(高附加值) + 创名牌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措施(5)：质量立法 · 提科技含量 · 接轨国际标准 · 名牌战略 · 全面质量管理</w:t>
      </w:r>
    </w:p>
    <w:p>
      <w:pPr>
        <w:spacing w:before="60" w:after="140"/>
        <w:shd w:val="clear" w:color="auto" w:fill="EAF3EC"/>
        <w:pBdr>
          <w:left w:val="single" w:sz="20" w:space="8" w:color="1A4D2E"/>
        </w:pBdr>
      </w:pPr>
      <w:r>
        <w:rPr>
          <w:rFonts w:ascii="Calibri" w:hAnsi="Calibri" w:eastAsia="Microsoft YaHei"/>
          <w:b/>
          <w:i w:val="0"/>
          <w:color w:val="1A4D2E"/>
          <w:sz w:val="20"/>
        </w:rPr>
        <w:t xml:space="preserve">💡 </w:t>
      </w:r>
      <w:r>
        <w:rPr>
          <w:rFonts w:ascii="Calibri" w:hAnsi="Calibri" w:eastAsia="Microsoft YaHei"/>
          <w:b w:val="0"/>
          <w:i w:val="0"/>
          <w:color w:val="202020"/>
          <w:sz w:val="20"/>
        </w:rPr>
        <w:t>Качество = решающий фактор конкуренции. Структура ответа: «内涵(3)+措施(5)».</w:t>
      </w:r>
    </w:p>
    <w:p>
      <w:pPr>
        <w:spacing w:before="240"/>
        <w:pBdr>
          <w:bottom w:val="single" w:sz="10" w:space="3" w:color="8B0000"/>
        </w:pBdr>
      </w:pPr>
      <w:r>
        <w:rPr>
          <w:rFonts w:ascii="Calibri" w:hAnsi="Calibri" w:eastAsia="Microsoft YaHei"/>
          <w:b/>
          <w:i w:val="0"/>
          <w:color w:val="8B0000"/>
          <w:sz w:val="32"/>
        </w:rPr>
        <w:t>③ 科技兴贸</w:t>
      </w:r>
      <w:r>
        <w:rPr>
          <w:rFonts w:ascii="Calibri" w:hAnsi="Calibri" w:eastAsia="Microsoft YaHei"/>
          <w:b w:val="0"/>
          <w:i/>
          <w:color w:val="555555"/>
          <w:sz w:val="20"/>
        </w:rPr>
        <w:t xml:space="preserve">  · Торговля через науку и технику (十五)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推动高新技术产品出口，培育竞争力强的企业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用高新技术改造传统出口产业，提高其技术含量和附加值</w:t>
      </w:r>
    </w:p>
    <w:p>
      <w:pPr>
        <w:spacing w:before="60" w:after="140"/>
        <w:shd w:val="clear" w:color="auto" w:fill="EAF3EC"/>
        <w:pBdr>
          <w:left w:val="single" w:sz="20" w:space="8" w:color="1A4D2E"/>
        </w:pBdr>
      </w:pPr>
      <w:r>
        <w:rPr>
          <w:rFonts w:ascii="Calibri" w:hAnsi="Calibri" w:eastAsia="Microsoft YaHei"/>
          <w:b/>
          <w:i w:val="0"/>
          <w:color w:val="1A4D2E"/>
          <w:sz w:val="20"/>
        </w:rPr>
        <w:t xml:space="preserve">💡 </w:t>
      </w:r>
      <w:r>
        <w:rPr>
          <w:rFonts w:ascii="Calibri" w:hAnsi="Calibri" w:eastAsia="Microsoft YaHei"/>
          <w:b w:val="0"/>
          <w:i w:val="0"/>
          <w:color w:val="202020"/>
          <w:sz w:val="20"/>
        </w:rPr>
        <w:t>Две стороны: РАЗВИВАТЬ новое (хайтек) + МОДЕРНИЗИРОВАТЬ старое. Идёт в паре с «以质取胜».</w:t>
      </w:r>
    </w:p>
    <w:p>
      <w:pPr>
        <w:spacing w:before="240"/>
        <w:pBdr>
          <w:bottom w:val="single" w:sz="10" w:space="3" w:color="8B0000"/>
        </w:pBdr>
      </w:pPr>
      <w:r>
        <w:rPr>
          <w:rFonts w:ascii="Calibri" w:hAnsi="Calibri" w:eastAsia="Microsoft YaHei"/>
          <w:b/>
          <w:i w:val="0"/>
          <w:color w:val="8B0000"/>
          <w:sz w:val="32"/>
        </w:rPr>
        <w:t>④ 出口市场多元化</w:t>
      </w:r>
      <w:r>
        <w:rPr>
          <w:rFonts w:ascii="Calibri" w:hAnsi="Calibri" w:eastAsia="Microsoft YaHei"/>
          <w:b w:val="0"/>
          <w:i/>
          <w:color w:val="555555"/>
          <w:sz w:val="20"/>
        </w:rPr>
        <w:t xml:space="preserve">  · Диверсификация рынков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四大传统市场：港澳 · 日本 · 美国 · 欧盟（过度集中→有风险）</w:t>
      </w:r>
    </w:p>
    <w:p>
      <w:pPr>
        <w:spacing w:before="160" w:after="40"/>
      </w:pPr>
      <w:r>
        <w:rPr>
          <w:rFonts w:ascii="Calibri" w:hAnsi="Calibri" w:eastAsia="Microsoft YaHei"/>
          <w:b/>
          <w:i w:val="0"/>
          <w:color w:val="B03010"/>
          <w:sz w:val="25"/>
        </w:rPr>
        <w:t>必要性(4)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减少贸易摩擦、规避风险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出口持续稳定发展（避反倾销）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争取有利贸易条件（防买方垄断压价）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提升在国际分工中的地位（避免被锁在低端）</w:t>
      </w:r>
    </w:p>
    <w:p>
      <w:pPr>
        <w:spacing w:before="160" w:after="40"/>
      </w:pPr>
      <w:r>
        <w:rPr>
          <w:rFonts w:ascii="Calibri" w:hAnsi="Calibri" w:eastAsia="Microsoft YaHei"/>
          <w:b/>
          <w:i w:val="0"/>
          <w:color w:val="B03010"/>
          <w:sz w:val="25"/>
        </w:rPr>
        <w:t>四类市场对策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发达国家市场——深度开发(资金技术来源)，扩大水平分工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亚洲市场——稳定扩大(东盟·韩国·香港转口)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非洲拉美——开拓(适销对路+综合方式)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中亚东欧——扩大(资源+相邻+互补)</w:t>
      </w:r>
    </w:p>
    <w:p>
      <w:pPr>
        <w:spacing w:before="60" w:after="140"/>
        <w:shd w:val="clear" w:color="auto" w:fill="EAF3EC"/>
        <w:pBdr>
          <w:left w:val="single" w:sz="20" w:space="8" w:color="1A4D2E"/>
        </w:pBdr>
      </w:pPr>
      <w:r>
        <w:rPr>
          <w:rFonts w:ascii="Calibri" w:hAnsi="Calibri" w:eastAsia="Microsoft YaHei"/>
          <w:b/>
          <w:i w:val="0"/>
          <w:color w:val="1A4D2E"/>
          <w:sz w:val="20"/>
        </w:rPr>
        <w:t xml:space="preserve">💡 </w:t>
      </w:r>
      <w:r>
        <w:rPr>
          <w:rFonts w:ascii="Calibri" w:hAnsi="Calibri" w:eastAsia="Microsoft YaHei"/>
          <w:b w:val="0"/>
          <w:i w:val="0"/>
          <w:color w:val="202020"/>
          <w:sz w:val="20"/>
        </w:rPr>
        <w:t>4 рынка = 4 глагола: развитые «углублять», Азия «стабилизировать», Африка/ЛатАм «осваивать», ЦентрАзия/ВостЕвропа «расширять».</w:t>
      </w:r>
    </w:p>
    <w:p>
      <w:pPr>
        <w:spacing w:before="240"/>
        <w:pBdr>
          <w:bottom w:val="single" w:sz="10" w:space="3" w:color="8B0000"/>
        </w:pBdr>
      </w:pPr>
      <w:r>
        <w:rPr>
          <w:rFonts w:ascii="Calibri" w:hAnsi="Calibri" w:eastAsia="Microsoft YaHei"/>
          <w:b/>
          <w:i w:val="0"/>
          <w:color w:val="8B0000"/>
          <w:sz w:val="32"/>
        </w:rPr>
        <w:t>⑤ 进口商品战略</w:t>
      </w:r>
      <w:r>
        <w:rPr>
          <w:rFonts w:ascii="Calibri" w:hAnsi="Calibri" w:eastAsia="Microsoft YaHei"/>
          <w:b w:val="0"/>
          <w:i/>
          <w:color w:val="555555"/>
          <w:sz w:val="20"/>
        </w:rPr>
        <w:t xml:space="preserve">  · Импортные товары — что ввозить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引进先进技术和关键设备（四个“确保”：电子信息·能源交通·传统产业改造·农业现代化）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确保重要资源进口（钢材·橡胶·铜·金刚石·白金…）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重视加工贸易物资进口（利用国外资源+国内劳动力，创汇、增就业）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扩大生活必需品与一般消费品进口（如粮食→保国计民生）</w:t>
      </w:r>
    </w:p>
    <w:p>
      <w:pPr>
        <w:spacing w:before="60" w:after="140"/>
        <w:shd w:val="clear" w:color="auto" w:fill="EAF3EC"/>
        <w:pBdr>
          <w:left w:val="single" w:sz="20" w:space="8" w:color="1A4D2E"/>
        </w:pBdr>
      </w:pPr>
      <w:r>
        <w:rPr>
          <w:rFonts w:ascii="Calibri" w:hAnsi="Calibri" w:eastAsia="Microsoft YaHei"/>
          <w:b/>
          <w:i w:val="0"/>
          <w:color w:val="1A4D2E"/>
          <w:sz w:val="20"/>
        </w:rPr>
        <w:t xml:space="preserve">💡 </w:t>
      </w:r>
      <w:r>
        <w:rPr>
          <w:rFonts w:ascii="Calibri" w:hAnsi="Calibri" w:eastAsia="Microsoft YaHei"/>
          <w:b w:val="0"/>
          <w:i w:val="0"/>
          <w:color w:val="202020"/>
          <w:sz w:val="20"/>
        </w:rPr>
        <w:t>Импорт опирается на цели нархозяйства. 4 уровня: технологии → ресурсы → сырьё для давальческой торговли → потребительские товары.</w:t>
      </w:r>
    </w:p>
    <w:p>
      <w:pPr>
        <w:spacing w:before="240"/>
        <w:pBdr>
          <w:bottom w:val="single" w:sz="10" w:space="3" w:color="8B0000"/>
        </w:pBdr>
      </w:pPr>
      <w:r>
        <w:rPr>
          <w:rFonts w:ascii="Calibri" w:hAnsi="Calibri" w:eastAsia="Microsoft YaHei"/>
          <w:b/>
          <w:i w:val="0"/>
          <w:color w:val="8B0000"/>
          <w:sz w:val="32"/>
        </w:rPr>
        <w:t>⑥ 自由贸易区(FTA) / RCEP</w:t>
      </w:r>
      <w:r>
        <w:rPr>
          <w:rFonts w:ascii="Calibri" w:hAnsi="Calibri" w:eastAsia="Microsoft YaHei"/>
          <w:b w:val="0"/>
          <w:i/>
          <w:color w:val="555555"/>
          <w:sz w:val="20"/>
        </w:rPr>
        <w:t xml:space="preserve">  · Зоны свободной торговли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FTA：≥2国签协定，在WTO最惠国基础上进一步开放，分阶段取消关税与非关税壁垒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一体化5级(自由化递增)：优惠贸易安排→自贸区→关税同盟→共同市场→经济同盟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FTA是WTO的“例外”：成员间互给优惠，不必给其他成员；是补充也是深度开放</w:t>
      </w:r>
    </w:p>
    <w:p>
      <w:pPr>
        <w:spacing w:before="160" w:after="40"/>
      </w:pPr>
      <w:r>
        <w:rPr>
          <w:rFonts w:ascii="Calibri" w:hAnsi="Calibri" w:eastAsia="Microsoft YaHei"/>
          <w:b/>
          <w:i w:val="0"/>
          <w:color w:val="B03010"/>
          <w:sz w:val="25"/>
        </w:rPr>
        <w:t>RCEP 必背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全球最大自贸区；2020签署、2022生效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15国 = 东盟10国 + 中日韩澳新（注意：印度未加入）</w:t>
      </w:r>
    </w:p>
    <w:p>
      <w:pPr>
        <w:pStyle w:val="ListBullet"/>
        <w:spacing w:after="20"/>
        <w:ind w:left="312"/>
      </w:pPr>
      <w:r>
        <w:rPr>
          <w:rFonts w:ascii="Calibri" w:hAnsi="Calibri" w:eastAsia="Microsoft YaHei"/>
          <w:b w:val="0"/>
          <w:i w:val="0"/>
          <w:sz w:val="22"/>
        </w:rPr>
        <w:t>覆盖≈全球30%人口·30%GDP·28%贸易；核心=区域内90%以上货物零关税</w:t>
      </w:r>
    </w:p>
    <w:p>
      <w:pPr>
        <w:spacing w:before="60" w:after="140"/>
        <w:shd w:val="clear" w:color="auto" w:fill="EAF3EC"/>
        <w:pBdr>
          <w:left w:val="single" w:sz="20" w:space="8" w:color="1A4D2E"/>
        </w:pBdr>
      </w:pPr>
      <w:r>
        <w:rPr>
          <w:rFonts w:ascii="Calibri" w:hAnsi="Calibri" w:eastAsia="Microsoft YaHei"/>
          <w:b/>
          <w:i w:val="0"/>
          <w:color w:val="1A4D2E"/>
          <w:sz w:val="20"/>
        </w:rPr>
        <w:t xml:space="preserve">💡 </w:t>
      </w:r>
      <w:r>
        <w:rPr>
          <w:rFonts w:ascii="Calibri" w:hAnsi="Calibri" w:eastAsia="Microsoft YaHei"/>
          <w:b w:val="0"/>
          <w:i w:val="0"/>
          <w:color w:val="202020"/>
          <w:sz w:val="20"/>
        </w:rPr>
        <w:t>FTA — исключение из режима наибольшего благоприятствования (MFN). RCEP — крупнейшая ЗСТ: 15 стран (АСЕАН+КНР+Япония+Корея+Австралия+Н.Зеландия), Индии НЕТ. Подписан 2020, в силе с 2022, ≈30% мира.</w:t>
      </w:r>
    </w:p>
    <w:p>
      <w:r>
        <w:br w:type="page"/>
      </w:r>
    </w:p>
    <w:p>
      <w:pPr>
        <w:spacing w:before="240"/>
        <w:pBdr>
          <w:bottom w:val="single" w:sz="10" w:space="3" w:color="8B0000"/>
        </w:pBdr>
      </w:pPr>
      <w:r>
        <w:rPr>
          <w:rFonts w:ascii="Calibri" w:hAnsi="Calibri" w:eastAsia="Microsoft YaHei"/>
          <w:b/>
          <w:i w:val="0"/>
          <w:color w:val="8B0000"/>
          <w:sz w:val="32"/>
        </w:rPr>
        <w:t>速记词汇</w:t>
      </w:r>
      <w:r>
        <w:rPr>
          <w:rFonts w:ascii="Calibri" w:hAnsi="Calibri" w:eastAsia="Microsoft YaHei"/>
          <w:b w:val="0"/>
          <w:i/>
          <w:color w:val="555555"/>
          <w:sz w:val="20"/>
        </w:rPr>
        <w:t xml:space="preserve">  · Мини-словарь ключевых терминов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fill="8B0000"/>
          </w:tcPr>
          <w:p>
            <w:r>
              <w:rPr>
                <w:rFonts w:ascii="Calibri" w:hAnsi="Calibr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5102"/>
            <w:shd w:val="clear" w:fill="8B0000"/>
          </w:tcPr>
          <w:p>
            <w:r>
              <w:rPr>
                <w:rFonts w:ascii="Calibri" w:hAnsi="Calibri" w:eastAsia="Microsoft YaHei"/>
                <w:b/>
                <w:color w:val="FFFFFF"/>
                <w:sz w:val="21"/>
              </w:rPr>
              <w:t>Русский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比较优势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сравнительное преимущество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竞争优势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конкурентное преимущество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初级产品 / 工业制成品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сырьё / промышл. готовые изделия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粗加工 / 精加工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грубая / глубокая переработка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两个转变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«два перехода»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机电产品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электромеханическая продукция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附加值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добавленная стоимость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劳动密集型 / 技术密集型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трудоёмкий / технологоёмкий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粗放型 / 集约型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экстенсивный / интенсивный рост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以质取胜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победа за счёт качества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名牌战略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стратегия брендов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科技兴贸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торговля через науку и технику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加工贸易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давальческая (толлинговая) торговля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三自(品牌·知识产权·营销)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свой бренд / ИС / сбыт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两高一资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энергоёмкие, грязные, сырьевые товары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优进优出 / 大进大出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качественно / просто много ввоз-вывоз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全产业链出口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экспорт всей производств. цепочки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跨境电子商务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трансгранич. электронная торговля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数字贸易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цифровая торговля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市场多元化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диверсификация рынков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贸易摩擦 / 反倾销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торговые трения / антидемпинг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买方垄断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монополия покупателя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国际分工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международное разделение труда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垂直 / 水平分工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вертикальное / горизонтальное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转口市场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реэкспортный (транзитный) рынок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贸易逆差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дефицит (отриц. сальдо) торговли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互补性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взаимодополняемость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自由贸易区(FTA)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зона свободной торговли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最惠国待遇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режим наибольш. благоприятствования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关税 / 非关税壁垒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пошлина / нетарифные барьеры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关税同盟 / 共同市场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таможенный союз / общий рынок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RCEP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Всестор. региональное эконом. партнёрство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零关税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нулевая пошлина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Microsoft YaHei"/>
                <w:b/>
                <w:sz w:val="20"/>
              </w:rPr>
              <w:t>中间品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Microsoft YaHei"/>
                <w:sz w:val="20"/>
              </w:rPr>
              <w:t>промежуточные товары (компоненты)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b/>
          <w:i w:val="0"/>
          <w:color w:val="8B0000"/>
          <w:sz w:val="24"/>
        </w:rPr>
        <w:t>— 加油！Удачи!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