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w:body>
    <w:p w14:paraId="4463EAA1" w14:textId="137F10DC" w:rsidR="004E6E8B" w:rsidRPr="007E2367" w:rsidRDefault="000C4C20" w:rsidP="003A41D6">
      <w:pPr>
        <w:spacing w:line="480" w:lineRule="auto"/>
        <w:rPr>
          <w:b/>
          <w:bCs/>
          <w:sz w:val="24"/>
          <w:szCs w:val="24"/>
          <w:u w:val="single"/>
        </w:rPr>
      </w:pPr>
      <w:r w:rsidRPr="000C4C20">
        <w:rPr>
          <w:b/>
          <w:bCs/>
        </w:rPr>
        <w:t>Assignment: Compliance</w:t>
      </w:r>
      <w:r w:rsidRPr="000C4C20">
        <w:br/>
      </w:r>
      <w:r w:rsidRPr="000C4C20">
        <w:rPr>
          <w:b/>
          <w:bCs/>
        </w:rPr>
        <w:t>Name:</w:t>
      </w:r>
      <w:r w:rsidRPr="000C4C20">
        <w:t xml:space="preserve"> </w:t>
      </w:r>
      <w:r>
        <w:t>Rajesh Ayyappanpillai</w:t>
      </w:r>
      <w:r w:rsidRPr="000C4C20">
        <w:br/>
      </w:r>
      <w:r w:rsidRPr="000C4C20">
        <w:rPr>
          <w:b/>
          <w:bCs/>
        </w:rPr>
        <w:t>Assignment Number:</w:t>
      </w:r>
      <w:r w:rsidRPr="000C4C20">
        <w:t xml:space="preserve"> Module-12</w:t>
      </w:r>
      <w:r>
        <w:br/>
      </w:r>
      <w:r>
        <w:br/>
      </w:r>
      <w:r w:rsidR="004E6E8B" w:rsidRPr="007E2367">
        <w:rPr>
          <w:b/>
          <w:bCs/>
          <w:sz w:val="24"/>
          <w:szCs w:val="24"/>
          <w:u w:val="single"/>
        </w:rPr>
        <w:t>Providing Compliance in Regulated Environments and Relying on Production Telemetry for ATM Systems</w:t>
      </w:r>
    </w:p>
    <w:p w14:paraId="7F46864A" w14:textId="0CB677CE" w:rsidR="004E6E8B" w:rsidRPr="003A41D6" w:rsidRDefault="004E6E8B" w:rsidP="003A41D6">
      <w:pPr>
        <w:spacing w:line="480" w:lineRule="auto"/>
        <w:rPr>
          <w:b/>
          <w:bCs/>
        </w:rPr>
      </w:pPr>
      <w:r w:rsidRPr="000C4C20">
        <w:rPr>
          <w:b/>
          <w:bCs/>
        </w:rPr>
        <w:t>Introduction</w:t>
      </w:r>
    </w:p>
    <w:p w14:paraId="63C111C2" w14:textId="0949A987" w:rsidR="004E6E8B" w:rsidRDefault="000C4C20" w:rsidP="003A41D6">
      <w:pPr>
        <w:spacing w:line="480" w:lineRule="auto"/>
      </w:pPr>
      <w:r w:rsidRPr="000C4C20">
        <w:t>Compliance and reliability are essential for organizations functioning within regulated sectors and those overseeing mission-critical systems. The case studies titled “Providing Compliance in Regulated Environments</w:t>
      </w:r>
      <w:proofErr w:type="gramStart"/>
      <w:r w:rsidRPr="000C4C20">
        <w:t>”</w:t>
      </w:r>
      <w:proofErr w:type="gramEnd"/>
      <w:r w:rsidRPr="000C4C20">
        <w:t xml:space="preserve"> and “Relying on Production Telemetry for ATM Systems” examine the strategies organizations employ to address regulatory requirements while ensuring operational efficiency. This paper aims to encapsulate the key findings of these case studies, emphasizing the challenges encountered, the solutions implemented, and the insights gained, while also considering the wider implications for industry standards and practices.</w:t>
      </w:r>
      <w:r>
        <w:br/>
      </w:r>
    </w:p>
    <w:p w14:paraId="3F8D126E" w14:textId="4F1ECFEF" w:rsidR="004E6E8B" w:rsidRPr="003A41D6" w:rsidRDefault="004E6E8B" w:rsidP="003A41D6">
      <w:pPr>
        <w:spacing w:line="480" w:lineRule="auto"/>
        <w:rPr>
          <w:b/>
          <w:bCs/>
        </w:rPr>
      </w:pPr>
      <w:r w:rsidRPr="003A41D6">
        <w:rPr>
          <w:b/>
          <w:bCs/>
        </w:rPr>
        <w:t>Providing Compliance in Regulated Environments</w:t>
      </w:r>
    </w:p>
    <w:p w14:paraId="4B6462C1" w14:textId="437F1F32" w:rsidR="004E6E8B" w:rsidRDefault="000C4C20" w:rsidP="003A41D6">
      <w:pPr>
        <w:spacing w:line="480" w:lineRule="auto"/>
      </w:pPr>
      <w:r w:rsidRPr="000C4C20">
        <w:t>Organizations operating within regulated industries encounter rigorous compliance obligations that necessitate careful observance of legal frameworks, standards, and internal policies. This case study examines the difficulties and approaches associated with attaining and sustaining compliance.</w:t>
      </w:r>
      <w:r>
        <w:br/>
      </w:r>
    </w:p>
    <w:p w14:paraId="04E84ADD" w14:textId="77777777" w:rsidR="003A41D6" w:rsidRDefault="003A41D6" w:rsidP="003A41D6">
      <w:pPr>
        <w:spacing w:line="480" w:lineRule="auto"/>
        <w:rPr>
          <w:b/>
          <w:bCs/>
        </w:rPr>
      </w:pPr>
    </w:p>
    <w:p w14:paraId="0A59223A" w14:textId="77777777" w:rsidR="007E2367" w:rsidRDefault="007E2367" w:rsidP="003A41D6">
      <w:pPr>
        <w:spacing w:line="480" w:lineRule="auto"/>
        <w:rPr>
          <w:b/>
          <w:bCs/>
        </w:rPr>
      </w:pPr>
    </w:p>
    <w:p w14:paraId="697EC1EB" w14:textId="77777777" w:rsidR="007E2367" w:rsidRDefault="007E2367" w:rsidP="003A41D6">
      <w:pPr>
        <w:spacing w:line="480" w:lineRule="auto"/>
        <w:rPr>
          <w:b/>
          <w:bCs/>
        </w:rPr>
      </w:pPr>
    </w:p>
    <w:p w14:paraId="169EFE25" w14:textId="3EE24BCF" w:rsidR="004E6E8B" w:rsidRPr="007E2367" w:rsidRDefault="004E6E8B" w:rsidP="003A41D6">
      <w:pPr>
        <w:spacing w:line="480" w:lineRule="auto"/>
        <w:rPr>
          <w:b/>
          <w:bCs/>
        </w:rPr>
      </w:pPr>
      <w:r w:rsidRPr="000C4C20">
        <w:rPr>
          <w:b/>
          <w:bCs/>
        </w:rPr>
        <w:lastRenderedPageBreak/>
        <w:t>Main Points</w:t>
      </w:r>
    </w:p>
    <w:p w14:paraId="6C889C71" w14:textId="7A150FEF" w:rsidR="004E6E8B" w:rsidRPr="003A41D6" w:rsidRDefault="004E6E8B" w:rsidP="003A41D6">
      <w:pPr>
        <w:spacing w:line="480" w:lineRule="auto"/>
        <w:rPr>
          <w:b/>
          <w:bCs/>
        </w:rPr>
      </w:pPr>
      <w:r w:rsidRPr="003A41D6">
        <w:rPr>
          <w:b/>
          <w:bCs/>
        </w:rPr>
        <w:t>1. Compliance Challenges:</w:t>
      </w:r>
    </w:p>
    <w:p w14:paraId="656B896A" w14:textId="24CD188A" w:rsidR="004E6E8B" w:rsidRDefault="000C4C20" w:rsidP="003A41D6">
      <w:pPr>
        <w:spacing w:line="480" w:lineRule="auto"/>
      </w:pPr>
      <w:r w:rsidRPr="000C4C20">
        <w:t>Compliance necessitates the administration of a diverse set of regulations that differ across various industries and geographical locations. Reliance on manual methods for monitoring compliance is susceptible to errors and lacks efficiency. Furthermore, routine audits require comprehensive documentation and traceability, thereby imposing an increased burden on teams.</w:t>
      </w:r>
    </w:p>
    <w:p w14:paraId="6983A72F" w14:textId="261BFCCC" w:rsidR="004E6E8B" w:rsidRPr="003A41D6" w:rsidRDefault="004E6E8B" w:rsidP="003A41D6">
      <w:pPr>
        <w:spacing w:line="480" w:lineRule="auto"/>
        <w:rPr>
          <w:b/>
          <w:bCs/>
        </w:rPr>
      </w:pPr>
      <w:r w:rsidRPr="003A41D6">
        <w:rPr>
          <w:b/>
          <w:bCs/>
        </w:rPr>
        <w:t>2. Strategies for Success:</w:t>
      </w:r>
    </w:p>
    <w:p w14:paraId="70AA5071" w14:textId="09FCADEE" w:rsidR="004E6E8B" w:rsidRDefault="004E6E8B" w:rsidP="003A41D6">
      <w:pPr>
        <w:spacing w:line="480" w:lineRule="auto"/>
      </w:pPr>
      <w:r w:rsidRPr="007E2367">
        <w:rPr>
          <w:b/>
          <w:bCs/>
        </w:rPr>
        <w:t xml:space="preserve"> </w:t>
      </w:r>
      <w:r w:rsidR="000C4C20" w:rsidRPr="007E2367">
        <w:rPr>
          <w:b/>
          <w:bCs/>
        </w:rPr>
        <w:t>Automation and Policy-as-Code</w:t>
      </w:r>
      <w:r w:rsidR="000C4C20" w:rsidRPr="000C4C20">
        <w:t>:</w:t>
      </w:r>
      <w:r w:rsidR="000C4C20">
        <w:t xml:space="preserve"> </w:t>
      </w:r>
      <w:r w:rsidR="000C4C20" w:rsidRPr="000C4C20">
        <w:t>The utilization of policy-as-code for automating compliance activities promotes uniformity and minimizes the likelihood of human error. By defining policies in a programmatic manner, organizations can facilitate their implementation and enforcement more effectively.</w:t>
      </w:r>
      <w:r w:rsidR="000C4C20">
        <w:br/>
      </w:r>
      <w:r w:rsidR="000C4C20" w:rsidRPr="007E2367">
        <w:rPr>
          <w:b/>
          <w:bCs/>
        </w:rPr>
        <w:t>Monitoring and Reporting</w:t>
      </w:r>
      <w:r w:rsidR="000C4C20" w:rsidRPr="000C4C20">
        <w:t>: The deployment of comprehensive monitoring solutions enables organizations to observe compliance metrics in real-time and to produce audit reports with ease.</w:t>
      </w:r>
      <w:r w:rsidR="000C4C20">
        <w:br/>
      </w:r>
      <w:r w:rsidR="000C4C20" w:rsidRPr="007E2367">
        <w:rPr>
          <w:b/>
          <w:bCs/>
        </w:rPr>
        <w:t>Transparency:</w:t>
      </w:r>
      <w:r w:rsidR="000C4C20">
        <w:t xml:space="preserve"> </w:t>
      </w:r>
      <w:r w:rsidR="000C4C20" w:rsidRPr="000C4C20">
        <w:t xml:space="preserve"> Maintaining thorough logs and establishing audit trails is essential for fostering trust with regulatory bodies and streamlining the auditing process.</w:t>
      </w:r>
    </w:p>
    <w:p w14:paraId="448D6829" w14:textId="21037779" w:rsidR="004E6E8B" w:rsidRPr="003A41D6" w:rsidRDefault="004E6E8B" w:rsidP="003A41D6">
      <w:pPr>
        <w:spacing w:line="480" w:lineRule="auto"/>
        <w:rPr>
          <w:b/>
          <w:bCs/>
        </w:rPr>
      </w:pPr>
      <w:r w:rsidRPr="003A41D6">
        <w:rPr>
          <w:b/>
          <w:bCs/>
        </w:rPr>
        <w:t>Lessons Learned</w:t>
      </w:r>
    </w:p>
    <w:p w14:paraId="3D3E3D16" w14:textId="20231B8C" w:rsidR="004E6E8B" w:rsidRDefault="000C4C20" w:rsidP="003A41D6">
      <w:pPr>
        <w:spacing w:line="480" w:lineRule="auto"/>
      </w:pPr>
      <w:r w:rsidRPr="000C4C20">
        <w:t>Proactive compliance measures mitigate the likelihood of incurring penalties and protect the reputation of the organization. The integration of automation and technology-based strategies enhances the efficiency of compliance management, enabling teams to concentrate on primary business goals. Fostering a culture that prioritizes compliance within organizations guarantees that employees are aware of and comply with regulations independently of external enforcement.</w:t>
      </w:r>
    </w:p>
    <w:p w14:paraId="4DB0166B" w14:textId="77777777" w:rsidR="007E2367" w:rsidRDefault="000C4C20" w:rsidP="003A41D6">
      <w:pPr>
        <w:spacing w:line="480" w:lineRule="auto"/>
        <w:rPr>
          <w:b/>
          <w:bCs/>
        </w:rPr>
      </w:pPr>
      <w:r>
        <w:br/>
      </w:r>
    </w:p>
    <w:p w14:paraId="26052B0F" w14:textId="77777777" w:rsidR="007E2367" w:rsidRDefault="007E2367" w:rsidP="003A41D6">
      <w:pPr>
        <w:spacing w:line="480" w:lineRule="auto"/>
        <w:rPr>
          <w:b/>
          <w:bCs/>
        </w:rPr>
      </w:pPr>
    </w:p>
    <w:p w14:paraId="5EB77259" w14:textId="7758D58B" w:rsidR="004E6E8B" w:rsidRPr="003A41D6" w:rsidRDefault="004E6E8B" w:rsidP="003A41D6">
      <w:pPr>
        <w:spacing w:line="480" w:lineRule="auto"/>
        <w:rPr>
          <w:b/>
          <w:bCs/>
        </w:rPr>
      </w:pPr>
      <w:r w:rsidRPr="003A41D6">
        <w:rPr>
          <w:b/>
          <w:bCs/>
        </w:rPr>
        <w:lastRenderedPageBreak/>
        <w:t>Relying on Production Telemetry for ATM Systems</w:t>
      </w:r>
    </w:p>
    <w:p w14:paraId="31D25CB1" w14:textId="66EC82D7" w:rsidR="004E6E8B" w:rsidRDefault="000C4C20" w:rsidP="003A41D6">
      <w:pPr>
        <w:spacing w:line="480" w:lineRule="auto"/>
      </w:pPr>
      <w:r w:rsidRPr="000C4C20">
        <w:t>In the realm of ATM systems, the importance of reliability and operational continuity cannot be overstated. This case study illustrates how production telemetry functions as an essential instrument for overseeing and enhancing system performance.</w:t>
      </w:r>
    </w:p>
    <w:p w14:paraId="6E3AC64B" w14:textId="06F5974F" w:rsidR="004E6E8B" w:rsidRPr="000C4C20" w:rsidRDefault="004E6E8B" w:rsidP="003A41D6">
      <w:pPr>
        <w:spacing w:line="480" w:lineRule="auto"/>
        <w:rPr>
          <w:b/>
          <w:bCs/>
        </w:rPr>
      </w:pPr>
      <w:r w:rsidRPr="000C4C20">
        <w:rPr>
          <w:b/>
          <w:bCs/>
        </w:rPr>
        <w:t>Main Points</w:t>
      </w:r>
    </w:p>
    <w:p w14:paraId="341D25AB" w14:textId="4F682CD1" w:rsidR="004E6E8B" w:rsidRPr="007E2367" w:rsidRDefault="004E6E8B" w:rsidP="003A41D6">
      <w:pPr>
        <w:spacing w:line="480" w:lineRule="auto"/>
        <w:rPr>
          <w:b/>
          <w:bCs/>
        </w:rPr>
      </w:pPr>
      <w:r w:rsidRPr="007E2367">
        <w:rPr>
          <w:b/>
          <w:bCs/>
        </w:rPr>
        <w:t>1. The Role of Telemetry:</w:t>
      </w:r>
    </w:p>
    <w:p w14:paraId="6D04FFA1" w14:textId="712504B6" w:rsidR="004E6E8B" w:rsidRDefault="000C4C20" w:rsidP="003A41D6">
      <w:pPr>
        <w:spacing w:line="480" w:lineRule="auto"/>
      </w:pPr>
      <w:r w:rsidRPr="000C4C20">
        <w:t>Telemetry encompasses the acquisition of real-time operational data, which is essential for assessing the health and performance of systems. Air Traffic Management (ATM) systems rely on telemetry to identify irregularities, anticipate potential failures, and address problems in a proactive manner.</w:t>
      </w:r>
    </w:p>
    <w:p w14:paraId="73CFABB6" w14:textId="7B33A4D5" w:rsidR="004E6E8B" w:rsidRPr="007E2367" w:rsidRDefault="004E6E8B" w:rsidP="003A41D6">
      <w:pPr>
        <w:spacing w:line="480" w:lineRule="auto"/>
        <w:rPr>
          <w:b/>
          <w:bCs/>
        </w:rPr>
      </w:pPr>
      <w:r w:rsidRPr="007E2367">
        <w:rPr>
          <w:b/>
          <w:bCs/>
        </w:rPr>
        <w:t>2. Challenges in Telemetry Implementation:</w:t>
      </w:r>
    </w:p>
    <w:p w14:paraId="53D4D8AE" w14:textId="191FCDBE" w:rsidR="004E6E8B" w:rsidRPr="007E2367" w:rsidRDefault="000C4C20" w:rsidP="003A41D6">
      <w:pPr>
        <w:spacing w:line="480" w:lineRule="auto"/>
        <w:rPr>
          <w:b/>
          <w:bCs/>
        </w:rPr>
      </w:pPr>
      <w:r w:rsidRPr="000C4C20">
        <w:t>The acquisition and examination of extensive data sets in real time necessitate a strong and reliable infrastructure. Furthermore, maintaining the integrity and security of this data is of paramount importance, as any compromise could result in significant repercussions.</w:t>
      </w:r>
      <w:r>
        <w:br/>
      </w:r>
      <w:r>
        <w:br/>
      </w:r>
      <w:r w:rsidR="004E6E8B" w:rsidRPr="007E2367">
        <w:rPr>
          <w:b/>
          <w:bCs/>
        </w:rPr>
        <w:t>3. Benefits of Telemetry:</w:t>
      </w:r>
    </w:p>
    <w:p w14:paraId="508113F8" w14:textId="21434694" w:rsidR="004E6E8B" w:rsidRDefault="000C4C20" w:rsidP="003A41D6">
      <w:pPr>
        <w:spacing w:line="480" w:lineRule="auto"/>
      </w:pPr>
      <w:r w:rsidRPr="007E2367">
        <w:rPr>
          <w:b/>
          <w:bCs/>
        </w:rPr>
        <w:t>Anomaly Detection:</w:t>
      </w:r>
      <w:r w:rsidRPr="000C4C20">
        <w:t xml:space="preserve"> The use of telemetry facilitates the swift recognition of deviations, thereby averting minor complications from developing into major malfunctions. </w:t>
      </w:r>
      <w:r>
        <w:br/>
      </w:r>
      <w:r w:rsidRPr="007E2367">
        <w:rPr>
          <w:b/>
          <w:bCs/>
        </w:rPr>
        <w:t>Downtime Reduction:</w:t>
      </w:r>
      <w:r w:rsidRPr="000C4C20">
        <w:t xml:space="preserve"> By taking a proactive approach to problem-solving, organizations can significantly reduce instances of service disruption. </w:t>
      </w:r>
      <w:r>
        <w:br/>
      </w:r>
      <w:r w:rsidRPr="007E2367">
        <w:rPr>
          <w:b/>
          <w:bCs/>
        </w:rPr>
        <w:t>Improved User Experience:</w:t>
      </w:r>
      <w:r w:rsidRPr="000C4C20">
        <w:t xml:space="preserve"> Consistent and dependable ATM services contribute to heightened customer satisfaction and foster trust among users.</w:t>
      </w:r>
    </w:p>
    <w:p w14:paraId="2BB27521" w14:textId="77777777" w:rsidR="007E2367" w:rsidRDefault="007E2367" w:rsidP="003A41D6">
      <w:pPr>
        <w:spacing w:line="480" w:lineRule="auto"/>
      </w:pPr>
    </w:p>
    <w:p w14:paraId="32041257" w14:textId="77777777" w:rsidR="007E2367" w:rsidRDefault="007E2367" w:rsidP="003A41D6">
      <w:pPr>
        <w:spacing w:line="480" w:lineRule="auto"/>
      </w:pPr>
    </w:p>
    <w:p w14:paraId="02E7F161" w14:textId="4DF7AF12" w:rsidR="004E6E8B" w:rsidRPr="007E2367" w:rsidRDefault="004E6E8B" w:rsidP="003A41D6">
      <w:pPr>
        <w:spacing w:line="480" w:lineRule="auto"/>
        <w:rPr>
          <w:b/>
          <w:bCs/>
        </w:rPr>
      </w:pPr>
      <w:r w:rsidRPr="007E2367">
        <w:rPr>
          <w:b/>
          <w:bCs/>
        </w:rPr>
        <w:lastRenderedPageBreak/>
        <w:t>Lessons Learned</w:t>
      </w:r>
    </w:p>
    <w:p w14:paraId="42EE7767" w14:textId="77777777" w:rsidR="000C4C20" w:rsidRDefault="000C4C20" w:rsidP="003A41D6">
      <w:pPr>
        <w:spacing w:line="480" w:lineRule="auto"/>
      </w:pPr>
      <w:r w:rsidRPr="000C4C20">
        <w:t>Continuous monitoring is essential for maintaining the reliability of systems that are critical to mission success. Establishing a robust telemetry framework yields significant benefits in terms of operational effectiveness and fostering customer confidence. Furthermore, telemetry data serves important compliance functions, including the documentation of system uptime and adherence to service-level agreements (SLAs).</w:t>
      </w:r>
    </w:p>
    <w:p w14:paraId="100D9BA0" w14:textId="61407469" w:rsidR="004E6E8B" w:rsidRPr="007E2367" w:rsidRDefault="000C4C20" w:rsidP="003A41D6">
      <w:pPr>
        <w:spacing w:line="480" w:lineRule="auto"/>
        <w:rPr>
          <w:b/>
          <w:bCs/>
        </w:rPr>
      </w:pPr>
      <w:r>
        <w:t xml:space="preserve"> </w:t>
      </w:r>
      <w:r w:rsidR="004E6E8B" w:rsidRPr="007E2367">
        <w:rPr>
          <w:b/>
          <w:bCs/>
        </w:rPr>
        <w:t>Conclusion</w:t>
      </w:r>
    </w:p>
    <w:p w14:paraId="2D1C16F0" w14:textId="77777777" w:rsidR="000C4C20" w:rsidRDefault="000C4C20" w:rsidP="003A41D6">
      <w:pPr>
        <w:spacing w:line="480" w:lineRule="auto"/>
      </w:pPr>
      <w:r w:rsidRPr="000C4C20">
        <w:t>The examination of compliance and production telemetry case studies emphasizes the critical role of technology in tackling regulatory and operational hurdles. In environments subject to regulation, the implementation of proactive compliance strategies, such as policy-as-code and automated monitoring, facilitates streamlined processes and mitigates risk. For essential systems like ATMs, telemetry plays a vital role in ensuring reliability, reducing downtime, and fostering customer confidence. Collectively, these findings reveal a significant trend: the incorporation of automation, real-time data, and a culture centered on compliance as essential components for achieving success in contemporary organizations. By adopting these methodologies, businesses can effectively navigate intricate regulatory frameworks and deliver outstanding performance, thereby solidifying their competitive edge in the market.</w:t>
      </w:r>
    </w:p>
    <w:p w14:paraId="4E5F072A" w14:textId="49E1EAD2" w:rsidR="000C4C20" w:rsidRDefault="000C4C20" w:rsidP="003A41D6">
      <w:pPr>
        <w:spacing w:line="480" w:lineRule="auto"/>
      </w:pPr>
      <w:r>
        <w:t xml:space="preserve"> </w:t>
      </w:r>
    </w:p>
    <w:p w14:paraId="3283FE2B" w14:textId="71F5B696" w:rsidR="004E6E8B" w:rsidRDefault="004E6E8B" w:rsidP="003A41D6">
      <w:pPr>
        <w:spacing w:line="480" w:lineRule="auto"/>
      </w:pPr>
      <w:r>
        <w:t>References</w:t>
      </w:r>
    </w:p>
    <w:p w14:paraId="4271AFD7" w14:textId="7086F27B" w:rsidR="00054267" w:rsidRPr="00054267" w:rsidRDefault="00054267" w:rsidP="003A41D6">
      <w:pPr>
        <w:spacing w:after="160" w:line="480" w:lineRule="auto"/>
      </w:pPr>
      <w:r w:rsidRPr="00054267">
        <w:t>Infrastructure as Code, 2nd Edition</w:t>
      </w:r>
      <w:r>
        <w:t xml:space="preserve"> </w:t>
      </w:r>
      <w:r w:rsidRPr="00054267">
        <w:t>by </w:t>
      </w:r>
      <w:hyperlink r:id="rId4" w:history="1">
        <w:r w:rsidRPr="00054267">
          <w:rPr>
            <w:rStyle w:val="Hyperlink"/>
          </w:rPr>
          <w:t>Kief Morris</w:t>
        </w:r>
      </w:hyperlink>
    </w:p>
    <w:p w14:paraId="6B7F7824" w14:textId="22A540B1" w:rsidR="004E6E8B" w:rsidRDefault="00054267" w:rsidP="003A41D6">
      <w:pPr>
        <w:spacing w:line="480" w:lineRule="auto"/>
      </w:pPr>
      <w:hyperlink r:id="rId5" w:history="1">
        <w:r w:rsidRPr="00B857A7">
          <w:rPr>
            <w:rStyle w:val="Hyperlink"/>
          </w:rPr>
          <w:t>https://www.oreilly.com/library/view/infrastructure-as-code/9781098114664/</w:t>
        </w:r>
      </w:hyperlink>
    </w:p>
    <w:p w14:paraId="7AB3E116" w14:textId="33DA1D37" w:rsidR="00054267" w:rsidRDefault="004E6E8B" w:rsidP="003A41D6">
      <w:pPr>
        <w:spacing w:line="480" w:lineRule="auto"/>
      </w:pPr>
      <w:r>
        <w:t>Case Study: “Relying on Production Telemetry for ATM Systems</w:t>
      </w:r>
      <w:r w:rsidR="00054267">
        <w:t xml:space="preserve"> : </w:t>
      </w:r>
      <w:hyperlink r:id="rId6" w:history="1">
        <w:r w:rsidR="00054267" w:rsidRPr="00B857A7">
          <w:rPr>
            <w:rStyle w:val="Hyperlink"/>
          </w:rPr>
          <w:t>https://www.linuxsecops.org/files/The%20DevOps%20Handbook.pdf</w:t>
        </w:r>
      </w:hyperlink>
    </w:p>
    <w:p w14:paraId="457095BB" w14:textId="77777777" w:rsidR="00857226" w:rsidRDefault="00857226" w:rsidP="003A41D6">
      <w:pPr>
        <w:spacing w:line="480" w:lineRule="auto"/>
      </w:pPr>
    </w:p>
    <w:sectPr w:rsidR="0085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8B"/>
    <w:rsid w:val="00036F3F"/>
    <w:rsid w:val="00054267"/>
    <w:rsid w:val="000578D4"/>
    <w:rsid w:val="000C4C20"/>
    <w:rsid w:val="002661C9"/>
    <w:rsid w:val="002F7293"/>
    <w:rsid w:val="003A41D6"/>
    <w:rsid w:val="004A6C10"/>
    <w:rsid w:val="004E6E8B"/>
    <w:rsid w:val="004E7C91"/>
    <w:rsid w:val="0054549A"/>
    <w:rsid w:val="0059674E"/>
    <w:rsid w:val="0068085F"/>
    <w:rsid w:val="007E2367"/>
    <w:rsid w:val="00857226"/>
    <w:rsid w:val="009227CA"/>
    <w:rsid w:val="00A136EC"/>
    <w:rsid w:val="00BE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2A0F"/>
  <w15:chartTrackingRefBased/>
  <w15:docId w15:val="{4D8B7827-0A52-45C8-9872-580B742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367"/>
  </w:style>
  <w:style w:type="paragraph" w:styleId="Heading1">
    <w:name w:val="heading 1"/>
    <w:basedOn w:val="Normal"/>
    <w:next w:val="Normal"/>
    <w:link w:val="Heading1Char"/>
    <w:uiPriority w:val="9"/>
    <w:qFormat/>
    <w:rsid w:val="007E236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E236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E2367"/>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7E2367"/>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7E2367"/>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7E2367"/>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7E2367"/>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7E23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23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67"/>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7E2367"/>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7E2367"/>
    <w:rPr>
      <w:caps/>
      <w:color w:val="0A2F40" w:themeColor="accent1" w:themeShade="7F"/>
      <w:spacing w:val="15"/>
    </w:rPr>
  </w:style>
  <w:style w:type="character" w:customStyle="1" w:styleId="Heading4Char">
    <w:name w:val="Heading 4 Char"/>
    <w:basedOn w:val="DefaultParagraphFont"/>
    <w:link w:val="Heading4"/>
    <w:uiPriority w:val="9"/>
    <w:semiHidden/>
    <w:rsid w:val="007E2367"/>
    <w:rPr>
      <w:caps/>
      <w:color w:val="0F4761" w:themeColor="accent1" w:themeShade="BF"/>
      <w:spacing w:val="10"/>
    </w:rPr>
  </w:style>
  <w:style w:type="character" w:customStyle="1" w:styleId="Heading5Char">
    <w:name w:val="Heading 5 Char"/>
    <w:basedOn w:val="DefaultParagraphFont"/>
    <w:link w:val="Heading5"/>
    <w:uiPriority w:val="9"/>
    <w:semiHidden/>
    <w:rsid w:val="007E2367"/>
    <w:rPr>
      <w:caps/>
      <w:color w:val="0F4761" w:themeColor="accent1" w:themeShade="BF"/>
      <w:spacing w:val="10"/>
    </w:rPr>
  </w:style>
  <w:style w:type="character" w:customStyle="1" w:styleId="Heading6Char">
    <w:name w:val="Heading 6 Char"/>
    <w:basedOn w:val="DefaultParagraphFont"/>
    <w:link w:val="Heading6"/>
    <w:uiPriority w:val="9"/>
    <w:semiHidden/>
    <w:rsid w:val="007E2367"/>
    <w:rPr>
      <w:caps/>
      <w:color w:val="0F4761" w:themeColor="accent1" w:themeShade="BF"/>
      <w:spacing w:val="10"/>
    </w:rPr>
  </w:style>
  <w:style w:type="character" w:customStyle="1" w:styleId="Heading7Char">
    <w:name w:val="Heading 7 Char"/>
    <w:basedOn w:val="DefaultParagraphFont"/>
    <w:link w:val="Heading7"/>
    <w:uiPriority w:val="9"/>
    <w:semiHidden/>
    <w:rsid w:val="007E2367"/>
    <w:rPr>
      <w:caps/>
      <w:color w:val="0F4761" w:themeColor="accent1" w:themeShade="BF"/>
      <w:spacing w:val="10"/>
    </w:rPr>
  </w:style>
  <w:style w:type="character" w:customStyle="1" w:styleId="Heading8Char">
    <w:name w:val="Heading 8 Char"/>
    <w:basedOn w:val="DefaultParagraphFont"/>
    <w:link w:val="Heading8"/>
    <w:uiPriority w:val="9"/>
    <w:semiHidden/>
    <w:rsid w:val="007E2367"/>
    <w:rPr>
      <w:caps/>
      <w:spacing w:val="10"/>
      <w:sz w:val="18"/>
      <w:szCs w:val="18"/>
    </w:rPr>
  </w:style>
  <w:style w:type="character" w:customStyle="1" w:styleId="Heading9Char">
    <w:name w:val="Heading 9 Char"/>
    <w:basedOn w:val="DefaultParagraphFont"/>
    <w:link w:val="Heading9"/>
    <w:uiPriority w:val="9"/>
    <w:semiHidden/>
    <w:rsid w:val="007E2367"/>
    <w:rPr>
      <w:i/>
      <w:iCs/>
      <w:caps/>
      <w:spacing w:val="10"/>
      <w:sz w:val="18"/>
      <w:szCs w:val="18"/>
    </w:rPr>
  </w:style>
  <w:style w:type="paragraph" w:styleId="Title">
    <w:name w:val="Title"/>
    <w:basedOn w:val="Normal"/>
    <w:next w:val="Normal"/>
    <w:link w:val="TitleChar"/>
    <w:uiPriority w:val="10"/>
    <w:qFormat/>
    <w:rsid w:val="007E236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7E2367"/>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7E23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2367"/>
    <w:rPr>
      <w:caps/>
      <w:color w:val="595959" w:themeColor="text1" w:themeTint="A6"/>
      <w:spacing w:val="10"/>
      <w:sz w:val="21"/>
      <w:szCs w:val="21"/>
    </w:rPr>
  </w:style>
  <w:style w:type="paragraph" w:styleId="Quote">
    <w:name w:val="Quote"/>
    <w:basedOn w:val="Normal"/>
    <w:next w:val="Normal"/>
    <w:link w:val="QuoteChar"/>
    <w:uiPriority w:val="29"/>
    <w:qFormat/>
    <w:rsid w:val="007E2367"/>
    <w:rPr>
      <w:i/>
      <w:iCs/>
      <w:sz w:val="24"/>
      <w:szCs w:val="24"/>
    </w:rPr>
  </w:style>
  <w:style w:type="character" w:customStyle="1" w:styleId="QuoteChar">
    <w:name w:val="Quote Char"/>
    <w:basedOn w:val="DefaultParagraphFont"/>
    <w:link w:val="Quote"/>
    <w:uiPriority w:val="29"/>
    <w:rsid w:val="007E2367"/>
    <w:rPr>
      <w:i/>
      <w:iCs/>
      <w:sz w:val="24"/>
      <w:szCs w:val="24"/>
    </w:rPr>
  </w:style>
  <w:style w:type="paragraph" w:styleId="ListParagraph">
    <w:name w:val="List Paragraph"/>
    <w:basedOn w:val="Normal"/>
    <w:uiPriority w:val="34"/>
    <w:qFormat/>
    <w:rsid w:val="004E6E8B"/>
    <w:pPr>
      <w:ind w:left="720"/>
      <w:contextualSpacing/>
    </w:pPr>
  </w:style>
  <w:style w:type="character" w:styleId="IntenseEmphasis">
    <w:name w:val="Intense Emphasis"/>
    <w:uiPriority w:val="21"/>
    <w:qFormat/>
    <w:rsid w:val="007E2367"/>
    <w:rPr>
      <w:b/>
      <w:bCs/>
      <w:caps/>
      <w:color w:val="0A2F40" w:themeColor="accent1" w:themeShade="7F"/>
      <w:spacing w:val="10"/>
    </w:rPr>
  </w:style>
  <w:style w:type="paragraph" w:styleId="IntenseQuote">
    <w:name w:val="Intense Quote"/>
    <w:basedOn w:val="Normal"/>
    <w:next w:val="Normal"/>
    <w:link w:val="IntenseQuoteChar"/>
    <w:uiPriority w:val="30"/>
    <w:qFormat/>
    <w:rsid w:val="007E2367"/>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7E2367"/>
    <w:rPr>
      <w:color w:val="156082" w:themeColor="accent1"/>
      <w:sz w:val="24"/>
      <w:szCs w:val="24"/>
    </w:rPr>
  </w:style>
  <w:style w:type="character" w:styleId="IntenseReference">
    <w:name w:val="Intense Reference"/>
    <w:uiPriority w:val="32"/>
    <w:qFormat/>
    <w:rsid w:val="007E2367"/>
    <w:rPr>
      <w:b/>
      <w:bCs/>
      <w:i/>
      <w:iCs/>
      <w:caps/>
      <w:color w:val="156082" w:themeColor="accent1"/>
    </w:rPr>
  </w:style>
  <w:style w:type="character" w:styleId="Hyperlink">
    <w:name w:val="Hyperlink"/>
    <w:basedOn w:val="DefaultParagraphFont"/>
    <w:uiPriority w:val="99"/>
    <w:unhideWhenUsed/>
    <w:rsid w:val="00054267"/>
    <w:rPr>
      <w:color w:val="467886" w:themeColor="hyperlink"/>
      <w:u w:val="single"/>
    </w:rPr>
  </w:style>
  <w:style w:type="character" w:styleId="UnresolvedMention">
    <w:name w:val="Unresolved Mention"/>
    <w:basedOn w:val="DefaultParagraphFont"/>
    <w:uiPriority w:val="99"/>
    <w:semiHidden/>
    <w:unhideWhenUsed/>
    <w:rsid w:val="00054267"/>
    <w:rPr>
      <w:color w:val="605E5C"/>
      <w:shd w:val="clear" w:color="auto" w:fill="E1DFDD"/>
    </w:rPr>
  </w:style>
  <w:style w:type="paragraph" w:styleId="Caption">
    <w:name w:val="caption"/>
    <w:basedOn w:val="Normal"/>
    <w:next w:val="Normal"/>
    <w:uiPriority w:val="35"/>
    <w:semiHidden/>
    <w:unhideWhenUsed/>
    <w:qFormat/>
    <w:rsid w:val="007E2367"/>
    <w:rPr>
      <w:b/>
      <w:bCs/>
      <w:color w:val="0F4761" w:themeColor="accent1" w:themeShade="BF"/>
      <w:sz w:val="16"/>
      <w:szCs w:val="16"/>
    </w:rPr>
  </w:style>
  <w:style w:type="character" w:styleId="Strong">
    <w:name w:val="Strong"/>
    <w:uiPriority w:val="22"/>
    <w:qFormat/>
    <w:rsid w:val="007E2367"/>
    <w:rPr>
      <w:b/>
      <w:bCs/>
    </w:rPr>
  </w:style>
  <w:style w:type="character" w:styleId="Emphasis">
    <w:name w:val="Emphasis"/>
    <w:uiPriority w:val="20"/>
    <w:qFormat/>
    <w:rsid w:val="007E2367"/>
    <w:rPr>
      <w:caps/>
      <w:color w:val="0A2F40" w:themeColor="accent1" w:themeShade="7F"/>
      <w:spacing w:val="5"/>
    </w:rPr>
  </w:style>
  <w:style w:type="paragraph" w:styleId="NoSpacing">
    <w:name w:val="No Spacing"/>
    <w:uiPriority w:val="1"/>
    <w:qFormat/>
    <w:rsid w:val="007E2367"/>
    <w:pPr>
      <w:spacing w:after="0" w:line="240" w:lineRule="auto"/>
    </w:pPr>
  </w:style>
  <w:style w:type="character" w:styleId="SubtleEmphasis">
    <w:name w:val="Subtle Emphasis"/>
    <w:uiPriority w:val="19"/>
    <w:qFormat/>
    <w:rsid w:val="007E2367"/>
    <w:rPr>
      <w:i/>
      <w:iCs/>
      <w:color w:val="0A2F40" w:themeColor="accent1" w:themeShade="7F"/>
    </w:rPr>
  </w:style>
  <w:style w:type="character" w:styleId="SubtleReference">
    <w:name w:val="Subtle Reference"/>
    <w:uiPriority w:val="31"/>
    <w:qFormat/>
    <w:rsid w:val="007E2367"/>
    <w:rPr>
      <w:b/>
      <w:bCs/>
      <w:color w:val="156082" w:themeColor="accent1"/>
    </w:rPr>
  </w:style>
  <w:style w:type="character" w:styleId="BookTitle">
    <w:name w:val="Book Title"/>
    <w:uiPriority w:val="33"/>
    <w:qFormat/>
    <w:rsid w:val="007E2367"/>
    <w:rPr>
      <w:b/>
      <w:bCs/>
      <w:i/>
      <w:iCs/>
      <w:spacing w:val="0"/>
    </w:rPr>
  </w:style>
  <w:style w:type="paragraph" w:styleId="TOCHeading">
    <w:name w:val="TOC Heading"/>
    <w:basedOn w:val="Heading1"/>
    <w:next w:val="Normal"/>
    <w:uiPriority w:val="39"/>
    <w:semiHidden/>
    <w:unhideWhenUsed/>
    <w:qFormat/>
    <w:rsid w:val="007E23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103544">
      <w:bodyDiv w:val="1"/>
      <w:marLeft w:val="0"/>
      <w:marRight w:val="0"/>
      <w:marTop w:val="0"/>
      <w:marBottom w:val="0"/>
      <w:divBdr>
        <w:top w:val="none" w:sz="0" w:space="0" w:color="auto"/>
        <w:left w:val="none" w:sz="0" w:space="0" w:color="auto"/>
        <w:bottom w:val="none" w:sz="0" w:space="0" w:color="auto"/>
        <w:right w:val="none" w:sz="0" w:space="0" w:color="auto"/>
      </w:divBdr>
      <w:divsChild>
        <w:div w:id="1709143984">
          <w:marLeft w:val="0"/>
          <w:marRight w:val="0"/>
          <w:marTop w:val="0"/>
          <w:marBottom w:val="0"/>
          <w:divBdr>
            <w:top w:val="none" w:sz="0" w:space="0" w:color="auto"/>
            <w:left w:val="none" w:sz="0" w:space="0" w:color="auto"/>
            <w:bottom w:val="none" w:sz="0" w:space="0" w:color="auto"/>
            <w:right w:val="none" w:sz="0" w:space="0" w:color="auto"/>
          </w:divBdr>
        </w:div>
      </w:divsChild>
    </w:div>
    <w:div w:id="1623028976">
      <w:bodyDiv w:val="1"/>
      <w:marLeft w:val="0"/>
      <w:marRight w:val="0"/>
      <w:marTop w:val="0"/>
      <w:marBottom w:val="0"/>
      <w:divBdr>
        <w:top w:val="none" w:sz="0" w:space="0" w:color="auto"/>
        <w:left w:val="none" w:sz="0" w:space="0" w:color="auto"/>
        <w:bottom w:val="none" w:sz="0" w:space="0" w:color="auto"/>
        <w:right w:val="none" w:sz="0" w:space="0" w:color="auto"/>
      </w:divBdr>
      <w:divsChild>
        <w:div w:id="82408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uxsecops.org/files/The%20DevOps%20Handbook.pdf" TargetMode="External"/><Relationship Id="rId5" Type="http://schemas.openxmlformats.org/officeDocument/2006/relationships/hyperlink" Target="https://www.oreilly.com/library/view/infrastructure-as-code/9781098114664/" TargetMode="External"/><Relationship Id="rId4" Type="http://schemas.openxmlformats.org/officeDocument/2006/relationships/hyperlink" Target="https://www.oreilly.com/search?q=author:%22Kief%20Morri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dc:creator>
  <cp:keywords/>
  <dc:description/>
  <cp:lastModifiedBy>Rajesh A</cp:lastModifiedBy>
  <cp:revision>7</cp:revision>
  <dcterms:created xsi:type="dcterms:W3CDTF">2024-12-16T21:43:00Z</dcterms:created>
  <dcterms:modified xsi:type="dcterms:W3CDTF">2024-12-17T03:48:00Z</dcterms:modified>
</cp:coreProperties>
</file>