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华文中宋" w:hAnsi="华文中宋" w:eastAsia="华文中宋"/>
          <w:b/>
        </w:rPr>
      </w:pPr>
      <w:r>
        <w:rPr>
          <w:rFonts w:hint="eastAsia" w:ascii="华文中宋" w:hAnsi="华文中宋" w:eastAsia="华文中宋"/>
          <w:b/>
          <w:sz w:val="36"/>
        </w:rPr>
        <w:t>{{province}}农作物秸秆</w:t>
      </w:r>
      <w:r>
        <w:rPr>
          <w:rFonts w:ascii="华文中宋" w:hAnsi="华文中宋" w:eastAsia="华文中宋"/>
          <w:b/>
          <w:sz w:val="36"/>
        </w:rPr>
        <w:t>产</w:t>
      </w:r>
      <w:r>
        <w:rPr>
          <w:rFonts w:hint="eastAsia" w:ascii="华文中宋" w:hAnsi="华文中宋" w:eastAsia="华文中宋"/>
          <w:b/>
          <w:sz w:val="36"/>
        </w:rPr>
        <w:t>生</w:t>
      </w:r>
      <w:r>
        <w:rPr>
          <w:rFonts w:ascii="华文中宋" w:hAnsi="华文中宋" w:eastAsia="华文中宋"/>
          <w:b/>
          <w:sz w:val="36"/>
        </w:rPr>
        <w:t>与利用情况分析报告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宋体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{{year}}年</w:t>
      </w:r>
      <w:r>
        <w:rPr>
          <w:rFonts w:ascii="宋体" w:hAnsi="宋体" w:eastAsia="宋体" w:cs="宋体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{{province}}农作物秸秆</w:t>
      </w:r>
      <w:r>
        <w:rPr>
          <w:rFonts w:ascii="宋体" w:hAnsi="宋体" w:eastAsia="宋体" w:cs="宋体"/>
          <w:color w:val="000000"/>
          <w:kern w:val="0"/>
          <w:szCs w:val="24"/>
        </w:rPr>
        <w:t>产生量为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{{produce}}</w:t>
      </w:r>
      <w:r>
        <w:rPr>
          <w:rFonts w:ascii="宋体" w:hAnsi="宋体" w:eastAsia="宋体" w:cs="宋体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可收集量为{{collected}}，</w:t>
      </w:r>
      <w:r>
        <w:rPr>
          <w:rFonts w:ascii="宋体" w:hAnsi="宋体" w:eastAsia="宋体" w:cs="宋体"/>
          <w:color w:val="000000"/>
          <w:kern w:val="0"/>
          <w:szCs w:val="24"/>
        </w:rPr>
        <w:t>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为{{prostill}}</w:t>
      </w:r>
      <w:r>
        <w:rPr>
          <w:rFonts w:ascii="宋体" w:hAnsi="宋体" w:eastAsia="宋体" w:cs="宋体"/>
          <w:color w:val="000000"/>
          <w:kern w:val="0"/>
          <w:szCs w:val="24"/>
        </w:rPr>
        <w:t>，综合利用率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{{comRatio}}，</w:t>
      </w:r>
      <w:r>
        <w:rPr>
          <w:rFonts w:ascii="宋体" w:hAnsi="宋体" w:eastAsia="宋体" w:cs="宋体"/>
          <w:color w:val="000000"/>
          <w:kern w:val="0"/>
          <w:szCs w:val="24"/>
        </w:rPr>
        <w:t>较上年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{{comRatioCompare}}{{crcPer}}</w:t>
      </w:r>
      <w:r>
        <w:rPr>
          <w:rFonts w:ascii="宋体" w:hAnsi="宋体" w:eastAsia="宋体" w:cs="宋体"/>
          <w:color w:val="000000"/>
          <w:kern w:val="0"/>
          <w:szCs w:val="24"/>
        </w:rPr>
        <w:t>个百分点。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0" w:name="_Toc46671726"/>
      <w:r>
        <w:rPr>
          <w:rFonts w:ascii="宋体" w:hAnsi="宋体" w:eastAsia="宋体" w:cs="Arial"/>
          <w:b/>
          <w:bCs/>
          <w:color w:val="000000"/>
          <w:kern w:val="0"/>
          <w:szCs w:val="24"/>
        </w:rPr>
        <w:t>1.秸秆产生情况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（1）产生量</w:t>
      </w:r>
      <w:bookmarkEnd w:id="0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{{year}}年，{{province}}秸秆产生量约{{produce}}。其中，{{No1ProArea}}秸秆产生量最高，约{{produceNo1}}，占{{allProOrCity}}秸秆产生总量的{{proPer}}（图1-1）。{{province}}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农作物秸秆以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{{top3crop}}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为主，秸秆产生量分别为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{{top3Pro}}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，分别占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农作物秸秆产生总量的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{{top3ProPercent}}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（图1-2）。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</w:t>
      </w:r>
      <w:r>
        <w:rPr>
          <w:rFonts w:ascii="宋体" w:hAnsi="宋体" w:eastAsia="宋体" w:cs="Arial"/>
          <w:color w:val="000000"/>
          <w:kern w:val="0"/>
          <w:szCs w:val="24"/>
        </w:rPr>
        <w:t>producePic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图1-1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秸秆产生量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{{@proPerPic}}</w:t>
      </w: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图1-2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各类秸秆产生量比例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1" w:name="_Toc46671727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（2）可收集量</w:t>
      </w:r>
      <w:bookmarkEnd w:id="1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秸秆可收集量约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{{collected}}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。其中，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{{No1CollectedArea}}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秸秆可收集量最高，约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{{collectedNo1}}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秸秆可收集总量的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（图1-3）。各类调查作物中，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{{collectedtop1Crop}}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秸秆可收集量最高，为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{{top1CropCollect}}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约占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秸秆可收集总量的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{{collectCropPer}}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。（图1-4）</w:t>
      </w: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{{@collectPic}}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图1-3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{{@collectedPerPic}}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图1-4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各类秸秆可收集量比例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2" w:name="_Toc46671728"/>
      <w:bookmarkStart w:id="3" w:name="_Toc21953024"/>
      <w:bookmarkStart w:id="4" w:name="_Toc49266311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2.秸秆综合利用情况</w:t>
      </w:r>
      <w:bookmarkEnd w:id="2"/>
      <w:bookmarkEnd w:id="3"/>
      <w:bookmarkEnd w:id="4"/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5" w:name="_Toc46671729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（1）秸秆综合利用率</w:t>
      </w:r>
      <w:bookmarkEnd w:id="5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{{prostill}}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，秸秆综合利用率达到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{{comRatio}}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{{comRatioCompare}}{{crcPer}}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个百分点。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top5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comRatioArea}}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秸秆综合利用率最高</w:t>
      </w:r>
      <w:r>
        <w:rPr>
          <w:rFonts w:ascii="宋体" w:hAnsi="宋体" w:eastAsia="宋体" w:cs="Arial"/>
          <w:color w:val="000000"/>
          <w:kern w:val="0"/>
          <w:szCs w:val="24"/>
        </w:rPr>
        <w:t>，为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top5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comRatio}}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（图1-5）。各类农作物中，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top3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comRatioCrop}}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秸秆综合利用率最高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达到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top3CropcomRatio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（图1-6）。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{{@comRatioAreaPic}}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图1-5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农作物秸秆综合利用率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{{@comRatioCropPic}}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图1-6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各类农作物秸秆综合利用率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6" w:name="_Toc46671730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（2）秸秆</w:t>
      </w:r>
      <w:bookmarkEnd w:id="6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利用结构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秸秆肥料化</w:t>
      </w:r>
      <w:r>
        <w:rPr>
          <w:rFonts w:ascii="宋体" w:hAnsi="宋体" w:eastAsia="宋体" w:cs="Arial"/>
          <w:color w:val="000000"/>
          <w:kern w:val="0"/>
          <w:szCs w:val="24"/>
        </w:rPr>
        <w:t>利用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量</w:t>
      </w:r>
      <w:r>
        <w:rPr>
          <w:rFonts w:ascii="宋体" w:hAnsi="宋体" w:eastAsia="宋体" w:cs="Arial"/>
          <w:color w:val="000000"/>
          <w:kern w:val="0"/>
          <w:szCs w:val="24"/>
        </w:rPr>
        <w:t>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fertilize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饲料化</w:t>
      </w:r>
      <w:r>
        <w:rPr>
          <w:rFonts w:ascii="宋体" w:hAnsi="宋体" w:eastAsia="宋体" w:cs="Arial"/>
          <w:color w:val="000000"/>
          <w:kern w:val="0"/>
          <w:szCs w:val="24"/>
        </w:rPr>
        <w:t>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feed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，燃料化利用量为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fuelled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，原料化利用量为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materialization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，基料化利用量为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base_mat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，分别占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fertilizePer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feedPer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fuelledPer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materializationPer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base_matPer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（图1-7）。</w:t>
      </w: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{{@wuliaohuaPiePic}}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图1-7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秸秆利用结构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7" w:name="_Toc46671731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（3）秸秆产业化利用能力指数</w:t>
      </w:r>
      <w:bookmarkEnd w:id="7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秸秆产业化利用能力指数为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{{compr_util_index}}，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indexCompare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}}{{indexPer}}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。其中，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{{top1IndexArea}}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秸秆产业化利用能力指数最高，为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{{top1Index}}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（图1-8）。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共有</w:t>
      </w:r>
      <w:r>
        <w:rPr>
          <w:rFonts w:ascii="宋体" w:hAnsi="宋体" w:eastAsia="宋体" w:cs="Arial"/>
          <w:color w:val="000000"/>
          <w:kern w:val="0"/>
          <w:szCs w:val="24"/>
        </w:rPr>
        <w:t>从事秸秆利用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的</w:t>
      </w:r>
      <w:r>
        <w:rPr>
          <w:rFonts w:ascii="宋体" w:hAnsi="宋体" w:eastAsia="宋体" w:cs="Arial"/>
          <w:color w:val="000000"/>
          <w:kern w:val="0"/>
          <w:szCs w:val="24"/>
        </w:rPr>
        <w:t>市场主体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countMarket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家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规模化利用量超过1万吨的有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个，超过5万吨的有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countAbove5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个，超过10万吨的有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countAbove10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个，分别占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秸秆综合利用市场主体总数量的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countAbove5Per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countAbove10Per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{{@indexPic}}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图1-8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秸秆产业化利用能力指数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8" w:name="_Toc21953025"/>
      <w:bookmarkStart w:id="9" w:name="_Toc49266312"/>
      <w:bookmarkStart w:id="10" w:name="_Toc46671732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3.秸秆还田离田情况</w:t>
      </w:r>
      <w:bookmarkEnd w:id="8"/>
      <w:bookmarkEnd w:id="9"/>
      <w:bookmarkEnd w:id="10"/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11" w:name="_Toc46671733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（1）秸秆直接还田量</w:t>
      </w:r>
      <w:bookmarkEnd w:id="11"/>
    </w:p>
    <w:p>
      <w:pPr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秸秆直接还田量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{{return}}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（图1-9），占秸秆可收集量的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{{returnPer}}，秸秆直接还田比例（秸秆直接还田量占可收集量的比例）较上一年{{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returnCompare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}}{{rcPer}}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个百分点。</w:t>
      </w:r>
    </w:p>
    <w:p>
      <w:pPr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bookmarkStart w:id="14" w:name="_GoBack"/>
      <w:bookmarkEnd w:id="14"/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12" w:name="_Toc9152"/>
      <w:bookmarkStart w:id="13" w:name="_Toc46671734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（2）秸秆离田量</w:t>
      </w:r>
      <w:bookmarkEnd w:id="12"/>
      <w:bookmarkEnd w:id="13"/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秸秆离田利用量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{{fieldLeave}}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（图1-9），占秸秆可收集量的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{{fieldLeavePer}}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。离田利用量中，市场主体规模化利用量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{{marketUtilization}}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{{marketUtilizationPer}}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{{marketUtilizationCompare}}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了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{{mucPer}}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个百分点；农户分散利用量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{{peasantDis}}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{{peasantDisPer}}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{{peasantDisCompare}}{{peasantDisComparePer}}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个百分点。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{{@returnPic}}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图1-9 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秸秆还田离田量构成</w:t>
      </w:r>
    </w:p>
    <w:p>
      <w:pPr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adjustRightInd w:val="0"/>
        <w:spacing w:line="360" w:lineRule="auto"/>
        <w:jc w:val="center"/>
        <w:rPr>
          <w:rFonts w:cs="Times New Roman" w:asciiTheme="minorEastAsia" w:hAnsiTheme="minorEastAsia"/>
          <w:color w:val="000000"/>
          <w:kern w:val="0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57"/>
    <w:rsid w:val="000B3318"/>
    <w:rsid w:val="000D1961"/>
    <w:rsid w:val="000D38E9"/>
    <w:rsid w:val="000D6B4C"/>
    <w:rsid w:val="000E0367"/>
    <w:rsid w:val="000F0B59"/>
    <w:rsid w:val="001B109C"/>
    <w:rsid w:val="001C7818"/>
    <w:rsid w:val="00204F7B"/>
    <w:rsid w:val="00251814"/>
    <w:rsid w:val="00276057"/>
    <w:rsid w:val="00282B65"/>
    <w:rsid w:val="002C024A"/>
    <w:rsid w:val="002D32C5"/>
    <w:rsid w:val="002F4567"/>
    <w:rsid w:val="00302600"/>
    <w:rsid w:val="00311424"/>
    <w:rsid w:val="0031250A"/>
    <w:rsid w:val="0031287C"/>
    <w:rsid w:val="00313C3A"/>
    <w:rsid w:val="00330866"/>
    <w:rsid w:val="0036713D"/>
    <w:rsid w:val="003725A7"/>
    <w:rsid w:val="00396567"/>
    <w:rsid w:val="003A7C7F"/>
    <w:rsid w:val="003D3E80"/>
    <w:rsid w:val="0040060C"/>
    <w:rsid w:val="00405D7E"/>
    <w:rsid w:val="004421A2"/>
    <w:rsid w:val="00472E25"/>
    <w:rsid w:val="0049011D"/>
    <w:rsid w:val="004B16B5"/>
    <w:rsid w:val="004C6557"/>
    <w:rsid w:val="004D650A"/>
    <w:rsid w:val="004D711B"/>
    <w:rsid w:val="004F0A4D"/>
    <w:rsid w:val="004F4A07"/>
    <w:rsid w:val="004F73C6"/>
    <w:rsid w:val="005546D9"/>
    <w:rsid w:val="00563500"/>
    <w:rsid w:val="00581574"/>
    <w:rsid w:val="00594822"/>
    <w:rsid w:val="005A1E9E"/>
    <w:rsid w:val="005E6907"/>
    <w:rsid w:val="006916FD"/>
    <w:rsid w:val="006A266A"/>
    <w:rsid w:val="006A5D03"/>
    <w:rsid w:val="006B65DF"/>
    <w:rsid w:val="00705588"/>
    <w:rsid w:val="00723ACE"/>
    <w:rsid w:val="00795E13"/>
    <w:rsid w:val="007B7674"/>
    <w:rsid w:val="007C225E"/>
    <w:rsid w:val="007D5875"/>
    <w:rsid w:val="007E6BAD"/>
    <w:rsid w:val="008117C7"/>
    <w:rsid w:val="0086017D"/>
    <w:rsid w:val="00895B9B"/>
    <w:rsid w:val="008B62A2"/>
    <w:rsid w:val="008C0F10"/>
    <w:rsid w:val="008D140B"/>
    <w:rsid w:val="008D43DB"/>
    <w:rsid w:val="008E7BEB"/>
    <w:rsid w:val="00923440"/>
    <w:rsid w:val="0092610E"/>
    <w:rsid w:val="00936D47"/>
    <w:rsid w:val="00941701"/>
    <w:rsid w:val="00970AA9"/>
    <w:rsid w:val="009A1CEF"/>
    <w:rsid w:val="009A5B0E"/>
    <w:rsid w:val="009C0018"/>
    <w:rsid w:val="009D3F49"/>
    <w:rsid w:val="009E296F"/>
    <w:rsid w:val="00A01A2F"/>
    <w:rsid w:val="00A10C7A"/>
    <w:rsid w:val="00A453CC"/>
    <w:rsid w:val="00A45621"/>
    <w:rsid w:val="00A55BE6"/>
    <w:rsid w:val="00A613D4"/>
    <w:rsid w:val="00A84B10"/>
    <w:rsid w:val="00A84DDF"/>
    <w:rsid w:val="00A94403"/>
    <w:rsid w:val="00AF0E90"/>
    <w:rsid w:val="00B15B7B"/>
    <w:rsid w:val="00B343E6"/>
    <w:rsid w:val="00B412C4"/>
    <w:rsid w:val="00B54254"/>
    <w:rsid w:val="00B61D68"/>
    <w:rsid w:val="00B67F59"/>
    <w:rsid w:val="00B72480"/>
    <w:rsid w:val="00B823D1"/>
    <w:rsid w:val="00B9382C"/>
    <w:rsid w:val="00C25004"/>
    <w:rsid w:val="00C32E4F"/>
    <w:rsid w:val="00C634EC"/>
    <w:rsid w:val="00C67595"/>
    <w:rsid w:val="00C96C4A"/>
    <w:rsid w:val="00CB118A"/>
    <w:rsid w:val="00CB4E66"/>
    <w:rsid w:val="00CC2B5E"/>
    <w:rsid w:val="00CF4B85"/>
    <w:rsid w:val="00CF51B0"/>
    <w:rsid w:val="00D01F51"/>
    <w:rsid w:val="00D55701"/>
    <w:rsid w:val="00D60F3B"/>
    <w:rsid w:val="00D71FFF"/>
    <w:rsid w:val="00DC494D"/>
    <w:rsid w:val="00DD5A27"/>
    <w:rsid w:val="00DF1337"/>
    <w:rsid w:val="00DF2BD4"/>
    <w:rsid w:val="00E21A8C"/>
    <w:rsid w:val="00E553DC"/>
    <w:rsid w:val="00EC5FBA"/>
    <w:rsid w:val="00EC62E3"/>
    <w:rsid w:val="00F165C6"/>
    <w:rsid w:val="00F16919"/>
    <w:rsid w:val="00F260DE"/>
    <w:rsid w:val="00F32DC3"/>
    <w:rsid w:val="00F64330"/>
    <w:rsid w:val="00FB424E"/>
    <w:rsid w:val="00FD67A4"/>
    <w:rsid w:val="07733B64"/>
    <w:rsid w:val="08C44FD8"/>
    <w:rsid w:val="120E3AE8"/>
    <w:rsid w:val="13680196"/>
    <w:rsid w:val="238C7CC6"/>
    <w:rsid w:val="24ED1179"/>
    <w:rsid w:val="26F17B7A"/>
    <w:rsid w:val="2CE63ABF"/>
    <w:rsid w:val="3CB3736C"/>
    <w:rsid w:val="3CD61F75"/>
    <w:rsid w:val="512A340F"/>
    <w:rsid w:val="54800D1B"/>
    <w:rsid w:val="54B75D5C"/>
    <w:rsid w:val="569A1328"/>
    <w:rsid w:val="5D9C55CD"/>
    <w:rsid w:val="5DCA085A"/>
    <w:rsid w:val="60691898"/>
    <w:rsid w:val="62116CB5"/>
    <w:rsid w:val="67105607"/>
    <w:rsid w:val="6B39150D"/>
    <w:rsid w:val="71951CB1"/>
    <w:rsid w:val="71C619F2"/>
    <w:rsid w:val="71F87643"/>
    <w:rsid w:val="7CF0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nhideWhenUsed/>
    <w:qFormat/>
    <w:uiPriority w:val="99"/>
    <w:pPr>
      <w:jc w:val="left"/>
    </w:pPr>
    <w:rPr>
      <w:sz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批注文字 Char"/>
    <w:basedOn w:val="8"/>
    <w:link w:val="2"/>
    <w:qFormat/>
    <w:uiPriority w:val="99"/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55E3D-1178-4725-B485-2B7A6DC512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2091</Characters>
  <Lines>17</Lines>
  <Paragraphs>4</Paragraphs>
  <TotalTime>0</TotalTime>
  <ScaleCrop>false</ScaleCrop>
  <LinksUpToDate>false</LinksUpToDate>
  <CharactersWithSpaces>2453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2020-12-10T09:55:00Z</dcterms:created>
  <dc:creator>John</dc:creator>
  <cp:lastModifiedBy>Administrator</cp:lastModifiedBy>
  <dcterms:modified xsi:type="dcterms:W3CDTF">2021-01-14T05:47:18Z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