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9jaTrade</w:t>
      </w:r>
    </w:p>
    <w:p>
      <w:pPr>
        <w:spacing w:after="240"/>
      </w:pPr>
      <w:r>
        <w:rPr>
          <w:b/>
          <w:color w:val="1F6F78"/>
          <w:sz w:val="30"/>
        </w:rPr>
        <w:t>End-to-End Product Concept &amp; Core Functions</w:t>
      </w:r>
    </w:p>
    <w:tbl>
      <w:tblPr>
        <w:tblW w:type="auto" w:w="0"/>
        <w:jc w:val="center"/>
        <w:tblLook w:firstColumn="1" w:firstRow="1" w:lastColumn="0" w:lastRow="0" w:noHBand="0" w:noVBand="1" w:val="04A0"/>
      </w:tblPr>
      <w:tblGrid>
        <w:gridCol w:w="10080"/>
      </w:tblGrid>
      <w:tr>
        <w:trPr>
          <w:tblHeader w:val="true"/>
        </w:trPr>
        <w:tc>
          <w:tcPr>
            <w:tcW w:type="dxa" w:w="10080"/>
            <w:shd w:fill="EAF2F4"/>
          </w:tcPr>
          <w:p>
            <w:pPr>
              <w:spacing w:after="40"/>
            </w:pPr>
            <w:r/>
            <w:r>
              <w:rPr>
                <w:b/>
                <w:color w:val="17324D"/>
                <w:sz w:val="21"/>
              </w:rPr>
              <w:t>One-line definition</w:t>
            </w:r>
          </w:p>
          <w:p>
            <w:pPr>
              <w:spacing w:after="0"/>
            </w:pPr>
            <w:r>
              <w:rPr>
                <w:color w:val="263238"/>
                <w:sz w:val="19"/>
              </w:rPr>
              <w:t>9jaTrade is a privacy-preserving B2B infrastructure for verifying commercial obligations, connecting confirmed invoices to financing offers, and coordinating settlement between suppliers, buyers, and financiers.</w:t>
            </w:r>
          </w:p>
        </w:tc>
      </w:tr>
    </w:tbl>
    <w:p>
      <w:pPr>
        <w:spacing w:after="20"/>
      </w:pPr>
    </w:p>
    <w:p>
      <w:pPr>
        <w:pStyle w:val="Heading1"/>
      </w:pPr>
      <w:r>
        <w:t>1. Product Model</w:t>
      </w:r>
    </w:p>
    <w:p>
      <w:r>
        <w:t>The product starts with a genuine B2B transaction, not with financing. A supplier issues an invoice to a buyer, the buyer confirms the obligation and fulfillment evidence, and only then can the supplier request financing against that receivable. Financiers compete with offers, the supplier selects an offer, and the resulting financing agreement is tracked through settlement.</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656"/>
            <w:vAlign w:val="center"/>
            <w:shd w:fill="17324D"/>
          </w:tcPr>
          <w:p>
            <w:pPr>
              <w:spacing w:after="0"/>
            </w:pPr>
            <w:r/>
            <w:r>
              <w:rPr>
                <w:rFonts w:ascii="Aptos" w:hAnsi="Aptos"/>
                <w:b/>
                <w:color w:val="FFFFFF"/>
                <w:sz w:val="18"/>
              </w:rPr>
              <w:t>Stage</w:t>
            </w:r>
          </w:p>
        </w:tc>
        <w:tc>
          <w:tcPr>
            <w:tcW w:type="dxa" w:w="4464"/>
            <w:vAlign w:val="center"/>
            <w:shd w:fill="17324D"/>
          </w:tcPr>
          <w:p>
            <w:pPr>
              <w:spacing w:after="0"/>
            </w:pPr>
            <w:r/>
            <w:r>
              <w:rPr>
                <w:rFonts w:ascii="Aptos" w:hAnsi="Aptos"/>
                <w:b/>
                <w:color w:val="FFFFFF"/>
                <w:sz w:val="18"/>
              </w:rPr>
              <w:t>What happens</w:t>
            </w:r>
          </w:p>
        </w:tc>
        <w:tc>
          <w:tcPr>
            <w:tcW w:type="dxa" w:w="3744"/>
            <w:vAlign w:val="center"/>
            <w:shd w:fill="17324D"/>
          </w:tcPr>
          <w:p>
            <w:pPr>
              <w:spacing w:after="0"/>
            </w:pPr>
            <w:r/>
            <w:r>
              <w:rPr>
                <w:rFonts w:ascii="Aptos" w:hAnsi="Aptos"/>
                <w:b/>
                <w:color w:val="FFFFFF"/>
                <w:sz w:val="18"/>
              </w:rPr>
              <w:t>Why it matters</w:t>
            </w:r>
          </w:p>
        </w:tc>
      </w:tr>
      <w:tr>
        <w:trPr>
          <w:cantSplit/>
        </w:trPr>
        <w:tc>
          <w:tcPr>
            <w:tcW w:type="dxa" w:w="1656"/>
            <w:vAlign w:val="center"/>
            <w:shd w:fill="F7FAFB"/>
          </w:tcPr>
          <w:p>
            <w:pPr>
              <w:spacing w:after="0"/>
            </w:pPr>
            <w:r/>
            <w:r>
              <w:rPr>
                <w:rFonts w:ascii="Aptos" w:hAnsi="Aptos"/>
                <w:b w:val="0"/>
                <w:color w:val="263238"/>
                <w:sz w:val="17"/>
              </w:rPr>
              <w:t>1. Invoice</w:t>
            </w:r>
          </w:p>
        </w:tc>
        <w:tc>
          <w:tcPr>
            <w:tcW w:type="dxa" w:w="4464"/>
            <w:vAlign w:val="center"/>
            <w:shd w:fill="F7FAFB"/>
          </w:tcPr>
          <w:p>
            <w:pPr>
              <w:spacing w:after="0"/>
            </w:pPr>
            <w:r/>
            <w:r>
              <w:rPr>
                <w:rFonts w:ascii="Aptos" w:hAnsi="Aptos"/>
                <w:b w:val="0"/>
                <w:color w:val="263238"/>
                <w:sz w:val="17"/>
              </w:rPr>
              <w:t>Supplier creates invoice and attaches supporting evidence.</w:t>
            </w:r>
          </w:p>
        </w:tc>
        <w:tc>
          <w:tcPr>
            <w:tcW w:type="dxa" w:w="3744"/>
            <w:vAlign w:val="center"/>
            <w:shd w:fill="F7FAFB"/>
          </w:tcPr>
          <w:p>
            <w:pPr>
              <w:spacing w:after="0"/>
            </w:pPr>
            <w:r/>
            <w:r>
              <w:rPr>
                <w:rFonts w:ascii="Aptos" w:hAnsi="Aptos"/>
                <w:b w:val="0"/>
                <w:color w:val="263238"/>
                <w:sz w:val="17"/>
              </w:rPr>
              <w:t>Creates the commercial obligation.</w:t>
            </w:r>
          </w:p>
        </w:tc>
      </w:tr>
      <w:tr>
        <w:trPr>
          <w:cantSplit/>
        </w:trPr>
        <w:tc>
          <w:tcPr>
            <w:tcW w:type="dxa" w:w="1656"/>
            <w:vAlign w:val="center"/>
          </w:tcPr>
          <w:p>
            <w:pPr>
              <w:spacing w:after="0"/>
            </w:pPr>
            <w:r/>
            <w:r>
              <w:rPr>
                <w:rFonts w:ascii="Aptos" w:hAnsi="Aptos"/>
                <w:b w:val="0"/>
                <w:color w:val="263238"/>
                <w:sz w:val="17"/>
              </w:rPr>
              <w:t>2. Buyer confirmation</w:t>
            </w:r>
          </w:p>
        </w:tc>
        <w:tc>
          <w:tcPr>
            <w:tcW w:type="dxa" w:w="4464"/>
            <w:vAlign w:val="center"/>
          </w:tcPr>
          <w:p>
            <w:pPr>
              <w:spacing w:after="0"/>
            </w:pPr>
            <w:r/>
            <w:r>
              <w:rPr>
                <w:rFonts w:ascii="Aptos" w:hAnsi="Aptos"/>
                <w:b w:val="0"/>
                <w:color w:val="263238"/>
                <w:sz w:val="17"/>
              </w:rPr>
              <w:t>Buyer confirms, rejects, or requests correction.</w:t>
            </w:r>
          </w:p>
        </w:tc>
        <w:tc>
          <w:tcPr>
            <w:tcW w:type="dxa" w:w="3744"/>
            <w:vAlign w:val="center"/>
          </w:tcPr>
          <w:p>
            <w:pPr>
              <w:spacing w:after="0"/>
            </w:pPr>
            <w:r/>
            <w:r>
              <w:rPr>
                <w:rFonts w:ascii="Aptos" w:hAnsi="Aptos"/>
                <w:b w:val="0"/>
                <w:color w:val="263238"/>
                <w:sz w:val="17"/>
              </w:rPr>
              <w:t>Establishes that the buyer acknowledges the obligation.</w:t>
            </w:r>
          </w:p>
        </w:tc>
      </w:tr>
      <w:tr>
        <w:trPr>
          <w:cantSplit/>
        </w:trPr>
        <w:tc>
          <w:tcPr>
            <w:tcW w:type="dxa" w:w="1656"/>
            <w:vAlign w:val="center"/>
            <w:shd w:fill="F7FAFB"/>
          </w:tcPr>
          <w:p>
            <w:pPr>
              <w:spacing w:after="0"/>
            </w:pPr>
            <w:r/>
            <w:r>
              <w:rPr>
                <w:rFonts w:ascii="Aptos" w:hAnsi="Aptos"/>
                <w:b w:val="0"/>
                <w:color w:val="263238"/>
                <w:sz w:val="17"/>
              </w:rPr>
              <w:t>3. Fulfillment</w:t>
            </w:r>
          </w:p>
        </w:tc>
        <w:tc>
          <w:tcPr>
            <w:tcW w:type="dxa" w:w="4464"/>
            <w:vAlign w:val="center"/>
            <w:shd w:fill="F7FAFB"/>
          </w:tcPr>
          <w:p>
            <w:pPr>
              <w:spacing w:after="0"/>
            </w:pPr>
            <w:r/>
            <w:r>
              <w:rPr>
                <w:rFonts w:ascii="Aptos" w:hAnsi="Aptos"/>
                <w:b w:val="0"/>
                <w:color w:val="263238"/>
                <w:sz w:val="17"/>
              </w:rPr>
              <w:t>Buyer confirms delivery/service completion or raises an issue.</w:t>
            </w:r>
          </w:p>
        </w:tc>
        <w:tc>
          <w:tcPr>
            <w:tcW w:type="dxa" w:w="3744"/>
            <w:vAlign w:val="center"/>
            <w:shd w:fill="F7FAFB"/>
          </w:tcPr>
          <w:p>
            <w:pPr>
              <w:spacing w:after="0"/>
            </w:pPr>
            <w:r/>
            <w:r>
              <w:rPr>
                <w:rFonts w:ascii="Aptos" w:hAnsi="Aptos"/>
                <w:b w:val="0"/>
                <w:color w:val="263238"/>
                <w:sz w:val="17"/>
              </w:rPr>
              <w:t>Adds evidence that the underlying transaction occurred.</w:t>
            </w:r>
          </w:p>
        </w:tc>
      </w:tr>
      <w:tr>
        <w:trPr>
          <w:cantSplit/>
        </w:trPr>
        <w:tc>
          <w:tcPr>
            <w:tcW w:type="dxa" w:w="1656"/>
            <w:vAlign w:val="center"/>
          </w:tcPr>
          <w:p>
            <w:pPr>
              <w:spacing w:after="0"/>
            </w:pPr>
            <w:r/>
            <w:r>
              <w:rPr>
                <w:rFonts w:ascii="Aptos" w:hAnsi="Aptos"/>
                <w:b w:val="0"/>
                <w:color w:val="263238"/>
                <w:sz w:val="17"/>
              </w:rPr>
              <w:t>4. Trust Passport</w:t>
            </w:r>
          </w:p>
        </w:tc>
        <w:tc>
          <w:tcPr>
            <w:tcW w:type="dxa" w:w="4464"/>
            <w:vAlign w:val="center"/>
          </w:tcPr>
          <w:p>
            <w:pPr>
              <w:spacing w:after="0"/>
            </w:pPr>
            <w:r/>
            <w:r>
              <w:rPr>
                <w:rFonts w:ascii="Aptos" w:hAnsi="Aptos"/>
                <w:b w:val="0"/>
                <w:color w:val="263238"/>
                <w:sz w:val="17"/>
              </w:rPr>
              <w:t>9jaTrade summarizes the invoice lifecycle and evidence.</w:t>
            </w:r>
          </w:p>
        </w:tc>
        <w:tc>
          <w:tcPr>
            <w:tcW w:type="dxa" w:w="3744"/>
            <w:vAlign w:val="center"/>
          </w:tcPr>
          <w:p>
            <w:pPr>
              <w:spacing w:after="0"/>
            </w:pPr>
            <w:r/>
            <w:r>
              <w:rPr>
                <w:rFonts w:ascii="Aptos" w:hAnsi="Aptos"/>
                <w:b w:val="0"/>
                <w:color w:val="263238"/>
                <w:sz w:val="17"/>
              </w:rPr>
              <w:t>Gives financiers a structured view instead of only a PDF.</w:t>
            </w:r>
          </w:p>
        </w:tc>
      </w:tr>
      <w:tr>
        <w:trPr>
          <w:cantSplit/>
        </w:trPr>
        <w:tc>
          <w:tcPr>
            <w:tcW w:type="dxa" w:w="1656"/>
            <w:vAlign w:val="center"/>
            <w:shd w:fill="F7FAFB"/>
          </w:tcPr>
          <w:p>
            <w:pPr>
              <w:spacing w:after="0"/>
            </w:pPr>
            <w:r/>
            <w:r>
              <w:rPr>
                <w:rFonts w:ascii="Aptos" w:hAnsi="Aptos"/>
                <w:b w:val="0"/>
                <w:color w:val="263238"/>
                <w:sz w:val="17"/>
              </w:rPr>
              <w:t>5. Financing marketplace</w:t>
            </w:r>
          </w:p>
        </w:tc>
        <w:tc>
          <w:tcPr>
            <w:tcW w:type="dxa" w:w="4464"/>
            <w:vAlign w:val="center"/>
            <w:shd w:fill="F7FAFB"/>
          </w:tcPr>
          <w:p>
            <w:pPr>
              <w:spacing w:after="0"/>
            </w:pPr>
            <w:r/>
            <w:r>
              <w:rPr>
                <w:rFonts w:ascii="Aptos" w:hAnsi="Aptos"/>
                <w:b w:val="0"/>
                <w:color w:val="263238"/>
                <w:sz w:val="17"/>
              </w:rPr>
              <w:t>Supplier requests financing; eligible financiers submit offers.</w:t>
            </w:r>
          </w:p>
        </w:tc>
        <w:tc>
          <w:tcPr>
            <w:tcW w:type="dxa" w:w="3744"/>
            <w:vAlign w:val="center"/>
            <w:shd w:fill="F7FAFB"/>
          </w:tcPr>
          <w:p>
            <w:pPr>
              <w:spacing w:after="0"/>
            </w:pPr>
            <w:r/>
            <w:r>
              <w:rPr>
                <w:rFonts w:ascii="Aptos" w:hAnsi="Aptos"/>
                <w:b w:val="0"/>
                <w:color w:val="263238"/>
                <w:sz w:val="17"/>
              </w:rPr>
              <w:t>Introduces a real economic decision for the supplier.</w:t>
            </w:r>
          </w:p>
        </w:tc>
      </w:tr>
      <w:tr>
        <w:trPr>
          <w:cantSplit/>
        </w:trPr>
        <w:tc>
          <w:tcPr>
            <w:tcW w:type="dxa" w:w="1656"/>
            <w:vAlign w:val="center"/>
          </w:tcPr>
          <w:p>
            <w:pPr>
              <w:spacing w:after="0"/>
            </w:pPr>
            <w:r/>
            <w:r>
              <w:rPr>
                <w:rFonts w:ascii="Aptos" w:hAnsi="Aptos"/>
                <w:b w:val="0"/>
                <w:color w:val="263238"/>
                <w:sz w:val="17"/>
              </w:rPr>
              <w:t>6. Funding</w:t>
            </w:r>
          </w:p>
        </w:tc>
        <w:tc>
          <w:tcPr>
            <w:tcW w:type="dxa" w:w="4464"/>
            <w:vAlign w:val="center"/>
          </w:tcPr>
          <w:p>
            <w:pPr>
              <w:spacing w:after="0"/>
            </w:pPr>
            <w:r/>
            <w:r>
              <w:rPr>
                <w:rFonts w:ascii="Aptos" w:hAnsi="Aptos"/>
                <w:b w:val="0"/>
                <w:color w:val="263238"/>
                <w:sz w:val="17"/>
              </w:rPr>
              <w:t>Supplier accepts one offer and the financing agreement becomes active.</w:t>
            </w:r>
          </w:p>
        </w:tc>
        <w:tc>
          <w:tcPr>
            <w:tcW w:type="dxa" w:w="3744"/>
            <w:vAlign w:val="center"/>
          </w:tcPr>
          <w:p>
            <w:pPr>
              <w:spacing w:after="0"/>
            </w:pPr>
            <w:r/>
            <w:r>
              <w:rPr>
                <w:rFonts w:ascii="Aptos" w:hAnsi="Aptos"/>
                <w:b w:val="0"/>
                <w:color w:val="263238"/>
                <w:sz w:val="17"/>
              </w:rPr>
              <w:t>Records the commercial terms and prevents conflicting financing states.</w:t>
            </w:r>
          </w:p>
        </w:tc>
      </w:tr>
      <w:tr>
        <w:trPr>
          <w:cantSplit/>
        </w:trPr>
        <w:tc>
          <w:tcPr>
            <w:tcW w:type="dxa" w:w="1656"/>
            <w:vAlign w:val="center"/>
            <w:shd w:fill="F7FAFB"/>
          </w:tcPr>
          <w:p>
            <w:pPr>
              <w:spacing w:after="0"/>
            </w:pPr>
            <w:r/>
            <w:r>
              <w:rPr>
                <w:rFonts w:ascii="Aptos" w:hAnsi="Aptos"/>
                <w:b w:val="0"/>
                <w:color w:val="263238"/>
                <w:sz w:val="17"/>
              </w:rPr>
              <w:t>7. Settlement</w:t>
            </w:r>
          </w:p>
        </w:tc>
        <w:tc>
          <w:tcPr>
            <w:tcW w:type="dxa" w:w="4464"/>
            <w:vAlign w:val="center"/>
            <w:shd w:fill="F7FAFB"/>
          </w:tcPr>
          <w:p>
            <w:pPr>
              <w:spacing w:after="0"/>
            </w:pPr>
            <w:r/>
            <w:r>
              <w:rPr>
                <w:rFonts w:ascii="Aptos" w:hAnsi="Aptos"/>
                <w:b w:val="0"/>
                <w:color w:val="263238"/>
                <w:sz w:val="17"/>
              </w:rPr>
              <w:t>Buyer pays at maturity; the financing arrangement is settled.</w:t>
            </w:r>
          </w:p>
        </w:tc>
        <w:tc>
          <w:tcPr>
            <w:tcW w:type="dxa" w:w="3744"/>
            <w:vAlign w:val="center"/>
            <w:shd w:fill="F7FAFB"/>
          </w:tcPr>
          <w:p>
            <w:pPr>
              <w:spacing w:after="0"/>
            </w:pPr>
            <w:r/>
            <w:r>
              <w:rPr>
                <w:rFonts w:ascii="Aptos" w:hAnsi="Aptos"/>
                <w:b w:val="0"/>
                <w:color w:val="263238"/>
                <w:sz w:val="17"/>
              </w:rPr>
              <w:t>Closes the obligation and records the outcome.</w:t>
            </w:r>
          </w:p>
        </w:tc>
      </w:tr>
    </w:tbl>
    <w:p>
      <w:pPr>
        <w:spacing w:after="20"/>
      </w:pPr>
    </w:p>
    <w:p>
      <w:pPr>
        <w:pStyle w:val="Heading1"/>
      </w:pPr>
      <w:r>
        <w:t>2. End-to-End Example Use Case</w:t>
      </w:r>
    </w:p>
    <w:p>
      <w:r>
        <w:t>Example: Bello Electronics supplies ₦10,000,000 of equipment to ABC Retail Ltd. ABC Retail has agreed to pay 60 days after the invoice date. Bello needs working capital immediately and does not want to wait the full 60 days.</w:t>
      </w:r>
    </w:p>
    <w:p>
      <w:pPr>
        <w:spacing w:after="40"/>
        <w:ind w:left="259" w:hanging="259"/>
      </w:pPr>
      <w:r>
        <w:rPr>
          <w:b w:val="0"/>
        </w:rPr>
        <w:t xml:space="preserve">1.  </w:t>
      </w:r>
      <w:r>
        <w:t>Bello creates Invoice NT-1024 for ₦10m and attaches the invoice, purchase order, and delivery note.</w:t>
      </w:r>
    </w:p>
    <w:p>
      <w:pPr>
        <w:spacing w:after="40"/>
        <w:ind w:left="259" w:hanging="259"/>
      </w:pPr>
      <w:r>
        <w:rPr>
          <w:b w:val="0"/>
        </w:rPr>
        <w:t xml:space="preserve">2.  </w:t>
      </w:r>
      <w:r>
        <w:t>ABC Retail reviews it and confirms: “We acknowledge the ₦10m obligation.”</w:t>
      </w:r>
    </w:p>
    <w:p>
      <w:pPr>
        <w:spacing w:after="40"/>
        <w:ind w:left="259" w:hanging="259"/>
      </w:pPr>
      <w:r>
        <w:rPr>
          <w:b w:val="0"/>
        </w:rPr>
        <w:t xml:space="preserve">3.  </w:t>
      </w:r>
      <w:r>
        <w:t>ABC Retail confirms that the goods were received. If only part of the order arrived, it can raise a delivery dispute instead.</w:t>
      </w:r>
    </w:p>
    <w:p>
      <w:pPr>
        <w:spacing w:after="40"/>
        <w:ind w:left="259" w:hanging="259"/>
      </w:pPr>
      <w:r>
        <w:rPr>
          <w:b w:val="0"/>
        </w:rPr>
        <w:t xml:space="preserve">4.  </w:t>
      </w:r>
      <w:r>
        <w:t>9jaTrade generates the invoice Trust Passport, showing the confirmed parties, evidence, financing status, and lifecycle history.</w:t>
      </w:r>
    </w:p>
    <w:p>
      <w:pPr>
        <w:spacing w:after="40"/>
        <w:ind w:left="259" w:hanging="259"/>
      </w:pPr>
      <w:r>
        <w:rPr>
          <w:b w:val="0"/>
        </w:rPr>
        <w:t xml:space="preserve">5.  </w:t>
      </w:r>
      <w:r>
        <w:t>Bello requests up to ₦8.5m in financing. Multiple financiers can respond with different terms.</w:t>
      </w:r>
    </w:p>
    <w:tbl>
      <w:tblPr>
        <w:tblW w:type="auto" w:w="0"/>
        <w:jc w:val="center"/>
        <w:tblLook w:firstColumn="1" w:firstRow="1" w:lastColumn="0" w:lastRow="0" w:noHBand="0" w:noVBand="1" w:val="04A0"/>
      </w:tblPr>
      <w:tblGrid>
        <w:gridCol w:w="10080"/>
      </w:tblGrid>
      <w:tr>
        <w:trPr>
          <w:tblHeader w:val="true"/>
        </w:trPr>
        <w:tc>
          <w:tcPr>
            <w:tcW w:type="dxa" w:w="10080"/>
            <w:shd w:fill="EAF2F4"/>
          </w:tcPr>
          <w:p>
            <w:pPr>
              <w:spacing w:after="40"/>
            </w:pPr>
            <w:r/>
            <w:r>
              <w:rPr>
                <w:b/>
                <w:color w:val="17324D"/>
                <w:sz w:val="21"/>
              </w:rPr>
              <w:t>Illustrative financing offers</w:t>
            </w:r>
          </w:p>
          <w:p>
            <w:pPr>
              <w:spacing w:after="0"/>
            </w:pPr>
            <w:r>
              <w:rPr>
                <w:color w:val="263238"/>
                <w:sz w:val="19"/>
              </w:rPr>
              <w:t>The term should primarily follow the invoice maturity and the negotiated financing agreement. Funding amount and financing return can vary by financier; lower funding can mean lower exposure, but it should not automatically imply a longer term.</w:t>
            </w:r>
          </w:p>
        </w:tc>
      </w:tr>
    </w:tbl>
    <w:p>
      <w:pPr>
        <w:spacing w:after="2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blHeader w:val="true"/>
        </w:trPr>
        <w:tc>
          <w:tcPr>
            <w:tcW w:type="dxa" w:w="1584"/>
            <w:vAlign w:val="center"/>
            <w:shd w:fill="17324D"/>
          </w:tcPr>
          <w:p>
            <w:pPr>
              <w:spacing w:after="0"/>
            </w:pPr>
            <w:r/>
            <w:r>
              <w:rPr>
                <w:rFonts w:ascii="Aptos" w:hAnsi="Aptos"/>
                <w:b/>
                <w:color w:val="FFFFFF"/>
                <w:sz w:val="18"/>
              </w:rPr>
              <w:t>Financier</w:t>
            </w:r>
          </w:p>
        </w:tc>
        <w:tc>
          <w:tcPr>
            <w:tcW w:type="dxa" w:w="1872"/>
            <w:vAlign w:val="center"/>
            <w:shd w:fill="17324D"/>
          </w:tcPr>
          <w:p>
            <w:pPr>
              <w:spacing w:after="0"/>
            </w:pPr>
            <w:r/>
            <w:r>
              <w:rPr>
                <w:rFonts w:ascii="Aptos" w:hAnsi="Aptos"/>
                <w:b/>
                <w:color w:val="FFFFFF"/>
                <w:sz w:val="18"/>
              </w:rPr>
              <w:t>Upfront funding</w:t>
            </w:r>
          </w:p>
        </w:tc>
        <w:tc>
          <w:tcPr>
            <w:tcW w:type="dxa" w:w="2376"/>
            <w:vAlign w:val="center"/>
            <w:shd w:fill="17324D"/>
          </w:tcPr>
          <w:p>
            <w:pPr>
              <w:spacing w:after="0"/>
            </w:pPr>
            <w:r/>
            <w:r>
              <w:rPr>
                <w:rFonts w:ascii="Aptos" w:hAnsi="Aptos"/>
                <w:b/>
                <w:color w:val="FFFFFF"/>
                <w:sz w:val="18"/>
              </w:rPr>
              <w:t>Financing return/fee</w:t>
            </w:r>
          </w:p>
        </w:tc>
        <w:tc>
          <w:tcPr>
            <w:tcW w:type="dxa" w:w="2304"/>
            <w:vAlign w:val="center"/>
            <w:shd w:fill="17324D"/>
          </w:tcPr>
          <w:p>
            <w:pPr>
              <w:spacing w:after="0"/>
            </w:pPr>
            <w:r/>
            <w:r>
              <w:rPr>
                <w:rFonts w:ascii="Aptos" w:hAnsi="Aptos"/>
                <w:b/>
                <w:color w:val="FFFFFF"/>
                <w:sz w:val="18"/>
              </w:rPr>
              <w:t>Settlement to financier*</w:t>
            </w:r>
          </w:p>
        </w:tc>
        <w:tc>
          <w:tcPr>
            <w:tcW w:type="dxa" w:w="1440"/>
            <w:vAlign w:val="center"/>
            <w:shd w:fill="17324D"/>
          </w:tcPr>
          <w:p>
            <w:pPr>
              <w:spacing w:after="0"/>
            </w:pPr>
            <w:r/>
            <w:r>
              <w:rPr>
                <w:rFonts w:ascii="Aptos" w:hAnsi="Aptos"/>
                <w:b/>
                <w:color w:val="FFFFFF"/>
                <w:sz w:val="18"/>
              </w:rPr>
              <w:t>Term</w:t>
            </w:r>
          </w:p>
        </w:tc>
      </w:tr>
      <w:tr>
        <w:trPr>
          <w:cantSplit/>
        </w:trPr>
        <w:tc>
          <w:tcPr>
            <w:tcW w:type="dxa" w:w="1584"/>
            <w:vAlign w:val="center"/>
            <w:shd w:fill="F7FAFB"/>
          </w:tcPr>
          <w:p>
            <w:pPr>
              <w:spacing w:after="0"/>
            </w:pPr>
            <w:r/>
            <w:r>
              <w:rPr>
                <w:rFonts w:ascii="Aptos" w:hAnsi="Aptos"/>
                <w:b w:val="0"/>
                <w:color w:val="263238"/>
                <w:sz w:val="17"/>
              </w:rPr>
              <w:t>A</w:t>
            </w:r>
          </w:p>
        </w:tc>
        <w:tc>
          <w:tcPr>
            <w:tcW w:type="dxa" w:w="1872"/>
            <w:vAlign w:val="center"/>
            <w:shd w:fill="F7FAFB"/>
          </w:tcPr>
          <w:p>
            <w:pPr>
              <w:spacing w:after="0"/>
            </w:pPr>
            <w:r/>
            <w:r>
              <w:rPr>
                <w:rFonts w:ascii="Aptos" w:hAnsi="Aptos"/>
                <w:b w:val="0"/>
                <w:color w:val="263238"/>
                <w:sz w:val="17"/>
              </w:rPr>
              <w:t>₦8.5m</w:t>
            </w:r>
          </w:p>
        </w:tc>
        <w:tc>
          <w:tcPr>
            <w:tcW w:type="dxa" w:w="2376"/>
            <w:vAlign w:val="center"/>
            <w:shd w:fill="F7FAFB"/>
          </w:tcPr>
          <w:p>
            <w:pPr>
              <w:spacing w:after="0"/>
            </w:pPr>
            <w:r/>
            <w:r>
              <w:rPr>
                <w:rFonts w:ascii="Aptos" w:hAnsi="Aptos"/>
                <w:b w:val="0"/>
                <w:color w:val="263238"/>
                <w:sz w:val="17"/>
              </w:rPr>
              <w:t>₦600k</w:t>
            </w:r>
          </w:p>
        </w:tc>
        <w:tc>
          <w:tcPr>
            <w:tcW w:type="dxa" w:w="2304"/>
            <w:vAlign w:val="center"/>
            <w:shd w:fill="F7FAFB"/>
          </w:tcPr>
          <w:p>
            <w:pPr>
              <w:spacing w:after="0"/>
            </w:pPr>
            <w:r/>
            <w:r>
              <w:rPr>
                <w:rFonts w:ascii="Aptos" w:hAnsi="Aptos"/>
                <w:b w:val="0"/>
                <w:color w:val="263238"/>
                <w:sz w:val="17"/>
              </w:rPr>
              <w:t>₦9.1m</w:t>
            </w:r>
          </w:p>
        </w:tc>
        <w:tc>
          <w:tcPr>
            <w:tcW w:type="dxa" w:w="1440"/>
            <w:vAlign w:val="center"/>
            <w:shd w:fill="F7FAFB"/>
          </w:tcPr>
          <w:p>
            <w:pPr>
              <w:spacing w:after="0"/>
            </w:pPr>
            <w:r/>
            <w:r>
              <w:rPr>
                <w:rFonts w:ascii="Aptos" w:hAnsi="Aptos"/>
                <w:b w:val="0"/>
                <w:color w:val="263238"/>
                <w:sz w:val="17"/>
              </w:rPr>
              <w:t>60 days</w:t>
            </w:r>
          </w:p>
        </w:tc>
      </w:tr>
      <w:tr>
        <w:trPr>
          <w:cantSplit/>
        </w:trPr>
        <w:tc>
          <w:tcPr>
            <w:tcW w:type="dxa" w:w="1584"/>
            <w:vAlign w:val="center"/>
          </w:tcPr>
          <w:p>
            <w:pPr>
              <w:spacing w:after="0"/>
            </w:pPr>
            <w:r/>
            <w:r>
              <w:rPr>
                <w:rFonts w:ascii="Aptos" w:hAnsi="Aptos"/>
                <w:b w:val="0"/>
                <w:color w:val="263238"/>
                <w:sz w:val="17"/>
              </w:rPr>
              <w:t>B</w:t>
            </w:r>
          </w:p>
        </w:tc>
        <w:tc>
          <w:tcPr>
            <w:tcW w:type="dxa" w:w="1872"/>
            <w:vAlign w:val="center"/>
          </w:tcPr>
          <w:p>
            <w:pPr>
              <w:spacing w:after="0"/>
            </w:pPr>
            <w:r/>
            <w:r>
              <w:rPr>
                <w:rFonts w:ascii="Aptos" w:hAnsi="Aptos"/>
                <w:b w:val="0"/>
                <w:color w:val="263238"/>
                <w:sz w:val="17"/>
              </w:rPr>
              <w:t>₦8.0m</w:t>
            </w:r>
          </w:p>
        </w:tc>
        <w:tc>
          <w:tcPr>
            <w:tcW w:type="dxa" w:w="2376"/>
            <w:vAlign w:val="center"/>
          </w:tcPr>
          <w:p>
            <w:pPr>
              <w:spacing w:after="0"/>
            </w:pPr>
            <w:r/>
            <w:r>
              <w:rPr>
                <w:rFonts w:ascii="Aptos" w:hAnsi="Aptos"/>
                <w:b w:val="0"/>
                <w:color w:val="263238"/>
                <w:sz w:val="17"/>
              </w:rPr>
              <w:t>₦450k</w:t>
            </w:r>
          </w:p>
        </w:tc>
        <w:tc>
          <w:tcPr>
            <w:tcW w:type="dxa" w:w="2304"/>
            <w:vAlign w:val="center"/>
          </w:tcPr>
          <w:p>
            <w:pPr>
              <w:spacing w:after="0"/>
            </w:pPr>
            <w:r/>
            <w:r>
              <w:rPr>
                <w:rFonts w:ascii="Aptos" w:hAnsi="Aptos"/>
                <w:b w:val="0"/>
                <w:color w:val="263238"/>
                <w:sz w:val="17"/>
              </w:rPr>
              <w:t>₦8.45m</w:t>
            </w:r>
          </w:p>
        </w:tc>
        <w:tc>
          <w:tcPr>
            <w:tcW w:type="dxa" w:w="1440"/>
            <w:vAlign w:val="center"/>
          </w:tcPr>
          <w:p>
            <w:pPr>
              <w:spacing w:after="0"/>
            </w:pPr>
            <w:r/>
            <w:r>
              <w:rPr>
                <w:rFonts w:ascii="Aptos" w:hAnsi="Aptos"/>
                <w:b w:val="0"/>
                <w:color w:val="263238"/>
                <w:sz w:val="17"/>
              </w:rPr>
              <w:t>60 days</w:t>
            </w:r>
          </w:p>
        </w:tc>
      </w:tr>
      <w:tr>
        <w:trPr>
          <w:cantSplit/>
        </w:trPr>
        <w:tc>
          <w:tcPr>
            <w:tcW w:type="dxa" w:w="1584"/>
            <w:vAlign w:val="center"/>
            <w:shd w:fill="F7FAFB"/>
          </w:tcPr>
          <w:p>
            <w:pPr>
              <w:spacing w:after="0"/>
            </w:pPr>
            <w:r/>
            <w:r>
              <w:rPr>
                <w:rFonts w:ascii="Aptos" w:hAnsi="Aptos"/>
                <w:b w:val="0"/>
                <w:color w:val="263238"/>
                <w:sz w:val="17"/>
              </w:rPr>
              <w:t>C</w:t>
            </w:r>
          </w:p>
        </w:tc>
        <w:tc>
          <w:tcPr>
            <w:tcW w:type="dxa" w:w="1872"/>
            <w:vAlign w:val="center"/>
            <w:shd w:fill="F7FAFB"/>
          </w:tcPr>
          <w:p>
            <w:pPr>
              <w:spacing w:after="0"/>
            </w:pPr>
            <w:r/>
            <w:r>
              <w:rPr>
                <w:rFonts w:ascii="Aptos" w:hAnsi="Aptos"/>
                <w:b w:val="0"/>
                <w:color w:val="263238"/>
                <w:sz w:val="17"/>
              </w:rPr>
              <w:t>₦7.0m</w:t>
            </w:r>
          </w:p>
        </w:tc>
        <w:tc>
          <w:tcPr>
            <w:tcW w:type="dxa" w:w="2376"/>
            <w:vAlign w:val="center"/>
            <w:shd w:fill="F7FAFB"/>
          </w:tcPr>
          <w:p>
            <w:pPr>
              <w:spacing w:after="0"/>
            </w:pPr>
            <w:r/>
            <w:r>
              <w:rPr>
                <w:rFonts w:ascii="Aptos" w:hAnsi="Aptos"/>
                <w:b w:val="0"/>
                <w:color w:val="263238"/>
                <w:sz w:val="17"/>
              </w:rPr>
              <w:t>₦300k</w:t>
            </w:r>
          </w:p>
        </w:tc>
        <w:tc>
          <w:tcPr>
            <w:tcW w:type="dxa" w:w="2304"/>
            <w:vAlign w:val="center"/>
            <w:shd w:fill="F7FAFB"/>
          </w:tcPr>
          <w:p>
            <w:pPr>
              <w:spacing w:after="0"/>
            </w:pPr>
            <w:r/>
            <w:r>
              <w:rPr>
                <w:rFonts w:ascii="Aptos" w:hAnsi="Aptos"/>
                <w:b w:val="0"/>
                <w:color w:val="263238"/>
                <w:sz w:val="17"/>
              </w:rPr>
              <w:t>₦7.30m</w:t>
            </w:r>
          </w:p>
        </w:tc>
        <w:tc>
          <w:tcPr>
            <w:tcW w:type="dxa" w:w="1440"/>
            <w:vAlign w:val="center"/>
            <w:shd w:fill="F7FAFB"/>
          </w:tcPr>
          <w:p>
            <w:pPr>
              <w:spacing w:after="0"/>
            </w:pPr>
            <w:r/>
            <w:r>
              <w:rPr>
                <w:rFonts w:ascii="Aptos" w:hAnsi="Aptos"/>
                <w:b w:val="0"/>
                <w:color w:val="263238"/>
                <w:sz w:val="17"/>
              </w:rPr>
              <w:t>60 days</w:t>
            </w:r>
          </w:p>
        </w:tc>
      </w:tr>
    </w:tbl>
    <w:p>
      <w:pPr>
        <w:spacing w:after="20"/>
      </w:pPr>
    </w:p>
    <w:p>
      <w:r>
        <w:t>*Illustrative economics only. Production financing terms, legal rights over the receivable, fees, and settlement mechanics would require legal and financial structuring.</w:t>
      </w:r>
    </w:p>
    <w:p>
      <w:pPr>
        <w:spacing w:after="40"/>
        <w:ind w:left="259" w:hanging="259"/>
      </w:pPr>
      <w:r>
        <w:rPr>
          <w:b w:val="0"/>
        </w:rPr>
        <w:t xml:space="preserve">6.  </w:t>
      </w:r>
      <w:r>
        <w:t>Bello compares the offers and accepts the option that fits its cash need and financing cost.</w:t>
      </w:r>
    </w:p>
    <w:p>
      <w:pPr>
        <w:spacing w:after="40"/>
        <w:ind w:left="259" w:hanging="259"/>
      </w:pPr>
      <w:r>
        <w:rPr>
          <w:b w:val="0"/>
        </w:rPr>
        <w:t xml:space="preserve">7.  </w:t>
      </w:r>
      <w:r>
        <w:t>9jaTrade records the FinancingAgreement and changes the invoice financing state so the same obligation cannot be independently financed again within the modeled workflow.</w:t>
      </w:r>
    </w:p>
    <w:p>
      <w:pPr>
        <w:spacing w:after="40"/>
        <w:ind w:left="259" w:hanging="259"/>
      </w:pPr>
      <w:r>
        <w:rPr>
          <w:b w:val="0"/>
        </w:rPr>
        <w:t xml:space="preserve">8.  </w:t>
      </w:r>
      <w:r>
        <w:t>At maturity, ABC Retail pays ₦10m. For the demo, settlement can be simulated. The financing agreement determines how the payment is allocated between financier and supplier.</w:t>
      </w:r>
    </w:p>
    <w:p>
      <w:pPr>
        <w:spacing w:after="40"/>
        <w:ind w:left="259" w:hanging="259"/>
      </w:pPr>
      <w:r>
        <w:rPr>
          <w:b w:val="0"/>
        </w:rPr>
        <w:t xml:space="preserve">9.  </w:t>
      </w:r>
      <w:r>
        <w:t>The invoice closes as SETTLED and the Trust Passport becomes a completed transaction history.</w:t>
      </w:r>
    </w:p>
    <w:p>
      <w:pPr>
        <w:pStyle w:val="Heading1"/>
      </w:pPr>
      <w:r>
        <w:t>3. Financing Marketplace Logic</w:t>
      </w:r>
    </w:p>
    <w:p>
      <w:r>
        <w:t>The financier is not donating money and is not merely receiving its principal back. The financier provides capital in exchange for a defined financing return or fee and takes the associated exposure under the agreement.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vAlign w:val="center"/>
            <w:shd w:fill="17324D"/>
          </w:tcPr>
          <w:p>
            <w:pPr>
              <w:spacing w:after="0"/>
            </w:pPr>
            <w:r/>
            <w:r>
              <w:rPr>
                <w:rFonts w:ascii="Aptos" w:hAnsi="Aptos"/>
                <w:b/>
                <w:color w:val="FFFFFF"/>
                <w:sz w:val="18"/>
              </w:rPr>
              <w:t>Variable</w:t>
            </w:r>
          </w:p>
        </w:tc>
        <w:tc>
          <w:tcPr>
            <w:tcW w:type="dxa" w:w="7056"/>
            <w:vAlign w:val="center"/>
            <w:shd w:fill="17324D"/>
          </w:tcPr>
          <w:p>
            <w:pPr>
              <w:spacing w:after="0"/>
            </w:pPr>
            <w:r/>
            <w:r>
              <w:rPr>
                <w:rFonts w:ascii="Aptos" w:hAnsi="Aptos"/>
                <w:b/>
                <w:color w:val="FFFFFF"/>
                <w:sz w:val="18"/>
              </w:rPr>
              <w:t>Product logic</w:t>
            </w:r>
          </w:p>
        </w:tc>
      </w:tr>
      <w:tr>
        <w:trPr>
          <w:cantSplit/>
        </w:trPr>
        <w:tc>
          <w:tcPr>
            <w:tcW w:type="dxa" w:w="2592"/>
            <w:vAlign w:val="center"/>
            <w:shd w:fill="F7FAFB"/>
          </w:tcPr>
          <w:p>
            <w:pPr>
              <w:spacing w:after="0"/>
            </w:pPr>
            <w:r/>
            <w:r>
              <w:rPr>
                <w:rFonts w:ascii="Aptos" w:hAnsi="Aptos"/>
                <w:b w:val="0"/>
                <w:color w:val="263238"/>
                <w:sz w:val="17"/>
              </w:rPr>
              <w:t>Funding amount</w:t>
            </w:r>
          </w:p>
        </w:tc>
        <w:tc>
          <w:tcPr>
            <w:tcW w:type="dxa" w:w="7056"/>
            <w:vAlign w:val="center"/>
            <w:shd w:fill="F7FAFB"/>
          </w:tcPr>
          <w:p>
            <w:pPr>
              <w:spacing w:after="0"/>
            </w:pPr>
            <w:r/>
            <w:r>
              <w:rPr>
                <w:rFonts w:ascii="Aptos" w:hAnsi="Aptos"/>
                <w:b w:val="0"/>
                <w:color w:val="263238"/>
                <w:sz w:val="17"/>
              </w:rPr>
              <w:t>How much capital the financier advances against the invoice.</w:t>
            </w:r>
          </w:p>
        </w:tc>
      </w:tr>
      <w:tr>
        <w:trPr>
          <w:cantSplit/>
        </w:trPr>
        <w:tc>
          <w:tcPr>
            <w:tcW w:type="dxa" w:w="2592"/>
            <w:vAlign w:val="center"/>
          </w:tcPr>
          <w:p>
            <w:pPr>
              <w:spacing w:after="0"/>
            </w:pPr>
            <w:r/>
            <w:r>
              <w:rPr>
                <w:rFonts w:ascii="Aptos" w:hAnsi="Aptos"/>
                <w:b w:val="0"/>
                <w:color w:val="263238"/>
                <w:sz w:val="17"/>
              </w:rPr>
              <w:t>Financing return/fee</w:t>
            </w:r>
          </w:p>
        </w:tc>
        <w:tc>
          <w:tcPr>
            <w:tcW w:type="dxa" w:w="7056"/>
            <w:vAlign w:val="center"/>
          </w:tcPr>
          <w:p>
            <w:pPr>
              <w:spacing w:after="0"/>
            </w:pPr>
            <w:r/>
            <w:r>
              <w:rPr>
                <w:rFonts w:ascii="Aptos" w:hAnsi="Aptos"/>
                <w:b w:val="0"/>
                <w:color w:val="263238"/>
                <w:sz w:val="17"/>
              </w:rPr>
              <w:t>The economic compensation offered to the financier for providing capital.</w:t>
            </w:r>
          </w:p>
        </w:tc>
      </w:tr>
      <w:tr>
        <w:trPr>
          <w:cantSplit/>
        </w:trPr>
        <w:tc>
          <w:tcPr>
            <w:tcW w:type="dxa" w:w="2592"/>
            <w:vAlign w:val="center"/>
            <w:shd w:fill="F7FAFB"/>
          </w:tcPr>
          <w:p>
            <w:pPr>
              <w:spacing w:after="0"/>
            </w:pPr>
            <w:r/>
            <w:r>
              <w:rPr>
                <w:rFonts w:ascii="Aptos" w:hAnsi="Aptos"/>
                <w:b w:val="0"/>
                <w:color w:val="263238"/>
                <w:sz w:val="17"/>
              </w:rPr>
              <w:t>Term</w:t>
            </w:r>
          </w:p>
        </w:tc>
        <w:tc>
          <w:tcPr>
            <w:tcW w:type="dxa" w:w="7056"/>
            <w:vAlign w:val="center"/>
            <w:shd w:fill="F7FAFB"/>
          </w:tcPr>
          <w:p>
            <w:pPr>
              <w:spacing w:after="0"/>
            </w:pPr>
            <w:r/>
            <w:r>
              <w:rPr>
                <w:rFonts w:ascii="Aptos" w:hAnsi="Aptos"/>
                <w:b w:val="0"/>
                <w:color w:val="263238"/>
                <w:sz w:val="17"/>
              </w:rPr>
              <w:t>Primarily linked to the invoice due date/maturity and negotiated financing terms.</w:t>
            </w:r>
          </w:p>
        </w:tc>
      </w:tr>
      <w:tr>
        <w:trPr>
          <w:cantSplit/>
        </w:trPr>
        <w:tc>
          <w:tcPr>
            <w:tcW w:type="dxa" w:w="2592"/>
            <w:vAlign w:val="center"/>
          </w:tcPr>
          <w:p>
            <w:pPr>
              <w:spacing w:after="0"/>
            </w:pPr>
            <w:r/>
            <w:r>
              <w:rPr>
                <w:rFonts w:ascii="Aptos" w:hAnsi="Aptos"/>
                <w:b w:val="0"/>
                <w:color w:val="263238"/>
                <w:sz w:val="17"/>
              </w:rPr>
              <w:t>Offer expiry</w:t>
            </w:r>
          </w:p>
        </w:tc>
        <w:tc>
          <w:tcPr>
            <w:tcW w:type="dxa" w:w="7056"/>
            <w:vAlign w:val="center"/>
          </w:tcPr>
          <w:p>
            <w:pPr>
              <w:spacing w:after="0"/>
            </w:pPr>
            <w:r/>
            <w:r>
              <w:rPr>
                <w:rFonts w:ascii="Aptos" w:hAnsi="Aptos"/>
                <w:b w:val="0"/>
                <w:color w:val="263238"/>
                <w:sz w:val="17"/>
              </w:rPr>
              <w:t>A time limit after which an offer is no longer valid.</w:t>
            </w:r>
          </w:p>
        </w:tc>
      </w:tr>
      <w:tr>
        <w:trPr>
          <w:cantSplit/>
        </w:trPr>
        <w:tc>
          <w:tcPr>
            <w:tcW w:type="dxa" w:w="2592"/>
            <w:vAlign w:val="center"/>
            <w:shd w:fill="F7FAFB"/>
          </w:tcPr>
          <w:p>
            <w:pPr>
              <w:spacing w:after="0"/>
            </w:pPr>
            <w:r/>
            <w:r>
              <w:rPr>
                <w:rFonts w:ascii="Aptos" w:hAnsi="Aptos"/>
                <w:b w:val="0"/>
                <w:color w:val="263238"/>
                <w:sz w:val="17"/>
              </w:rPr>
              <w:t>Conditions</w:t>
            </w:r>
          </w:p>
        </w:tc>
        <w:tc>
          <w:tcPr>
            <w:tcW w:type="dxa" w:w="7056"/>
            <w:vAlign w:val="center"/>
            <w:shd w:fill="F7FAFB"/>
          </w:tcPr>
          <w:p>
            <w:pPr>
              <w:spacing w:after="0"/>
            </w:pPr>
            <w:r/>
            <w:r>
              <w:rPr>
                <w:rFonts w:ascii="Aptos" w:hAnsi="Aptos"/>
                <w:b w:val="0"/>
                <w:color w:val="263238"/>
                <w:sz w:val="17"/>
              </w:rPr>
              <w:t>Additional documents, confirmations, or other requirements before funding.</w:t>
            </w:r>
          </w:p>
        </w:tc>
      </w:tr>
    </w:tbl>
    <w:p>
      <w:pPr>
        <w:spacing w:after="20"/>
      </w:pPr>
    </w:p>
    <w:p>
      <w:r>
        <w:t>The supplier is the party that chooses among financing offers because the supplier owns the funding request. The buyer confirms the underlying obligation and ultimately settles it; the financier provides capital and receives the agreed return.</w:t>
      </w:r>
    </w:p>
    <w:p>
      <w:pPr>
        <w:pStyle w:val="Heading1"/>
      </w:pPr>
      <w:r>
        <w:t>4. Users and Responsibilities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160"/>
            <w:vAlign w:val="center"/>
            <w:shd w:fill="17324D"/>
          </w:tcPr>
          <w:p>
            <w:pPr>
              <w:spacing w:after="0"/>
            </w:pPr>
            <w:r/>
            <w:r>
              <w:rPr>
                <w:rFonts w:ascii="Aptos" w:hAnsi="Aptos"/>
                <w:b/>
                <w:color w:val="FFFFFF"/>
                <w:sz w:val="18"/>
              </w:rPr>
              <w:t>User</w:t>
            </w:r>
          </w:p>
        </w:tc>
        <w:tc>
          <w:tcPr>
            <w:tcW w:type="dxa" w:w="7488"/>
            <w:vAlign w:val="center"/>
            <w:shd w:fill="17324D"/>
          </w:tcPr>
          <w:p>
            <w:pPr>
              <w:spacing w:after="0"/>
            </w:pPr>
            <w:r/>
            <w:r>
              <w:rPr>
                <w:rFonts w:ascii="Aptos" w:hAnsi="Aptos"/>
                <w:b/>
                <w:color w:val="FFFFFF"/>
                <w:sz w:val="18"/>
              </w:rPr>
              <w:t>Main responsibilities</w:t>
            </w:r>
          </w:p>
        </w:tc>
      </w:tr>
      <w:tr>
        <w:trPr>
          <w:cantSplit/>
        </w:trPr>
        <w:tc>
          <w:tcPr>
            <w:tcW w:type="dxa" w:w="2160"/>
            <w:vAlign w:val="center"/>
            <w:shd w:fill="F7FAFB"/>
          </w:tcPr>
          <w:p>
            <w:pPr>
              <w:spacing w:after="0"/>
            </w:pPr>
            <w:r/>
            <w:r>
              <w:rPr>
                <w:rFonts w:ascii="Aptos" w:hAnsi="Aptos"/>
                <w:b w:val="0"/>
                <w:color w:val="263238"/>
                <w:sz w:val="17"/>
              </w:rPr>
              <w:t>Supplier</w:t>
            </w:r>
          </w:p>
        </w:tc>
        <w:tc>
          <w:tcPr>
            <w:tcW w:type="dxa" w:w="7488"/>
            <w:vAlign w:val="center"/>
            <w:shd w:fill="F7FAFB"/>
          </w:tcPr>
          <w:p>
            <w:pPr>
              <w:spacing w:after="0"/>
            </w:pPr>
            <w:r/>
            <w:r>
              <w:rPr>
                <w:rFonts w:ascii="Aptos" w:hAnsi="Aptos"/>
                <w:b w:val="0"/>
                <w:color w:val="263238"/>
                <w:sz w:val="17"/>
              </w:rPr>
              <w:t>Create invoices, attach documents, request buyer confirmation, request financing, compare offers, accept an offer, track funding and settlement.</w:t>
            </w:r>
          </w:p>
        </w:tc>
      </w:tr>
      <w:tr>
        <w:trPr>
          <w:cantSplit/>
        </w:trPr>
        <w:tc>
          <w:tcPr>
            <w:tcW w:type="dxa" w:w="2160"/>
            <w:vAlign w:val="center"/>
          </w:tcPr>
          <w:p>
            <w:pPr>
              <w:spacing w:after="0"/>
            </w:pPr>
            <w:r/>
            <w:r>
              <w:rPr>
                <w:rFonts w:ascii="Aptos" w:hAnsi="Aptos"/>
                <w:b w:val="0"/>
                <w:color w:val="263238"/>
                <w:sz w:val="17"/>
              </w:rPr>
              <w:t>Buyer</w:t>
            </w:r>
          </w:p>
        </w:tc>
        <w:tc>
          <w:tcPr>
            <w:tcW w:type="dxa" w:w="7488"/>
            <w:vAlign w:val="center"/>
          </w:tcPr>
          <w:p>
            <w:pPr>
              <w:spacing w:after="0"/>
            </w:pPr>
            <w:r/>
            <w:r>
              <w:rPr>
                <w:rFonts w:ascii="Aptos" w:hAnsi="Aptos"/>
                <w:b w:val="0"/>
                <w:color w:val="263238"/>
                <w:sz w:val="17"/>
              </w:rPr>
              <w:t>Review invoices, confirm/reject/request correction, confirm delivery or raise a dispute, settle the obligation.</w:t>
            </w:r>
          </w:p>
        </w:tc>
      </w:tr>
      <w:tr>
        <w:trPr>
          <w:cantSplit/>
        </w:trPr>
        <w:tc>
          <w:tcPr>
            <w:tcW w:type="dxa" w:w="2160"/>
            <w:vAlign w:val="center"/>
            <w:shd w:fill="F7FAFB"/>
          </w:tcPr>
          <w:p>
            <w:pPr>
              <w:spacing w:after="0"/>
            </w:pPr>
            <w:r/>
            <w:r>
              <w:rPr>
                <w:rFonts w:ascii="Aptos" w:hAnsi="Aptos"/>
                <w:b w:val="0"/>
                <w:color w:val="263238"/>
                <w:sz w:val="17"/>
              </w:rPr>
              <w:t>Financier</w:t>
            </w:r>
          </w:p>
        </w:tc>
        <w:tc>
          <w:tcPr>
            <w:tcW w:type="dxa" w:w="7488"/>
            <w:vAlign w:val="center"/>
            <w:shd w:fill="F7FAFB"/>
          </w:tcPr>
          <w:p>
            <w:pPr>
              <w:spacing w:after="0"/>
            </w:pPr>
            <w:r/>
            <w:r>
              <w:rPr>
                <w:rFonts w:ascii="Aptos" w:hAnsi="Aptos"/>
                <w:b w:val="0"/>
                <w:color w:val="263238"/>
                <w:sz w:val="17"/>
              </w:rPr>
              <w:t>Review eligible invoices, inspect Trust Passports, request more information, make/reject offers, track funded obligations and settlement.</w:t>
            </w:r>
          </w:p>
        </w:tc>
      </w:tr>
      <w:tr>
        <w:trPr>
          <w:cantSplit/>
        </w:trPr>
        <w:tc>
          <w:tcPr>
            <w:tcW w:type="dxa" w:w="2160"/>
            <w:vAlign w:val="center"/>
          </w:tcPr>
          <w:p>
            <w:pPr>
              <w:spacing w:after="0"/>
            </w:pPr>
            <w:r/>
            <w:r>
              <w:rPr>
                <w:rFonts w:ascii="Aptos" w:hAnsi="Aptos"/>
                <w:b w:val="0"/>
                <w:color w:val="263238"/>
                <w:sz w:val="17"/>
              </w:rPr>
              <w:t>9jaTrade Operator</w:t>
            </w:r>
          </w:p>
        </w:tc>
        <w:tc>
          <w:tcPr>
            <w:tcW w:type="dxa" w:w="7488"/>
            <w:vAlign w:val="center"/>
          </w:tcPr>
          <w:p>
            <w:pPr>
              <w:spacing w:after="0"/>
            </w:pPr>
            <w:r/>
            <w:r>
              <w:rPr>
                <w:rFonts w:ascii="Aptos" w:hAnsi="Aptos"/>
                <w:b w:val="0"/>
                <w:color w:val="263238"/>
                <w:sz w:val="17"/>
              </w:rPr>
              <w:t>Onboard organizations, coordinate workflow, manage notifications/document metadata, handle exceptions for the MVP, and provide analytics.</w:t>
            </w:r>
          </w:p>
        </w:tc>
      </w:tr>
    </w:tbl>
    <w:p>
      <w:pPr>
        <w:spacing w:after="20"/>
      </w:pPr>
    </w:p>
    <w:p>
      <w:pPr>
        <w:pStyle w:val="Heading1"/>
      </w:pPr>
      <w:r>
        <w:t>5. Core Functions to Build</w:t>
      </w:r>
    </w:p>
    <w:p>
      <w:pPr>
        <w:pStyle w:val="Heading2"/>
      </w:pPr>
      <w:r>
        <w:t>Authentication &amp; Company Management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registerUser()</w:t>
            </w:r>
          </w:p>
        </w:tc>
        <w:tc>
          <w:tcPr>
            <w:tcW w:type="dxa" w:w="6480"/>
            <w:vAlign w:val="center"/>
            <w:shd w:fill="F7FAFB"/>
          </w:tcPr>
          <w:p>
            <w:pPr>
              <w:spacing w:after="0"/>
            </w:pPr>
            <w:r/>
            <w:r>
              <w:rPr>
                <w:rFonts w:ascii="Aptos" w:hAnsi="Aptos"/>
                <w:b w:val="0"/>
                <w:color w:val="263238"/>
                <w:sz w:val="17"/>
              </w:rPr>
              <w:t>Creates a user account.</w:t>
            </w:r>
          </w:p>
        </w:tc>
      </w:tr>
      <w:tr>
        <w:trPr>
          <w:cantSplit/>
        </w:trPr>
        <w:tc>
          <w:tcPr>
            <w:tcW w:type="dxa" w:w="3168"/>
            <w:vAlign w:val="center"/>
          </w:tcPr>
          <w:p>
            <w:pPr>
              <w:spacing w:after="0"/>
            </w:pPr>
            <w:r/>
            <w:r>
              <w:rPr>
                <w:rFonts w:ascii="Aptos" w:hAnsi="Aptos"/>
                <w:b w:val="0"/>
                <w:color w:val="263238"/>
                <w:sz w:val="17"/>
              </w:rPr>
              <w:t>createCompany()</w:t>
            </w:r>
          </w:p>
        </w:tc>
        <w:tc>
          <w:tcPr>
            <w:tcW w:type="dxa" w:w="6480"/>
            <w:vAlign w:val="center"/>
          </w:tcPr>
          <w:p>
            <w:pPr>
              <w:spacing w:after="0"/>
            </w:pPr>
            <w:r/>
            <w:r>
              <w:rPr>
                <w:rFonts w:ascii="Aptos" w:hAnsi="Aptos"/>
                <w:b w:val="0"/>
                <w:color w:val="263238"/>
                <w:sz w:val="17"/>
              </w:rPr>
              <w:t>Creates a supplier, buyer, or financier organization profile.</w:t>
            </w:r>
          </w:p>
        </w:tc>
      </w:tr>
      <w:tr>
        <w:trPr>
          <w:cantSplit/>
        </w:trPr>
        <w:tc>
          <w:tcPr>
            <w:tcW w:type="dxa" w:w="3168"/>
            <w:vAlign w:val="center"/>
            <w:shd w:fill="F7FAFB"/>
          </w:tcPr>
          <w:p>
            <w:pPr>
              <w:spacing w:after="0"/>
            </w:pPr>
            <w:r/>
            <w:r>
              <w:rPr>
                <w:rFonts w:ascii="Aptos" w:hAnsi="Aptos"/>
                <w:b w:val="0"/>
                <w:color w:val="263238"/>
                <w:sz w:val="17"/>
              </w:rPr>
              <w:t>inviteCompanyMember()</w:t>
            </w:r>
          </w:p>
        </w:tc>
        <w:tc>
          <w:tcPr>
            <w:tcW w:type="dxa" w:w="6480"/>
            <w:vAlign w:val="center"/>
            <w:shd w:fill="F7FAFB"/>
          </w:tcPr>
          <w:p>
            <w:pPr>
              <w:spacing w:after="0"/>
            </w:pPr>
            <w:r/>
            <w:r>
              <w:rPr>
                <w:rFonts w:ascii="Aptos" w:hAnsi="Aptos"/>
                <w:b w:val="0"/>
                <w:color w:val="263238"/>
                <w:sz w:val="17"/>
              </w:rPr>
              <w:t>Invites additional employees into a company.</w:t>
            </w:r>
          </w:p>
        </w:tc>
      </w:tr>
      <w:tr>
        <w:trPr>
          <w:cantSplit/>
        </w:trPr>
        <w:tc>
          <w:tcPr>
            <w:tcW w:type="dxa" w:w="3168"/>
            <w:vAlign w:val="center"/>
          </w:tcPr>
          <w:p>
            <w:pPr>
              <w:spacing w:after="0"/>
            </w:pPr>
            <w:r/>
            <w:r>
              <w:rPr>
                <w:rFonts w:ascii="Aptos" w:hAnsi="Aptos"/>
                <w:b w:val="0"/>
                <w:color w:val="263238"/>
                <w:sz w:val="17"/>
              </w:rPr>
              <w:t>assignUserRole()</w:t>
            </w:r>
          </w:p>
        </w:tc>
        <w:tc>
          <w:tcPr>
            <w:tcW w:type="dxa" w:w="6480"/>
            <w:vAlign w:val="center"/>
          </w:tcPr>
          <w:p>
            <w:pPr>
              <w:spacing w:after="0"/>
            </w:pPr>
            <w:r/>
            <w:r>
              <w:rPr>
                <w:rFonts w:ascii="Aptos" w:hAnsi="Aptos"/>
                <w:b w:val="0"/>
                <w:color w:val="263238"/>
                <w:sz w:val="17"/>
              </w:rPr>
              <w:t>Assigns permissions such as supplier admin, buyer staff, or financier.</w:t>
            </w:r>
          </w:p>
        </w:tc>
      </w:tr>
      <w:tr>
        <w:trPr>
          <w:cantSplit/>
        </w:trPr>
        <w:tc>
          <w:tcPr>
            <w:tcW w:type="dxa" w:w="3168"/>
            <w:vAlign w:val="center"/>
            <w:shd w:fill="F7FAFB"/>
          </w:tcPr>
          <w:p>
            <w:pPr>
              <w:spacing w:after="0"/>
            </w:pPr>
            <w:r/>
            <w:r>
              <w:rPr>
                <w:rFonts w:ascii="Aptos" w:hAnsi="Aptos"/>
                <w:b w:val="0"/>
                <w:color w:val="263238"/>
                <w:sz w:val="17"/>
              </w:rPr>
              <w:t>getCompanyProfile()</w:t>
            </w:r>
          </w:p>
        </w:tc>
        <w:tc>
          <w:tcPr>
            <w:tcW w:type="dxa" w:w="6480"/>
            <w:vAlign w:val="center"/>
            <w:shd w:fill="F7FAFB"/>
          </w:tcPr>
          <w:p>
            <w:pPr>
              <w:spacing w:after="0"/>
            </w:pPr>
            <w:r/>
            <w:r>
              <w:rPr>
                <w:rFonts w:ascii="Aptos" w:hAnsi="Aptos"/>
                <w:b w:val="0"/>
                <w:color w:val="263238"/>
                <w:sz w:val="17"/>
              </w:rPr>
              <w:t>Returns company details and onboarding/verification status.</w:t>
            </w:r>
          </w:p>
        </w:tc>
      </w:tr>
    </w:tbl>
    <w:p>
      <w:pPr>
        <w:spacing w:after="20"/>
      </w:pPr>
    </w:p>
    <w:p>
      <w:pPr>
        <w:pStyle w:val="Heading2"/>
      </w:pPr>
      <w:r>
        <w:t>Supplier Functions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createInvoice()</w:t>
            </w:r>
          </w:p>
        </w:tc>
        <w:tc>
          <w:tcPr>
            <w:tcW w:type="dxa" w:w="6480"/>
            <w:vAlign w:val="center"/>
            <w:shd w:fill="F7FAFB"/>
          </w:tcPr>
          <w:p>
            <w:pPr>
              <w:spacing w:after="0"/>
            </w:pPr>
            <w:r/>
            <w:r>
              <w:rPr>
                <w:rFonts w:ascii="Aptos" w:hAnsi="Aptos"/>
                <w:b w:val="0"/>
                <w:color w:val="263238"/>
                <w:sz w:val="17"/>
              </w:rPr>
              <w:t>Creates an invoice with buyer, amount, currency, dates, description, and supporting-document metadata.</w:t>
            </w:r>
          </w:p>
        </w:tc>
      </w:tr>
      <w:tr>
        <w:trPr>
          <w:cantSplit/>
        </w:trPr>
        <w:tc>
          <w:tcPr>
            <w:tcW w:type="dxa" w:w="3168"/>
            <w:vAlign w:val="center"/>
          </w:tcPr>
          <w:p>
            <w:pPr>
              <w:spacing w:after="0"/>
            </w:pPr>
            <w:r/>
            <w:r>
              <w:rPr>
                <w:rFonts w:ascii="Aptos" w:hAnsi="Aptos"/>
                <w:b w:val="0"/>
                <w:color w:val="263238"/>
                <w:sz w:val="17"/>
              </w:rPr>
              <w:t>submitInvoice()</w:t>
            </w:r>
          </w:p>
        </w:tc>
        <w:tc>
          <w:tcPr>
            <w:tcW w:type="dxa" w:w="6480"/>
            <w:vAlign w:val="center"/>
          </w:tcPr>
          <w:p>
            <w:pPr>
              <w:spacing w:after="0"/>
            </w:pPr>
            <w:r/>
            <w:r>
              <w:rPr>
                <w:rFonts w:ascii="Aptos" w:hAnsi="Aptos"/>
                <w:b w:val="0"/>
                <w:color w:val="263238"/>
                <w:sz w:val="17"/>
              </w:rPr>
              <w:t>Moves an invoice from draft into buyer review.</w:t>
            </w:r>
          </w:p>
        </w:tc>
      </w:tr>
      <w:tr>
        <w:trPr>
          <w:cantSplit/>
        </w:trPr>
        <w:tc>
          <w:tcPr>
            <w:tcW w:type="dxa" w:w="3168"/>
            <w:vAlign w:val="center"/>
            <w:shd w:fill="F7FAFB"/>
          </w:tcPr>
          <w:p>
            <w:pPr>
              <w:spacing w:after="0"/>
            </w:pPr>
            <w:r/>
            <w:r>
              <w:rPr>
                <w:rFonts w:ascii="Aptos" w:hAnsi="Aptos"/>
                <w:b w:val="0"/>
                <w:color w:val="263238"/>
                <w:sz w:val="17"/>
              </w:rPr>
              <w:t>uploadSupportingDocument()</w:t>
            </w:r>
          </w:p>
        </w:tc>
        <w:tc>
          <w:tcPr>
            <w:tcW w:type="dxa" w:w="6480"/>
            <w:vAlign w:val="center"/>
            <w:shd w:fill="F7FAFB"/>
          </w:tcPr>
          <w:p>
            <w:pPr>
              <w:spacing w:after="0"/>
            </w:pPr>
            <w:r/>
            <w:r>
              <w:rPr>
                <w:rFonts w:ascii="Aptos" w:hAnsi="Aptos"/>
                <w:b w:val="0"/>
                <w:color w:val="263238"/>
                <w:sz w:val="17"/>
              </w:rPr>
              <w:t>Adds purchase orders, invoices, delivery notes, and other evidence.</w:t>
            </w:r>
          </w:p>
        </w:tc>
      </w:tr>
      <w:tr>
        <w:trPr>
          <w:cantSplit/>
        </w:trPr>
        <w:tc>
          <w:tcPr>
            <w:tcW w:type="dxa" w:w="3168"/>
            <w:vAlign w:val="center"/>
          </w:tcPr>
          <w:p>
            <w:pPr>
              <w:spacing w:after="0"/>
            </w:pPr>
            <w:r/>
            <w:r>
              <w:rPr>
                <w:rFonts w:ascii="Aptos" w:hAnsi="Aptos"/>
                <w:b w:val="0"/>
                <w:color w:val="263238"/>
                <w:sz w:val="17"/>
              </w:rPr>
              <w:t>requestCorrection()</w:t>
            </w:r>
          </w:p>
        </w:tc>
        <w:tc>
          <w:tcPr>
            <w:tcW w:type="dxa" w:w="6480"/>
            <w:vAlign w:val="center"/>
          </w:tcPr>
          <w:p>
            <w:pPr>
              <w:spacing w:after="0"/>
            </w:pPr>
            <w:r/>
            <w:r>
              <w:rPr>
                <w:rFonts w:ascii="Aptos" w:hAnsi="Aptos"/>
                <w:b w:val="0"/>
                <w:color w:val="263238"/>
                <w:sz w:val="17"/>
              </w:rPr>
              <w:t>Updates/resubmits an invoice after a buyer correction request.</w:t>
            </w:r>
          </w:p>
        </w:tc>
      </w:tr>
      <w:tr>
        <w:trPr>
          <w:cantSplit/>
        </w:trPr>
        <w:tc>
          <w:tcPr>
            <w:tcW w:type="dxa" w:w="3168"/>
            <w:vAlign w:val="center"/>
            <w:shd w:fill="F7FAFB"/>
          </w:tcPr>
          <w:p>
            <w:pPr>
              <w:spacing w:after="0"/>
            </w:pPr>
            <w:r/>
            <w:r>
              <w:rPr>
                <w:rFonts w:ascii="Aptos" w:hAnsi="Aptos"/>
                <w:b w:val="0"/>
                <w:color w:val="263238"/>
                <w:sz w:val="17"/>
              </w:rPr>
              <w:t>requestFinancing()</w:t>
            </w:r>
          </w:p>
        </w:tc>
        <w:tc>
          <w:tcPr>
            <w:tcW w:type="dxa" w:w="6480"/>
            <w:vAlign w:val="center"/>
            <w:shd w:fill="F7FAFB"/>
          </w:tcPr>
          <w:p>
            <w:pPr>
              <w:spacing w:after="0"/>
            </w:pPr>
            <w:r/>
            <w:r>
              <w:rPr>
                <w:rFonts w:ascii="Aptos" w:hAnsi="Aptos"/>
                <w:b w:val="0"/>
                <w:color w:val="263238"/>
                <w:sz w:val="17"/>
              </w:rPr>
              <w:t>Creates a financing request against an eligible confirmed invoice.</w:t>
            </w:r>
          </w:p>
        </w:tc>
      </w:tr>
      <w:tr>
        <w:trPr>
          <w:cantSplit/>
        </w:trPr>
        <w:tc>
          <w:tcPr>
            <w:tcW w:type="dxa" w:w="3168"/>
            <w:vAlign w:val="center"/>
          </w:tcPr>
          <w:p>
            <w:pPr>
              <w:spacing w:after="0"/>
            </w:pPr>
            <w:r/>
            <w:r>
              <w:rPr>
                <w:rFonts w:ascii="Aptos" w:hAnsi="Aptos"/>
                <w:b w:val="0"/>
                <w:color w:val="263238"/>
                <w:sz w:val="17"/>
              </w:rPr>
              <w:t>viewFinancingOffers()</w:t>
            </w:r>
          </w:p>
        </w:tc>
        <w:tc>
          <w:tcPr>
            <w:tcW w:type="dxa" w:w="6480"/>
            <w:vAlign w:val="center"/>
          </w:tcPr>
          <w:p>
            <w:pPr>
              <w:spacing w:after="0"/>
            </w:pPr>
            <w:r/>
            <w:r>
              <w:rPr>
                <w:rFonts w:ascii="Aptos" w:hAnsi="Aptos"/>
                <w:b w:val="0"/>
                <w:color w:val="263238"/>
                <w:sz w:val="17"/>
              </w:rPr>
              <w:t>Lists offers from participating financiers.</w:t>
            </w:r>
          </w:p>
        </w:tc>
      </w:tr>
      <w:tr>
        <w:trPr>
          <w:cantSplit/>
        </w:trPr>
        <w:tc>
          <w:tcPr>
            <w:tcW w:type="dxa" w:w="3168"/>
            <w:vAlign w:val="center"/>
            <w:shd w:fill="F7FAFB"/>
          </w:tcPr>
          <w:p>
            <w:pPr>
              <w:spacing w:after="0"/>
            </w:pPr>
            <w:r/>
            <w:r>
              <w:rPr>
                <w:rFonts w:ascii="Aptos" w:hAnsi="Aptos"/>
                <w:b w:val="0"/>
                <w:color w:val="263238"/>
                <w:sz w:val="17"/>
              </w:rPr>
              <w:t>acceptFinancingOffer()</w:t>
            </w:r>
          </w:p>
        </w:tc>
        <w:tc>
          <w:tcPr>
            <w:tcW w:type="dxa" w:w="6480"/>
            <w:vAlign w:val="center"/>
            <w:shd w:fill="F7FAFB"/>
          </w:tcPr>
          <w:p>
            <w:pPr>
              <w:spacing w:after="0"/>
            </w:pPr>
            <w:r/>
            <w:r>
              <w:rPr>
                <w:rFonts w:ascii="Aptos" w:hAnsi="Aptos"/>
                <w:b w:val="0"/>
                <w:color w:val="263238"/>
                <w:sz w:val="17"/>
              </w:rPr>
              <w:t>Selects one financing offer and triggers creation of the financing agreement.</w:t>
            </w:r>
          </w:p>
        </w:tc>
      </w:tr>
      <w:tr>
        <w:trPr>
          <w:cantSplit/>
        </w:trPr>
        <w:tc>
          <w:tcPr>
            <w:tcW w:type="dxa" w:w="3168"/>
            <w:vAlign w:val="center"/>
          </w:tcPr>
          <w:p>
            <w:pPr>
              <w:spacing w:after="0"/>
            </w:pPr>
            <w:r/>
            <w:r>
              <w:rPr>
                <w:rFonts w:ascii="Aptos" w:hAnsi="Aptos"/>
                <w:b w:val="0"/>
                <w:color w:val="263238"/>
                <w:sz w:val="17"/>
              </w:rPr>
              <w:t>cancelFinancingRequest()</w:t>
            </w:r>
          </w:p>
        </w:tc>
        <w:tc>
          <w:tcPr>
            <w:tcW w:type="dxa" w:w="6480"/>
            <w:vAlign w:val="center"/>
          </w:tcPr>
          <w:p>
            <w:pPr>
              <w:spacing w:after="0"/>
            </w:pPr>
            <w:r/>
            <w:r>
              <w:rPr>
                <w:rFonts w:ascii="Aptos" w:hAnsi="Aptos"/>
                <w:b w:val="0"/>
                <w:color w:val="263238"/>
                <w:sz w:val="17"/>
              </w:rPr>
              <w:t>Cancels an open financing request before funding where permitted.</w:t>
            </w:r>
          </w:p>
        </w:tc>
      </w:tr>
      <w:tr>
        <w:trPr>
          <w:cantSplit/>
        </w:trPr>
        <w:tc>
          <w:tcPr>
            <w:tcW w:type="dxa" w:w="3168"/>
            <w:vAlign w:val="center"/>
            <w:shd w:fill="F7FAFB"/>
          </w:tcPr>
          <w:p>
            <w:pPr>
              <w:spacing w:after="0"/>
            </w:pPr>
            <w:r/>
            <w:r>
              <w:rPr>
                <w:rFonts w:ascii="Aptos" w:hAnsi="Aptos"/>
                <w:b w:val="0"/>
                <w:color w:val="263238"/>
                <w:sz w:val="17"/>
              </w:rPr>
              <w:t>viewInvoiceStatus()</w:t>
            </w:r>
          </w:p>
        </w:tc>
        <w:tc>
          <w:tcPr>
            <w:tcW w:type="dxa" w:w="6480"/>
            <w:vAlign w:val="center"/>
            <w:shd w:fill="F7FAFB"/>
          </w:tcPr>
          <w:p>
            <w:pPr>
              <w:spacing w:after="0"/>
            </w:pPr>
            <w:r/>
            <w:r>
              <w:rPr>
                <w:rFonts w:ascii="Aptos" w:hAnsi="Aptos"/>
                <w:b w:val="0"/>
                <w:color w:val="263238"/>
                <w:sz w:val="17"/>
              </w:rPr>
              <w:t>Shows current lifecycle state and outstanding actions.</w:t>
            </w:r>
          </w:p>
        </w:tc>
      </w:tr>
      <w:tr>
        <w:trPr>
          <w:cantSplit/>
        </w:trPr>
        <w:tc>
          <w:tcPr>
            <w:tcW w:type="dxa" w:w="3168"/>
            <w:vAlign w:val="center"/>
          </w:tcPr>
          <w:p>
            <w:pPr>
              <w:spacing w:after="0"/>
            </w:pPr>
            <w:r/>
            <w:r>
              <w:rPr>
                <w:rFonts w:ascii="Aptos" w:hAnsi="Aptos"/>
                <w:b w:val="0"/>
                <w:color w:val="263238"/>
                <w:sz w:val="17"/>
              </w:rPr>
              <w:t>viewTrustPassport()</w:t>
            </w:r>
          </w:p>
        </w:tc>
        <w:tc>
          <w:tcPr>
            <w:tcW w:type="dxa" w:w="6480"/>
            <w:vAlign w:val="center"/>
          </w:tcPr>
          <w:p>
            <w:pPr>
              <w:spacing w:after="0"/>
            </w:pPr>
            <w:r/>
            <w:r>
              <w:rPr>
                <w:rFonts w:ascii="Aptos" w:hAnsi="Aptos"/>
                <w:b w:val="0"/>
                <w:color w:val="263238"/>
                <w:sz w:val="17"/>
              </w:rPr>
              <w:t>Shows the evidence and history associated with the invoice.</w:t>
            </w:r>
          </w:p>
        </w:tc>
      </w:tr>
      <w:tr>
        <w:trPr>
          <w:cantSplit/>
        </w:trPr>
        <w:tc>
          <w:tcPr>
            <w:tcW w:type="dxa" w:w="3168"/>
            <w:vAlign w:val="center"/>
            <w:shd w:fill="F7FAFB"/>
          </w:tcPr>
          <w:p>
            <w:pPr>
              <w:spacing w:after="0"/>
            </w:pPr>
            <w:r/>
            <w:r>
              <w:rPr>
                <w:rFonts w:ascii="Aptos" w:hAnsi="Aptos"/>
                <w:b w:val="0"/>
                <w:color w:val="263238"/>
                <w:sz w:val="17"/>
              </w:rPr>
              <w:t>viewSettlement()</w:t>
            </w:r>
          </w:p>
        </w:tc>
        <w:tc>
          <w:tcPr>
            <w:tcW w:type="dxa" w:w="6480"/>
            <w:vAlign w:val="center"/>
            <w:shd w:fill="F7FAFB"/>
          </w:tcPr>
          <w:p>
            <w:pPr>
              <w:spacing w:after="0"/>
            </w:pPr>
            <w:r/>
            <w:r>
              <w:rPr>
                <w:rFonts w:ascii="Aptos" w:hAnsi="Aptos"/>
                <w:b w:val="0"/>
                <w:color w:val="263238"/>
                <w:sz w:val="17"/>
              </w:rPr>
              <w:t>Shows the settlement status and allocation.</w:t>
            </w:r>
          </w:p>
        </w:tc>
      </w:tr>
    </w:tbl>
    <w:p>
      <w:pPr>
        <w:spacing w:after="20"/>
      </w:pPr>
    </w:p>
    <w:p>
      <w:pPr>
        <w:pStyle w:val="Heading2"/>
      </w:pPr>
      <w:r>
        <w:t>Buyer Functions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viewIncomingInvoice()</w:t>
            </w:r>
          </w:p>
        </w:tc>
        <w:tc>
          <w:tcPr>
            <w:tcW w:type="dxa" w:w="6480"/>
            <w:vAlign w:val="center"/>
            <w:shd w:fill="F7FAFB"/>
          </w:tcPr>
          <w:p>
            <w:pPr>
              <w:spacing w:after="0"/>
            </w:pPr>
            <w:r/>
            <w:r>
              <w:rPr>
                <w:rFonts w:ascii="Aptos" w:hAnsi="Aptos"/>
                <w:b w:val="0"/>
                <w:color w:val="263238"/>
                <w:sz w:val="17"/>
              </w:rPr>
              <w:t>Shows invoices awaiting buyer action.</w:t>
            </w:r>
          </w:p>
        </w:tc>
      </w:tr>
      <w:tr>
        <w:trPr>
          <w:cantSplit/>
        </w:trPr>
        <w:tc>
          <w:tcPr>
            <w:tcW w:type="dxa" w:w="3168"/>
            <w:vAlign w:val="center"/>
          </w:tcPr>
          <w:p>
            <w:pPr>
              <w:spacing w:after="0"/>
            </w:pPr>
            <w:r/>
            <w:r>
              <w:rPr>
                <w:rFonts w:ascii="Aptos" w:hAnsi="Aptos"/>
                <w:b w:val="0"/>
                <w:color w:val="263238"/>
                <w:sz w:val="17"/>
              </w:rPr>
              <w:t>confirmInvoice()</w:t>
            </w:r>
          </w:p>
        </w:tc>
        <w:tc>
          <w:tcPr>
            <w:tcW w:type="dxa" w:w="6480"/>
            <w:vAlign w:val="center"/>
          </w:tcPr>
          <w:p>
            <w:pPr>
              <w:spacing w:after="0"/>
            </w:pPr>
            <w:r/>
            <w:r>
              <w:rPr>
                <w:rFonts w:ascii="Aptos" w:hAnsi="Aptos"/>
                <w:b w:val="0"/>
                <w:color w:val="263238"/>
                <w:sz w:val="17"/>
              </w:rPr>
              <w:t>Acknowledges that the buyer recognizes the invoice obligation.</w:t>
            </w:r>
          </w:p>
        </w:tc>
      </w:tr>
      <w:tr>
        <w:trPr>
          <w:cantSplit/>
        </w:trPr>
        <w:tc>
          <w:tcPr>
            <w:tcW w:type="dxa" w:w="3168"/>
            <w:vAlign w:val="center"/>
            <w:shd w:fill="F7FAFB"/>
          </w:tcPr>
          <w:p>
            <w:pPr>
              <w:spacing w:after="0"/>
            </w:pPr>
            <w:r/>
            <w:r>
              <w:rPr>
                <w:rFonts w:ascii="Aptos" w:hAnsi="Aptos"/>
                <w:b w:val="0"/>
                <w:color w:val="263238"/>
                <w:sz w:val="17"/>
              </w:rPr>
              <w:t>rejectInvoice()</w:t>
            </w:r>
          </w:p>
        </w:tc>
        <w:tc>
          <w:tcPr>
            <w:tcW w:type="dxa" w:w="6480"/>
            <w:vAlign w:val="center"/>
            <w:shd w:fill="F7FAFB"/>
          </w:tcPr>
          <w:p>
            <w:pPr>
              <w:spacing w:after="0"/>
            </w:pPr>
            <w:r/>
            <w:r>
              <w:rPr>
                <w:rFonts w:ascii="Aptos" w:hAnsi="Aptos"/>
                <w:b w:val="0"/>
                <w:color w:val="263238"/>
                <w:sz w:val="17"/>
              </w:rPr>
              <w:t>Rejects an invoice that is incorrect or not recognized.</w:t>
            </w:r>
          </w:p>
        </w:tc>
      </w:tr>
      <w:tr>
        <w:trPr>
          <w:cantSplit/>
        </w:trPr>
        <w:tc>
          <w:tcPr>
            <w:tcW w:type="dxa" w:w="3168"/>
            <w:vAlign w:val="center"/>
          </w:tcPr>
          <w:p>
            <w:pPr>
              <w:spacing w:after="0"/>
            </w:pPr>
            <w:r/>
            <w:r>
              <w:rPr>
                <w:rFonts w:ascii="Aptos" w:hAnsi="Aptos"/>
                <w:b w:val="0"/>
                <w:color w:val="263238"/>
                <w:sz w:val="17"/>
              </w:rPr>
              <w:t>requestInvoiceCorrection()</w:t>
            </w:r>
          </w:p>
        </w:tc>
        <w:tc>
          <w:tcPr>
            <w:tcW w:type="dxa" w:w="6480"/>
            <w:vAlign w:val="center"/>
          </w:tcPr>
          <w:p>
            <w:pPr>
              <w:spacing w:after="0"/>
            </w:pPr>
            <w:r/>
            <w:r>
              <w:rPr>
                <w:rFonts w:ascii="Aptos" w:hAnsi="Aptos"/>
                <w:b w:val="0"/>
                <w:color w:val="263238"/>
                <w:sz w:val="17"/>
              </w:rPr>
              <w:t>Requests a correction before confirmation.</w:t>
            </w:r>
          </w:p>
        </w:tc>
      </w:tr>
      <w:tr>
        <w:trPr>
          <w:cantSplit/>
        </w:trPr>
        <w:tc>
          <w:tcPr>
            <w:tcW w:type="dxa" w:w="3168"/>
            <w:vAlign w:val="center"/>
            <w:shd w:fill="F7FAFB"/>
          </w:tcPr>
          <w:p>
            <w:pPr>
              <w:spacing w:after="0"/>
            </w:pPr>
            <w:r/>
            <w:r>
              <w:rPr>
                <w:rFonts w:ascii="Aptos" w:hAnsi="Aptos"/>
                <w:b w:val="0"/>
                <w:color w:val="263238"/>
                <w:sz w:val="17"/>
              </w:rPr>
              <w:t>confirmDelivery()</w:t>
            </w:r>
          </w:p>
        </w:tc>
        <w:tc>
          <w:tcPr>
            <w:tcW w:type="dxa" w:w="6480"/>
            <w:vAlign w:val="center"/>
            <w:shd w:fill="F7FAFB"/>
          </w:tcPr>
          <w:p>
            <w:pPr>
              <w:spacing w:after="0"/>
            </w:pPr>
            <w:r/>
            <w:r>
              <w:rPr>
                <w:rFonts w:ascii="Aptos" w:hAnsi="Aptos"/>
                <w:b w:val="0"/>
                <w:color w:val="263238"/>
                <w:sz w:val="17"/>
              </w:rPr>
              <w:t>Confirms goods/services were received.</w:t>
            </w:r>
          </w:p>
        </w:tc>
      </w:tr>
      <w:tr>
        <w:trPr>
          <w:cantSplit/>
        </w:trPr>
        <w:tc>
          <w:tcPr>
            <w:tcW w:type="dxa" w:w="3168"/>
            <w:vAlign w:val="center"/>
          </w:tcPr>
          <w:p>
            <w:pPr>
              <w:spacing w:after="0"/>
            </w:pPr>
            <w:r/>
            <w:r>
              <w:rPr>
                <w:rFonts w:ascii="Aptos" w:hAnsi="Aptos"/>
                <w:b w:val="0"/>
                <w:color w:val="263238"/>
                <w:sz w:val="17"/>
              </w:rPr>
              <w:t>raiseDispute()</w:t>
            </w:r>
          </w:p>
        </w:tc>
        <w:tc>
          <w:tcPr>
            <w:tcW w:type="dxa" w:w="6480"/>
            <w:vAlign w:val="center"/>
          </w:tcPr>
          <w:p>
            <w:pPr>
              <w:spacing w:after="0"/>
            </w:pPr>
            <w:r/>
            <w:r>
              <w:rPr>
                <w:rFonts w:ascii="Aptos" w:hAnsi="Aptos"/>
                <w:b w:val="0"/>
                <w:color w:val="263238"/>
                <w:sz w:val="17"/>
              </w:rPr>
              <w:t>Creates a dispute over amount, delivery, quality, or other agreed evidence.</w:t>
            </w:r>
          </w:p>
        </w:tc>
      </w:tr>
      <w:tr>
        <w:trPr>
          <w:cantSplit/>
        </w:trPr>
        <w:tc>
          <w:tcPr>
            <w:tcW w:type="dxa" w:w="3168"/>
            <w:vAlign w:val="center"/>
            <w:shd w:fill="F7FAFB"/>
          </w:tcPr>
          <w:p>
            <w:pPr>
              <w:spacing w:after="0"/>
            </w:pPr>
            <w:r/>
            <w:r>
              <w:rPr>
                <w:rFonts w:ascii="Aptos" w:hAnsi="Aptos"/>
                <w:b w:val="0"/>
                <w:color w:val="263238"/>
                <w:sz w:val="17"/>
              </w:rPr>
              <w:t>respondToDispute()</w:t>
            </w:r>
          </w:p>
        </w:tc>
        <w:tc>
          <w:tcPr>
            <w:tcW w:type="dxa" w:w="6480"/>
            <w:vAlign w:val="center"/>
            <w:shd w:fill="F7FAFB"/>
          </w:tcPr>
          <w:p>
            <w:pPr>
              <w:spacing w:after="0"/>
            </w:pPr>
            <w:r/>
            <w:r>
              <w:rPr>
                <w:rFonts w:ascii="Aptos" w:hAnsi="Aptos"/>
                <w:b w:val="0"/>
                <w:color w:val="263238"/>
                <w:sz w:val="17"/>
              </w:rPr>
              <w:t>Provides evidence or a response to a dispute.</w:t>
            </w:r>
          </w:p>
        </w:tc>
      </w:tr>
      <w:tr>
        <w:trPr>
          <w:cantSplit/>
        </w:trPr>
        <w:tc>
          <w:tcPr>
            <w:tcW w:type="dxa" w:w="3168"/>
            <w:vAlign w:val="center"/>
          </w:tcPr>
          <w:p>
            <w:pPr>
              <w:spacing w:after="0"/>
            </w:pPr>
            <w:r/>
            <w:r>
              <w:rPr>
                <w:rFonts w:ascii="Aptos" w:hAnsi="Aptos"/>
                <w:b w:val="0"/>
                <w:color w:val="263238"/>
                <w:sz w:val="17"/>
              </w:rPr>
              <w:t>confirmSettlement()</w:t>
            </w:r>
          </w:p>
        </w:tc>
        <w:tc>
          <w:tcPr>
            <w:tcW w:type="dxa" w:w="6480"/>
            <w:vAlign w:val="center"/>
          </w:tcPr>
          <w:p>
            <w:pPr>
              <w:spacing w:after="0"/>
            </w:pPr>
            <w:r/>
            <w:r>
              <w:rPr>
                <w:rFonts w:ascii="Aptos" w:hAnsi="Aptos"/>
                <w:b w:val="0"/>
                <w:color w:val="263238"/>
                <w:sz w:val="17"/>
              </w:rPr>
              <w:t>Confirms that the buyer has completed the required payment event.</w:t>
            </w:r>
          </w:p>
        </w:tc>
      </w:tr>
      <w:tr>
        <w:trPr>
          <w:cantSplit/>
        </w:trPr>
        <w:tc>
          <w:tcPr>
            <w:tcW w:type="dxa" w:w="3168"/>
            <w:vAlign w:val="center"/>
            <w:shd w:fill="F7FAFB"/>
          </w:tcPr>
          <w:p>
            <w:pPr>
              <w:spacing w:after="0"/>
            </w:pPr>
            <w:r/>
            <w:r>
              <w:rPr>
                <w:rFonts w:ascii="Aptos" w:hAnsi="Aptos"/>
                <w:b w:val="0"/>
                <w:color w:val="263238"/>
                <w:sz w:val="17"/>
              </w:rPr>
              <w:t>viewOutstandingObligations()</w:t>
            </w:r>
          </w:p>
        </w:tc>
        <w:tc>
          <w:tcPr>
            <w:tcW w:type="dxa" w:w="6480"/>
            <w:vAlign w:val="center"/>
            <w:shd w:fill="F7FAFB"/>
          </w:tcPr>
          <w:p>
            <w:pPr>
              <w:spacing w:after="0"/>
            </w:pPr>
            <w:r/>
            <w:r>
              <w:rPr>
                <w:rFonts w:ascii="Aptos" w:hAnsi="Aptos"/>
                <w:b w:val="0"/>
                <w:color w:val="263238"/>
                <w:sz w:val="17"/>
              </w:rPr>
              <w:t>Shows open invoices and upcoming/overdue payments.</w:t>
            </w:r>
          </w:p>
        </w:tc>
      </w:tr>
    </w:tbl>
    <w:p>
      <w:pPr>
        <w:spacing w:after="20"/>
      </w:pPr>
    </w:p>
    <w:p>
      <w:pPr>
        <w:pStyle w:val="Heading2"/>
      </w:pPr>
      <w:r>
        <w:t>Financier Functions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viewEligibleInvoices()</w:t>
            </w:r>
          </w:p>
        </w:tc>
        <w:tc>
          <w:tcPr>
            <w:tcW w:type="dxa" w:w="6480"/>
            <w:vAlign w:val="center"/>
            <w:shd w:fill="F7FAFB"/>
          </w:tcPr>
          <w:p>
            <w:pPr>
              <w:spacing w:after="0"/>
            </w:pPr>
            <w:r/>
            <w:r>
              <w:rPr>
                <w:rFonts w:ascii="Aptos" w:hAnsi="Aptos"/>
                <w:b w:val="0"/>
                <w:color w:val="263238"/>
                <w:sz w:val="17"/>
              </w:rPr>
              <w:t>Lists invoices that satisfy the platform’s financing workflow criteria.</w:t>
            </w:r>
          </w:p>
        </w:tc>
      </w:tr>
      <w:tr>
        <w:trPr>
          <w:cantSplit/>
        </w:trPr>
        <w:tc>
          <w:tcPr>
            <w:tcW w:type="dxa" w:w="3168"/>
            <w:vAlign w:val="center"/>
          </w:tcPr>
          <w:p>
            <w:pPr>
              <w:spacing w:after="0"/>
            </w:pPr>
            <w:r/>
            <w:r>
              <w:rPr>
                <w:rFonts w:ascii="Aptos" w:hAnsi="Aptos"/>
                <w:b w:val="0"/>
                <w:color w:val="263238"/>
                <w:sz w:val="17"/>
              </w:rPr>
              <w:t>reviewFinancingRequest()</w:t>
            </w:r>
          </w:p>
        </w:tc>
        <w:tc>
          <w:tcPr>
            <w:tcW w:type="dxa" w:w="6480"/>
            <w:vAlign w:val="center"/>
          </w:tcPr>
          <w:p>
            <w:pPr>
              <w:spacing w:after="0"/>
            </w:pPr>
            <w:r/>
            <w:r>
              <w:rPr>
                <w:rFonts w:ascii="Aptos" w:hAnsi="Aptos"/>
                <w:b w:val="0"/>
                <w:color w:val="263238"/>
                <w:sz w:val="17"/>
              </w:rPr>
              <w:t>Opens the request and its supporting evidence.</w:t>
            </w:r>
          </w:p>
        </w:tc>
      </w:tr>
      <w:tr>
        <w:trPr>
          <w:cantSplit/>
        </w:trPr>
        <w:tc>
          <w:tcPr>
            <w:tcW w:type="dxa" w:w="3168"/>
            <w:vAlign w:val="center"/>
            <w:shd w:fill="F7FAFB"/>
          </w:tcPr>
          <w:p>
            <w:pPr>
              <w:spacing w:after="0"/>
            </w:pPr>
            <w:r/>
            <w:r>
              <w:rPr>
                <w:rFonts w:ascii="Aptos" w:hAnsi="Aptos"/>
                <w:b w:val="0"/>
                <w:color w:val="263238"/>
                <w:sz w:val="17"/>
              </w:rPr>
              <w:t>viewInvoiceTrustPassport()</w:t>
            </w:r>
          </w:p>
        </w:tc>
        <w:tc>
          <w:tcPr>
            <w:tcW w:type="dxa" w:w="6480"/>
            <w:vAlign w:val="center"/>
            <w:shd w:fill="F7FAFB"/>
          </w:tcPr>
          <w:p>
            <w:pPr>
              <w:spacing w:after="0"/>
            </w:pPr>
            <w:r/>
            <w:r>
              <w:rPr>
                <w:rFonts w:ascii="Aptos" w:hAnsi="Aptos"/>
                <w:b w:val="0"/>
                <w:color w:val="263238"/>
                <w:sz w:val="17"/>
              </w:rPr>
              <w:t>Inspects the invoice lifecycle, confirmations, and financing state.</w:t>
            </w:r>
          </w:p>
        </w:tc>
      </w:tr>
      <w:tr>
        <w:trPr>
          <w:cantSplit/>
        </w:trPr>
        <w:tc>
          <w:tcPr>
            <w:tcW w:type="dxa" w:w="3168"/>
            <w:vAlign w:val="center"/>
          </w:tcPr>
          <w:p>
            <w:pPr>
              <w:spacing w:after="0"/>
            </w:pPr>
            <w:r/>
            <w:r>
              <w:rPr>
                <w:rFonts w:ascii="Aptos" w:hAnsi="Aptos"/>
                <w:b w:val="0"/>
                <w:color w:val="263238"/>
                <w:sz w:val="17"/>
              </w:rPr>
              <w:t>requestAdditionalInformation()</w:t>
            </w:r>
          </w:p>
        </w:tc>
        <w:tc>
          <w:tcPr>
            <w:tcW w:type="dxa" w:w="6480"/>
            <w:vAlign w:val="center"/>
          </w:tcPr>
          <w:p>
            <w:pPr>
              <w:spacing w:after="0"/>
            </w:pPr>
            <w:r/>
            <w:r>
              <w:rPr>
                <w:rFonts w:ascii="Aptos" w:hAnsi="Aptos"/>
                <w:b w:val="0"/>
                <w:color w:val="263238"/>
                <w:sz w:val="17"/>
              </w:rPr>
              <w:t>Requests missing documents or clarifications.</w:t>
            </w:r>
          </w:p>
        </w:tc>
      </w:tr>
      <w:tr>
        <w:trPr>
          <w:cantSplit/>
        </w:trPr>
        <w:tc>
          <w:tcPr>
            <w:tcW w:type="dxa" w:w="3168"/>
            <w:vAlign w:val="center"/>
            <w:shd w:fill="F7FAFB"/>
          </w:tcPr>
          <w:p>
            <w:pPr>
              <w:spacing w:after="0"/>
            </w:pPr>
            <w:r/>
            <w:r>
              <w:rPr>
                <w:rFonts w:ascii="Aptos" w:hAnsi="Aptos"/>
                <w:b w:val="0"/>
                <w:color w:val="263238"/>
                <w:sz w:val="17"/>
              </w:rPr>
              <w:t>createFinancingOffer()</w:t>
            </w:r>
          </w:p>
        </w:tc>
        <w:tc>
          <w:tcPr>
            <w:tcW w:type="dxa" w:w="6480"/>
            <w:vAlign w:val="center"/>
            <w:shd w:fill="F7FAFB"/>
          </w:tcPr>
          <w:p>
            <w:pPr>
              <w:spacing w:after="0"/>
            </w:pPr>
            <w:r/>
            <w:r>
              <w:rPr>
                <w:rFonts w:ascii="Aptos" w:hAnsi="Aptos"/>
                <w:b w:val="0"/>
                <w:color w:val="263238"/>
                <w:sz w:val="17"/>
              </w:rPr>
              <w:t>Makes an offer specifying funding amount, return/fee, term, expiry, and conditions.</w:t>
            </w:r>
          </w:p>
        </w:tc>
      </w:tr>
      <w:tr>
        <w:trPr>
          <w:cantSplit/>
        </w:trPr>
        <w:tc>
          <w:tcPr>
            <w:tcW w:type="dxa" w:w="3168"/>
            <w:vAlign w:val="center"/>
          </w:tcPr>
          <w:p>
            <w:pPr>
              <w:spacing w:after="0"/>
            </w:pPr>
            <w:r/>
            <w:r>
              <w:rPr>
                <w:rFonts w:ascii="Aptos" w:hAnsi="Aptos"/>
                <w:b w:val="0"/>
                <w:color w:val="263238"/>
                <w:sz w:val="17"/>
              </w:rPr>
              <w:t>rejectFinancingRequest()</w:t>
            </w:r>
          </w:p>
        </w:tc>
        <w:tc>
          <w:tcPr>
            <w:tcW w:type="dxa" w:w="6480"/>
            <w:vAlign w:val="center"/>
          </w:tcPr>
          <w:p>
            <w:pPr>
              <w:spacing w:after="0"/>
            </w:pPr>
            <w:r/>
            <w:r>
              <w:rPr>
                <w:rFonts w:ascii="Aptos" w:hAnsi="Aptos"/>
                <w:b w:val="0"/>
                <w:color w:val="263238"/>
                <w:sz w:val="17"/>
              </w:rPr>
              <w:t>Declines the financing request.</w:t>
            </w:r>
          </w:p>
        </w:tc>
      </w:tr>
      <w:tr>
        <w:trPr>
          <w:cantSplit/>
        </w:trPr>
        <w:tc>
          <w:tcPr>
            <w:tcW w:type="dxa" w:w="3168"/>
            <w:vAlign w:val="center"/>
            <w:shd w:fill="F7FAFB"/>
          </w:tcPr>
          <w:p>
            <w:pPr>
              <w:spacing w:after="0"/>
            </w:pPr>
            <w:r/>
            <w:r>
              <w:rPr>
                <w:rFonts w:ascii="Aptos" w:hAnsi="Aptos"/>
                <w:b w:val="0"/>
                <w:color w:val="263238"/>
                <w:sz w:val="17"/>
              </w:rPr>
              <w:t>viewActiveFinancing()</w:t>
            </w:r>
          </w:p>
        </w:tc>
        <w:tc>
          <w:tcPr>
            <w:tcW w:type="dxa" w:w="6480"/>
            <w:vAlign w:val="center"/>
            <w:shd w:fill="F7FAFB"/>
          </w:tcPr>
          <w:p>
            <w:pPr>
              <w:spacing w:after="0"/>
            </w:pPr>
            <w:r/>
            <w:r>
              <w:rPr>
                <w:rFonts w:ascii="Aptos" w:hAnsi="Aptos"/>
                <w:b w:val="0"/>
                <w:color w:val="263238"/>
                <w:sz w:val="17"/>
              </w:rPr>
              <w:t>Tracks funded agreements and maturity dates.</w:t>
            </w:r>
          </w:p>
        </w:tc>
      </w:tr>
      <w:tr>
        <w:trPr>
          <w:cantSplit/>
        </w:trPr>
        <w:tc>
          <w:tcPr>
            <w:tcW w:type="dxa" w:w="3168"/>
            <w:vAlign w:val="center"/>
          </w:tcPr>
          <w:p>
            <w:pPr>
              <w:spacing w:after="0"/>
            </w:pPr>
            <w:r/>
            <w:r>
              <w:rPr>
                <w:rFonts w:ascii="Aptos" w:hAnsi="Aptos"/>
                <w:b w:val="0"/>
                <w:color w:val="263238"/>
                <w:sz w:val="17"/>
              </w:rPr>
              <w:t>confirmFinancingSettlement()</w:t>
            </w:r>
          </w:p>
        </w:tc>
        <w:tc>
          <w:tcPr>
            <w:tcW w:type="dxa" w:w="6480"/>
            <w:vAlign w:val="center"/>
          </w:tcPr>
          <w:p>
            <w:pPr>
              <w:spacing w:after="0"/>
            </w:pPr>
            <w:r/>
            <w:r>
              <w:rPr>
                <w:rFonts w:ascii="Aptos" w:hAnsi="Aptos"/>
                <w:b w:val="0"/>
                <w:color w:val="263238"/>
                <w:sz w:val="17"/>
              </w:rPr>
              <w:t>Confirms settlement after the required payment event.</w:t>
            </w:r>
          </w:p>
        </w:tc>
      </w:tr>
    </w:tbl>
    <w:p>
      <w:pPr>
        <w:spacing w:after="20"/>
      </w:pPr>
    </w:p>
    <w:p>
      <w:pPr>
        <w:pStyle w:val="Heading2"/>
      </w:pPr>
      <w:r>
        <w:t>Trust Passport &amp; Integrity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generateTrustPassport()</w:t>
            </w:r>
          </w:p>
        </w:tc>
        <w:tc>
          <w:tcPr>
            <w:tcW w:type="dxa" w:w="6480"/>
            <w:vAlign w:val="center"/>
            <w:shd w:fill="F7FAFB"/>
          </w:tcPr>
          <w:p>
            <w:pPr>
              <w:spacing w:after="0"/>
            </w:pPr>
            <w:r/>
            <w:r>
              <w:rPr>
                <w:rFonts w:ascii="Aptos" w:hAnsi="Aptos"/>
                <w:b w:val="0"/>
                <w:color w:val="263238"/>
                <w:sz w:val="17"/>
              </w:rPr>
              <w:t>Builds the evidence summary for an invoice.</w:t>
            </w:r>
          </w:p>
        </w:tc>
      </w:tr>
      <w:tr>
        <w:trPr>
          <w:cantSplit/>
        </w:trPr>
        <w:tc>
          <w:tcPr>
            <w:tcW w:type="dxa" w:w="3168"/>
            <w:vAlign w:val="center"/>
          </w:tcPr>
          <w:p>
            <w:pPr>
              <w:spacing w:after="0"/>
            </w:pPr>
            <w:r/>
            <w:r>
              <w:rPr>
                <w:rFonts w:ascii="Aptos" w:hAnsi="Aptos"/>
                <w:b w:val="0"/>
                <w:color w:val="263238"/>
                <w:sz w:val="17"/>
              </w:rPr>
              <w:t>getInvoiceHistory()</w:t>
            </w:r>
          </w:p>
        </w:tc>
        <w:tc>
          <w:tcPr>
            <w:tcW w:type="dxa" w:w="6480"/>
            <w:vAlign w:val="center"/>
          </w:tcPr>
          <w:p>
            <w:pPr>
              <w:spacing w:after="0"/>
            </w:pPr>
            <w:r/>
            <w:r>
              <w:rPr>
                <w:rFonts w:ascii="Aptos" w:hAnsi="Aptos"/>
                <w:b w:val="0"/>
                <w:color w:val="263238"/>
                <w:sz w:val="17"/>
              </w:rPr>
              <w:t>Returns chronological lifecycle events.</w:t>
            </w:r>
          </w:p>
        </w:tc>
      </w:tr>
      <w:tr>
        <w:trPr>
          <w:cantSplit/>
        </w:trPr>
        <w:tc>
          <w:tcPr>
            <w:tcW w:type="dxa" w:w="3168"/>
            <w:vAlign w:val="center"/>
            <w:shd w:fill="F7FAFB"/>
          </w:tcPr>
          <w:p>
            <w:pPr>
              <w:spacing w:after="0"/>
            </w:pPr>
            <w:r/>
            <w:r>
              <w:rPr>
                <w:rFonts w:ascii="Aptos" w:hAnsi="Aptos"/>
                <w:b w:val="0"/>
                <w:color w:val="263238"/>
                <w:sz w:val="17"/>
              </w:rPr>
              <w:t>verifyDocumentHash()</w:t>
            </w:r>
          </w:p>
        </w:tc>
        <w:tc>
          <w:tcPr>
            <w:tcW w:type="dxa" w:w="6480"/>
            <w:vAlign w:val="center"/>
            <w:shd w:fill="F7FAFB"/>
          </w:tcPr>
          <w:p>
            <w:pPr>
              <w:spacing w:after="0"/>
            </w:pPr>
            <w:r/>
            <w:r>
              <w:rPr>
                <w:rFonts w:ascii="Aptos" w:hAnsi="Aptos"/>
                <w:b w:val="0"/>
                <w:color w:val="263238"/>
                <w:sz w:val="17"/>
              </w:rPr>
              <w:t>Checks whether a submitted document matches its recorded hash.</w:t>
            </w:r>
          </w:p>
        </w:tc>
      </w:tr>
      <w:tr>
        <w:trPr>
          <w:cantSplit/>
        </w:trPr>
        <w:tc>
          <w:tcPr>
            <w:tcW w:type="dxa" w:w="3168"/>
            <w:vAlign w:val="center"/>
          </w:tcPr>
          <w:p>
            <w:pPr>
              <w:spacing w:after="0"/>
            </w:pPr>
            <w:r/>
            <w:r>
              <w:rPr>
                <w:rFonts w:ascii="Aptos" w:hAnsi="Aptos"/>
                <w:b w:val="0"/>
                <w:color w:val="263238"/>
                <w:sz w:val="17"/>
              </w:rPr>
              <w:t>checkFinancingStatus()</w:t>
            </w:r>
          </w:p>
        </w:tc>
        <w:tc>
          <w:tcPr>
            <w:tcW w:type="dxa" w:w="6480"/>
            <w:vAlign w:val="center"/>
          </w:tcPr>
          <w:p>
            <w:pPr>
              <w:spacing w:after="0"/>
            </w:pPr>
            <w:r/>
            <w:r>
              <w:rPr>
                <w:rFonts w:ascii="Aptos" w:hAnsi="Aptos"/>
                <w:b w:val="0"/>
                <w:color w:val="263238"/>
                <w:sz w:val="17"/>
              </w:rPr>
              <w:t>Determines whether the invoice is already financed or otherwise locked.</w:t>
            </w:r>
          </w:p>
        </w:tc>
      </w:tr>
      <w:tr>
        <w:trPr>
          <w:cantSplit/>
        </w:trPr>
        <w:tc>
          <w:tcPr>
            <w:tcW w:type="dxa" w:w="3168"/>
            <w:vAlign w:val="center"/>
            <w:shd w:fill="F7FAFB"/>
          </w:tcPr>
          <w:p>
            <w:pPr>
              <w:spacing w:after="0"/>
            </w:pPr>
            <w:r/>
            <w:r>
              <w:rPr>
                <w:rFonts w:ascii="Aptos" w:hAnsi="Aptos"/>
                <w:b w:val="0"/>
                <w:color w:val="263238"/>
                <w:sz w:val="17"/>
              </w:rPr>
              <w:t>checkInvoiceEligibility()</w:t>
            </w:r>
          </w:p>
        </w:tc>
        <w:tc>
          <w:tcPr>
            <w:tcW w:type="dxa" w:w="6480"/>
            <w:vAlign w:val="center"/>
            <w:shd w:fill="F7FAFB"/>
          </w:tcPr>
          <w:p>
            <w:pPr>
              <w:spacing w:after="0"/>
            </w:pPr>
            <w:r/>
            <w:r>
              <w:rPr>
                <w:rFonts w:ascii="Aptos" w:hAnsi="Aptos"/>
                <w:b w:val="0"/>
                <w:color w:val="263238"/>
                <w:sz w:val="17"/>
              </w:rPr>
              <w:t>Checks whether required workflow conditions are satisfied before financing.</w:t>
            </w:r>
          </w:p>
        </w:tc>
      </w:tr>
    </w:tbl>
    <w:p>
      <w:pPr>
        <w:spacing w:after="20"/>
      </w:pPr>
    </w:p>
    <w:p>
      <w:pPr>
        <w:pStyle w:val="Heading2"/>
      </w:pPr>
      <w:r>
        <w:t>Financing &amp; Settlement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calculateFinancingAmount()</w:t>
            </w:r>
          </w:p>
        </w:tc>
        <w:tc>
          <w:tcPr>
            <w:tcW w:type="dxa" w:w="6480"/>
            <w:vAlign w:val="center"/>
            <w:shd w:fill="F7FAFB"/>
          </w:tcPr>
          <w:p>
            <w:pPr>
              <w:spacing w:after="0"/>
            </w:pPr>
            <w:r/>
            <w:r>
              <w:rPr>
                <w:rFonts w:ascii="Aptos" w:hAnsi="Aptos"/>
                <w:b w:val="0"/>
                <w:color w:val="263238"/>
                <w:sz w:val="17"/>
              </w:rPr>
              <w:t>Calculates/request-validates the financing amount against the invoice and agreed constraints.</w:t>
            </w:r>
          </w:p>
        </w:tc>
      </w:tr>
      <w:tr>
        <w:trPr>
          <w:cantSplit/>
        </w:trPr>
        <w:tc>
          <w:tcPr>
            <w:tcW w:type="dxa" w:w="3168"/>
            <w:vAlign w:val="center"/>
          </w:tcPr>
          <w:p>
            <w:pPr>
              <w:spacing w:after="0"/>
            </w:pPr>
            <w:r/>
            <w:r>
              <w:rPr>
                <w:rFonts w:ascii="Aptos" w:hAnsi="Aptos"/>
                <w:b w:val="0"/>
                <w:color w:val="263238"/>
                <w:sz w:val="17"/>
              </w:rPr>
              <w:t>createFinancingAgreement()</w:t>
            </w:r>
          </w:p>
        </w:tc>
        <w:tc>
          <w:tcPr>
            <w:tcW w:type="dxa" w:w="6480"/>
            <w:vAlign w:val="center"/>
          </w:tcPr>
          <w:p>
            <w:pPr>
              <w:spacing w:after="0"/>
            </w:pPr>
            <w:r/>
            <w:r>
              <w:rPr>
                <w:rFonts w:ascii="Aptos" w:hAnsi="Aptos"/>
                <w:b w:val="0"/>
                <w:color w:val="263238"/>
                <w:sz w:val="17"/>
              </w:rPr>
              <w:t>Creates the financing relationship and terms.</w:t>
            </w:r>
          </w:p>
        </w:tc>
      </w:tr>
      <w:tr>
        <w:trPr>
          <w:cantSplit/>
        </w:trPr>
        <w:tc>
          <w:tcPr>
            <w:tcW w:type="dxa" w:w="3168"/>
            <w:vAlign w:val="center"/>
            <w:shd w:fill="F7FAFB"/>
          </w:tcPr>
          <w:p>
            <w:pPr>
              <w:spacing w:after="0"/>
            </w:pPr>
            <w:r/>
            <w:r>
              <w:rPr>
                <w:rFonts w:ascii="Aptos" w:hAnsi="Aptos"/>
                <w:b w:val="0"/>
                <w:color w:val="263238"/>
                <w:sz w:val="17"/>
              </w:rPr>
              <w:t>expireFinancingOffer()</w:t>
            </w:r>
          </w:p>
        </w:tc>
        <w:tc>
          <w:tcPr>
            <w:tcW w:type="dxa" w:w="6480"/>
            <w:vAlign w:val="center"/>
            <w:shd w:fill="F7FAFB"/>
          </w:tcPr>
          <w:p>
            <w:pPr>
              <w:spacing w:after="0"/>
            </w:pPr>
            <w:r/>
            <w:r>
              <w:rPr>
                <w:rFonts w:ascii="Aptos" w:hAnsi="Aptos"/>
                <w:b w:val="0"/>
                <w:color w:val="263238"/>
                <w:sz w:val="17"/>
              </w:rPr>
              <w:t>Moves an expired offer out of the active offer state.</w:t>
            </w:r>
          </w:p>
        </w:tc>
      </w:tr>
      <w:tr>
        <w:trPr>
          <w:cantSplit/>
        </w:trPr>
        <w:tc>
          <w:tcPr>
            <w:tcW w:type="dxa" w:w="3168"/>
            <w:vAlign w:val="center"/>
          </w:tcPr>
          <w:p>
            <w:pPr>
              <w:spacing w:after="0"/>
            </w:pPr>
            <w:r/>
            <w:r>
              <w:rPr>
                <w:rFonts w:ascii="Aptos" w:hAnsi="Aptos"/>
                <w:b w:val="0"/>
                <w:color w:val="263238"/>
                <w:sz w:val="17"/>
              </w:rPr>
              <w:t>markAsFunded()</w:t>
            </w:r>
          </w:p>
        </w:tc>
        <w:tc>
          <w:tcPr>
            <w:tcW w:type="dxa" w:w="6480"/>
            <w:vAlign w:val="center"/>
          </w:tcPr>
          <w:p>
            <w:pPr>
              <w:spacing w:after="0"/>
            </w:pPr>
            <w:r/>
            <w:r>
              <w:rPr>
                <w:rFonts w:ascii="Aptos" w:hAnsi="Aptos"/>
                <w:b w:val="0"/>
                <w:color w:val="263238"/>
                <w:sz w:val="17"/>
              </w:rPr>
              <w:t>Records that funding has occurred in the demo workflow.</w:t>
            </w:r>
          </w:p>
        </w:tc>
      </w:tr>
      <w:tr>
        <w:trPr>
          <w:cantSplit/>
        </w:trPr>
        <w:tc>
          <w:tcPr>
            <w:tcW w:type="dxa" w:w="3168"/>
            <w:vAlign w:val="center"/>
            <w:shd w:fill="F7FAFB"/>
          </w:tcPr>
          <w:p>
            <w:pPr>
              <w:spacing w:after="0"/>
            </w:pPr>
            <w:r/>
            <w:r>
              <w:rPr>
                <w:rFonts w:ascii="Aptos" w:hAnsi="Aptos"/>
                <w:b w:val="0"/>
                <w:color w:val="263238"/>
                <w:sz w:val="17"/>
              </w:rPr>
              <w:t>markAsOverdue()</w:t>
            </w:r>
          </w:p>
        </w:tc>
        <w:tc>
          <w:tcPr>
            <w:tcW w:type="dxa" w:w="6480"/>
            <w:vAlign w:val="center"/>
            <w:shd w:fill="F7FAFB"/>
          </w:tcPr>
          <w:p>
            <w:pPr>
              <w:spacing w:after="0"/>
            </w:pPr>
            <w:r/>
            <w:r>
              <w:rPr>
                <w:rFonts w:ascii="Aptos" w:hAnsi="Aptos"/>
                <w:b w:val="0"/>
                <w:color w:val="263238"/>
                <w:sz w:val="17"/>
              </w:rPr>
              <w:t>Flags a financing obligation or invoice after its due date.</w:t>
            </w:r>
          </w:p>
        </w:tc>
      </w:tr>
      <w:tr>
        <w:trPr>
          <w:cantSplit/>
        </w:trPr>
        <w:tc>
          <w:tcPr>
            <w:tcW w:type="dxa" w:w="3168"/>
            <w:vAlign w:val="center"/>
          </w:tcPr>
          <w:p>
            <w:pPr>
              <w:spacing w:after="0"/>
            </w:pPr>
            <w:r/>
            <w:r>
              <w:rPr>
                <w:rFonts w:ascii="Aptos" w:hAnsi="Aptos"/>
                <w:b w:val="0"/>
                <w:color w:val="263238"/>
                <w:sz w:val="17"/>
              </w:rPr>
              <w:t>initiateSettlement()</w:t>
            </w:r>
          </w:p>
        </w:tc>
        <w:tc>
          <w:tcPr>
            <w:tcW w:type="dxa" w:w="6480"/>
            <w:vAlign w:val="center"/>
          </w:tcPr>
          <w:p>
            <w:pPr>
              <w:spacing w:after="0"/>
            </w:pPr>
            <w:r/>
            <w:r>
              <w:rPr>
                <w:rFonts w:ascii="Aptos" w:hAnsi="Aptos"/>
                <w:b w:val="0"/>
                <w:color w:val="263238"/>
                <w:sz w:val="17"/>
              </w:rPr>
              <w:t>Starts the settlement workflow.</w:t>
            </w:r>
          </w:p>
        </w:tc>
      </w:tr>
      <w:tr>
        <w:trPr>
          <w:cantSplit/>
        </w:trPr>
        <w:tc>
          <w:tcPr>
            <w:tcW w:type="dxa" w:w="3168"/>
            <w:vAlign w:val="center"/>
            <w:shd w:fill="F7FAFB"/>
          </w:tcPr>
          <w:p>
            <w:pPr>
              <w:spacing w:after="0"/>
            </w:pPr>
            <w:r/>
            <w:r>
              <w:rPr>
                <w:rFonts w:ascii="Aptos" w:hAnsi="Aptos"/>
                <w:b w:val="0"/>
                <w:color w:val="263238"/>
                <w:sz w:val="17"/>
              </w:rPr>
              <w:t>recordPayment()</w:t>
            </w:r>
          </w:p>
        </w:tc>
        <w:tc>
          <w:tcPr>
            <w:tcW w:type="dxa" w:w="6480"/>
            <w:vAlign w:val="center"/>
            <w:shd w:fill="F7FAFB"/>
          </w:tcPr>
          <w:p>
            <w:pPr>
              <w:spacing w:after="0"/>
            </w:pPr>
            <w:r/>
            <w:r>
              <w:rPr>
                <w:rFonts w:ascii="Aptos" w:hAnsi="Aptos"/>
                <w:b w:val="0"/>
                <w:color w:val="263238"/>
                <w:sz w:val="17"/>
              </w:rPr>
              <w:t>Records a payment event for the hackathon demo.</w:t>
            </w:r>
          </w:p>
        </w:tc>
      </w:tr>
      <w:tr>
        <w:trPr>
          <w:cantSplit/>
        </w:trPr>
        <w:tc>
          <w:tcPr>
            <w:tcW w:type="dxa" w:w="3168"/>
            <w:vAlign w:val="center"/>
          </w:tcPr>
          <w:p>
            <w:pPr>
              <w:spacing w:after="0"/>
            </w:pPr>
            <w:r/>
            <w:r>
              <w:rPr>
                <w:rFonts w:ascii="Aptos" w:hAnsi="Aptos"/>
                <w:b w:val="0"/>
                <w:color w:val="263238"/>
                <w:sz w:val="17"/>
              </w:rPr>
              <w:t>calculateSettlementBreakdown()</w:t>
            </w:r>
          </w:p>
        </w:tc>
        <w:tc>
          <w:tcPr>
            <w:tcW w:type="dxa" w:w="6480"/>
            <w:vAlign w:val="center"/>
          </w:tcPr>
          <w:p>
            <w:pPr>
              <w:spacing w:after="0"/>
            </w:pPr>
            <w:r/>
            <w:r>
              <w:rPr>
                <w:rFonts w:ascii="Aptos" w:hAnsi="Aptos"/>
                <w:b w:val="0"/>
                <w:color w:val="263238"/>
                <w:sz w:val="17"/>
              </w:rPr>
              <w:t>Shows how the settlement is allocated according to the financing agreement.</w:t>
            </w:r>
          </w:p>
        </w:tc>
      </w:tr>
      <w:tr>
        <w:trPr>
          <w:cantSplit/>
        </w:trPr>
        <w:tc>
          <w:tcPr>
            <w:tcW w:type="dxa" w:w="3168"/>
            <w:vAlign w:val="center"/>
            <w:shd w:fill="F7FAFB"/>
          </w:tcPr>
          <w:p>
            <w:pPr>
              <w:spacing w:after="0"/>
            </w:pPr>
            <w:r/>
            <w:r>
              <w:rPr>
                <w:rFonts w:ascii="Aptos" w:hAnsi="Aptos"/>
                <w:b w:val="0"/>
                <w:color w:val="263238"/>
                <w:sz w:val="17"/>
              </w:rPr>
              <w:t>settleFinancing()</w:t>
            </w:r>
          </w:p>
        </w:tc>
        <w:tc>
          <w:tcPr>
            <w:tcW w:type="dxa" w:w="6480"/>
            <w:vAlign w:val="center"/>
            <w:shd w:fill="F7FAFB"/>
          </w:tcPr>
          <w:p>
            <w:pPr>
              <w:spacing w:after="0"/>
            </w:pPr>
            <w:r/>
            <w:r>
              <w:rPr>
                <w:rFonts w:ascii="Aptos" w:hAnsi="Aptos"/>
                <w:b w:val="0"/>
                <w:color w:val="263238"/>
                <w:sz w:val="17"/>
              </w:rPr>
              <w:t>Closes the financing agreement after settlement.</w:t>
            </w:r>
          </w:p>
        </w:tc>
      </w:tr>
      <w:tr>
        <w:trPr>
          <w:cantSplit/>
        </w:trPr>
        <w:tc>
          <w:tcPr>
            <w:tcW w:type="dxa" w:w="3168"/>
            <w:vAlign w:val="center"/>
          </w:tcPr>
          <w:p>
            <w:pPr>
              <w:spacing w:after="0"/>
            </w:pPr>
            <w:r/>
            <w:r>
              <w:rPr>
                <w:rFonts w:ascii="Aptos" w:hAnsi="Aptos"/>
                <w:b w:val="0"/>
                <w:color w:val="263238"/>
                <w:sz w:val="17"/>
              </w:rPr>
              <w:t>closeInvoice()</w:t>
            </w:r>
          </w:p>
        </w:tc>
        <w:tc>
          <w:tcPr>
            <w:tcW w:type="dxa" w:w="6480"/>
            <w:vAlign w:val="center"/>
          </w:tcPr>
          <w:p>
            <w:pPr>
              <w:spacing w:after="0"/>
            </w:pPr>
            <w:r/>
            <w:r>
              <w:rPr>
                <w:rFonts w:ascii="Aptos" w:hAnsi="Aptos"/>
                <w:b w:val="0"/>
                <w:color w:val="263238"/>
                <w:sz w:val="17"/>
              </w:rPr>
              <w:t>Moves the invoice to SETTLED after all required conditions are met.</w:t>
            </w:r>
          </w:p>
        </w:tc>
      </w:tr>
    </w:tbl>
    <w:p>
      <w:pPr>
        <w:spacing w:after="20"/>
      </w:pPr>
    </w:p>
    <w:p>
      <w:pPr>
        <w:pStyle w:val="Heading2"/>
      </w:pPr>
      <w:r>
        <w:t>Dispute &amp; Exception Handling</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createDispute()</w:t>
            </w:r>
          </w:p>
        </w:tc>
        <w:tc>
          <w:tcPr>
            <w:tcW w:type="dxa" w:w="6480"/>
            <w:vAlign w:val="center"/>
            <w:shd w:fill="F7FAFB"/>
          </w:tcPr>
          <w:p>
            <w:pPr>
              <w:spacing w:after="0"/>
            </w:pPr>
            <w:r/>
            <w:r>
              <w:rPr>
                <w:rFonts w:ascii="Aptos" w:hAnsi="Aptos"/>
                <w:b w:val="0"/>
                <w:color w:val="263238"/>
                <w:sz w:val="17"/>
              </w:rPr>
              <w:t>Opens an issue against an invoice, delivery, or settlement.</w:t>
            </w:r>
          </w:p>
        </w:tc>
      </w:tr>
      <w:tr>
        <w:trPr>
          <w:cantSplit/>
        </w:trPr>
        <w:tc>
          <w:tcPr>
            <w:tcW w:type="dxa" w:w="3168"/>
            <w:vAlign w:val="center"/>
          </w:tcPr>
          <w:p>
            <w:pPr>
              <w:spacing w:after="0"/>
            </w:pPr>
            <w:r/>
            <w:r>
              <w:rPr>
                <w:rFonts w:ascii="Aptos" w:hAnsi="Aptos"/>
                <w:b w:val="0"/>
                <w:color w:val="263238"/>
                <w:sz w:val="17"/>
              </w:rPr>
              <w:t>respondToDispute()</w:t>
            </w:r>
          </w:p>
        </w:tc>
        <w:tc>
          <w:tcPr>
            <w:tcW w:type="dxa" w:w="6480"/>
            <w:vAlign w:val="center"/>
          </w:tcPr>
          <w:p>
            <w:pPr>
              <w:spacing w:after="0"/>
            </w:pPr>
            <w:r/>
            <w:r>
              <w:rPr>
                <w:rFonts w:ascii="Aptos" w:hAnsi="Aptos"/>
                <w:b w:val="0"/>
                <w:color w:val="263238"/>
                <w:sz w:val="17"/>
              </w:rPr>
              <w:t>Allows the counterparty to submit a response/evidence.</w:t>
            </w:r>
          </w:p>
        </w:tc>
      </w:tr>
      <w:tr>
        <w:trPr>
          <w:cantSplit/>
        </w:trPr>
        <w:tc>
          <w:tcPr>
            <w:tcW w:type="dxa" w:w="3168"/>
            <w:vAlign w:val="center"/>
            <w:shd w:fill="F7FAFB"/>
          </w:tcPr>
          <w:p>
            <w:pPr>
              <w:spacing w:after="0"/>
            </w:pPr>
            <w:r/>
            <w:r>
              <w:rPr>
                <w:rFonts w:ascii="Aptos" w:hAnsi="Aptos"/>
                <w:b w:val="0"/>
                <w:color w:val="263238"/>
                <w:sz w:val="17"/>
              </w:rPr>
              <w:t>resolveDispute()</w:t>
            </w:r>
          </w:p>
        </w:tc>
        <w:tc>
          <w:tcPr>
            <w:tcW w:type="dxa" w:w="6480"/>
            <w:vAlign w:val="center"/>
            <w:shd w:fill="F7FAFB"/>
          </w:tcPr>
          <w:p>
            <w:pPr>
              <w:spacing w:after="0"/>
            </w:pPr>
            <w:r/>
            <w:r>
              <w:rPr>
                <w:rFonts w:ascii="Aptos" w:hAnsi="Aptos"/>
                <w:b w:val="0"/>
                <w:color w:val="263238"/>
                <w:sz w:val="17"/>
              </w:rPr>
              <w:t>Closes the dispute with a recorded outcome.</w:t>
            </w:r>
          </w:p>
        </w:tc>
      </w:tr>
      <w:tr>
        <w:trPr>
          <w:cantSplit/>
        </w:trPr>
        <w:tc>
          <w:tcPr>
            <w:tcW w:type="dxa" w:w="3168"/>
            <w:vAlign w:val="center"/>
          </w:tcPr>
          <w:p>
            <w:pPr>
              <w:spacing w:after="0"/>
            </w:pPr>
            <w:r/>
            <w:r>
              <w:rPr>
                <w:rFonts w:ascii="Aptos" w:hAnsi="Aptos"/>
                <w:b w:val="0"/>
                <w:color w:val="263238"/>
                <w:sz w:val="17"/>
              </w:rPr>
              <w:t>pauseFinancing()</w:t>
            </w:r>
          </w:p>
        </w:tc>
        <w:tc>
          <w:tcPr>
            <w:tcW w:type="dxa" w:w="6480"/>
            <w:vAlign w:val="center"/>
          </w:tcPr>
          <w:p>
            <w:pPr>
              <w:spacing w:after="0"/>
            </w:pPr>
            <w:r/>
            <w:r>
              <w:rPr>
                <w:rFonts w:ascii="Aptos" w:hAnsi="Aptos"/>
                <w:b w:val="0"/>
                <w:color w:val="263238"/>
                <w:sz w:val="17"/>
              </w:rPr>
              <w:t>Optionally freezes financing-related progression while a material dispute is unresolved.</w:t>
            </w:r>
          </w:p>
        </w:tc>
      </w:tr>
      <w:tr>
        <w:trPr>
          <w:cantSplit/>
        </w:trPr>
        <w:tc>
          <w:tcPr>
            <w:tcW w:type="dxa" w:w="3168"/>
            <w:vAlign w:val="center"/>
            <w:shd w:fill="F7FAFB"/>
          </w:tcPr>
          <w:p>
            <w:pPr>
              <w:spacing w:after="0"/>
            </w:pPr>
            <w:r/>
            <w:r>
              <w:rPr>
                <w:rFonts w:ascii="Aptos" w:hAnsi="Aptos"/>
                <w:b w:val="0"/>
                <w:color w:val="263238"/>
                <w:sz w:val="17"/>
              </w:rPr>
              <w:t>resumeWorkflow()</w:t>
            </w:r>
          </w:p>
        </w:tc>
        <w:tc>
          <w:tcPr>
            <w:tcW w:type="dxa" w:w="6480"/>
            <w:vAlign w:val="center"/>
            <w:shd w:fill="F7FAFB"/>
          </w:tcPr>
          <w:p>
            <w:pPr>
              <w:spacing w:after="0"/>
            </w:pPr>
            <w:r/>
            <w:r>
              <w:rPr>
                <w:rFonts w:ascii="Aptos" w:hAnsi="Aptos"/>
                <w:b w:val="0"/>
                <w:color w:val="263238"/>
                <w:sz w:val="17"/>
              </w:rPr>
              <w:t>Resumes the relevant workflow after an exception is resolved.</w:t>
            </w:r>
          </w:p>
        </w:tc>
      </w:tr>
    </w:tbl>
    <w:p>
      <w:pPr>
        <w:spacing w:after="20"/>
      </w:pPr>
    </w:p>
    <w:p>
      <w:pPr>
        <w:pStyle w:val="Heading2"/>
      </w:pPr>
      <w:r>
        <w:t>AI Support Functions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24D"/>
          </w:tcPr>
          <w:p>
            <w:pPr>
              <w:spacing w:after="0"/>
            </w:pPr>
            <w:r/>
            <w:r>
              <w:rPr>
                <w:rFonts w:ascii="Aptos" w:hAnsi="Aptos"/>
                <w:b/>
                <w:color w:val="FFFFFF"/>
                <w:sz w:val="18"/>
              </w:rPr>
              <w:t>Function</w:t>
            </w:r>
          </w:p>
        </w:tc>
        <w:tc>
          <w:tcPr>
            <w:tcW w:type="dxa" w:w="6480"/>
            <w:vAlign w:val="center"/>
            <w:shd w:fill="17324D"/>
          </w:tcPr>
          <w:p>
            <w:pPr>
              <w:spacing w:after="0"/>
            </w:pPr>
            <w:r/>
            <w:r>
              <w:rPr>
                <w:rFonts w:ascii="Aptos" w:hAnsi="Aptos"/>
                <w:b/>
                <w:color w:val="FFFFFF"/>
                <w:sz w:val="18"/>
              </w:rPr>
              <w:t>Purpose</w:t>
            </w:r>
          </w:p>
        </w:tc>
      </w:tr>
      <w:tr>
        <w:trPr>
          <w:cantSplit/>
        </w:trPr>
        <w:tc>
          <w:tcPr>
            <w:tcW w:type="dxa" w:w="3168"/>
            <w:vAlign w:val="center"/>
            <w:shd w:fill="F7FAFB"/>
          </w:tcPr>
          <w:p>
            <w:pPr>
              <w:spacing w:after="0"/>
            </w:pPr>
            <w:r/>
            <w:r>
              <w:rPr>
                <w:rFonts w:ascii="Aptos" w:hAnsi="Aptos"/>
                <w:b w:val="0"/>
                <w:color w:val="263238"/>
                <w:sz w:val="17"/>
              </w:rPr>
              <w:t>analyzeInvoice()</w:t>
            </w:r>
          </w:p>
        </w:tc>
        <w:tc>
          <w:tcPr>
            <w:tcW w:type="dxa" w:w="6480"/>
            <w:vAlign w:val="center"/>
            <w:shd w:fill="F7FAFB"/>
          </w:tcPr>
          <w:p>
            <w:pPr>
              <w:spacing w:after="0"/>
            </w:pPr>
            <w:r/>
            <w:r>
              <w:rPr>
                <w:rFonts w:ascii="Aptos" w:hAnsi="Aptos"/>
                <w:b w:val="0"/>
                <w:color w:val="263238"/>
                <w:sz w:val="17"/>
              </w:rPr>
              <w:t>Produces a structured summary of invoice data and available evidence.</w:t>
            </w:r>
          </w:p>
        </w:tc>
      </w:tr>
      <w:tr>
        <w:trPr>
          <w:cantSplit/>
        </w:trPr>
        <w:tc>
          <w:tcPr>
            <w:tcW w:type="dxa" w:w="3168"/>
            <w:vAlign w:val="center"/>
          </w:tcPr>
          <w:p>
            <w:pPr>
              <w:spacing w:after="0"/>
            </w:pPr>
            <w:r/>
            <w:r>
              <w:rPr>
                <w:rFonts w:ascii="Aptos" w:hAnsi="Aptos"/>
                <w:b w:val="0"/>
                <w:color w:val="263238"/>
                <w:sz w:val="17"/>
              </w:rPr>
              <w:t>explainTrustPassport()</w:t>
            </w:r>
          </w:p>
        </w:tc>
        <w:tc>
          <w:tcPr>
            <w:tcW w:type="dxa" w:w="6480"/>
            <w:vAlign w:val="center"/>
          </w:tcPr>
          <w:p>
            <w:pPr>
              <w:spacing w:after="0"/>
            </w:pPr>
            <w:r/>
            <w:r>
              <w:rPr>
                <w:rFonts w:ascii="Aptos" w:hAnsi="Aptos"/>
                <w:b w:val="0"/>
                <w:color w:val="263238"/>
                <w:sz w:val="17"/>
              </w:rPr>
              <w:t>Explains why an invoice is currently eligible, ineligible, or awaiting evidence.</w:t>
            </w:r>
          </w:p>
        </w:tc>
      </w:tr>
      <w:tr>
        <w:trPr>
          <w:cantSplit/>
        </w:trPr>
        <w:tc>
          <w:tcPr>
            <w:tcW w:type="dxa" w:w="3168"/>
            <w:vAlign w:val="center"/>
            <w:shd w:fill="F7FAFB"/>
          </w:tcPr>
          <w:p>
            <w:pPr>
              <w:spacing w:after="0"/>
            </w:pPr>
            <w:r/>
            <w:r>
              <w:rPr>
                <w:rFonts w:ascii="Aptos" w:hAnsi="Aptos"/>
                <w:b w:val="0"/>
                <w:color w:val="263238"/>
                <w:sz w:val="17"/>
              </w:rPr>
              <w:t>detectMissingEvidence()</w:t>
            </w:r>
          </w:p>
        </w:tc>
        <w:tc>
          <w:tcPr>
            <w:tcW w:type="dxa" w:w="6480"/>
            <w:vAlign w:val="center"/>
            <w:shd w:fill="F7FAFB"/>
          </w:tcPr>
          <w:p>
            <w:pPr>
              <w:spacing w:after="0"/>
            </w:pPr>
            <w:r/>
            <w:r>
              <w:rPr>
                <w:rFonts w:ascii="Aptos" w:hAnsi="Aptos"/>
                <w:b w:val="0"/>
                <w:color w:val="263238"/>
                <w:sz w:val="17"/>
              </w:rPr>
              <w:t>Identifies missing documents or workflow steps.</w:t>
            </w:r>
          </w:p>
        </w:tc>
      </w:tr>
      <w:tr>
        <w:trPr>
          <w:cantSplit/>
        </w:trPr>
        <w:tc>
          <w:tcPr>
            <w:tcW w:type="dxa" w:w="3168"/>
            <w:vAlign w:val="center"/>
          </w:tcPr>
          <w:p>
            <w:pPr>
              <w:spacing w:after="0"/>
            </w:pPr>
            <w:r/>
            <w:r>
              <w:rPr>
                <w:rFonts w:ascii="Aptos" w:hAnsi="Aptos"/>
                <w:b w:val="0"/>
                <w:color w:val="263238"/>
                <w:sz w:val="17"/>
              </w:rPr>
              <w:t>summarizeDispute()</w:t>
            </w:r>
          </w:p>
        </w:tc>
        <w:tc>
          <w:tcPr>
            <w:tcW w:type="dxa" w:w="6480"/>
            <w:vAlign w:val="center"/>
          </w:tcPr>
          <w:p>
            <w:pPr>
              <w:spacing w:after="0"/>
            </w:pPr>
            <w:r/>
            <w:r>
              <w:rPr>
                <w:rFonts w:ascii="Aptos" w:hAnsi="Aptos"/>
                <w:b w:val="0"/>
                <w:color w:val="263238"/>
                <w:sz w:val="17"/>
              </w:rPr>
              <w:t>Summarizes the dispute and submitted evidence for human review.</w:t>
            </w:r>
          </w:p>
        </w:tc>
      </w:tr>
      <w:tr>
        <w:trPr>
          <w:cantSplit/>
        </w:trPr>
        <w:tc>
          <w:tcPr>
            <w:tcW w:type="dxa" w:w="3168"/>
            <w:vAlign w:val="center"/>
            <w:shd w:fill="F7FAFB"/>
          </w:tcPr>
          <w:p>
            <w:pPr>
              <w:spacing w:after="0"/>
            </w:pPr>
            <w:r/>
            <w:r>
              <w:rPr>
                <w:rFonts w:ascii="Aptos" w:hAnsi="Aptos"/>
                <w:b w:val="0"/>
                <w:color w:val="263238"/>
                <w:sz w:val="17"/>
              </w:rPr>
              <w:t>generateFinancingBrief()</w:t>
            </w:r>
          </w:p>
        </w:tc>
        <w:tc>
          <w:tcPr>
            <w:tcW w:type="dxa" w:w="6480"/>
            <w:vAlign w:val="center"/>
            <w:shd w:fill="F7FAFB"/>
          </w:tcPr>
          <w:p>
            <w:pPr>
              <w:spacing w:after="0"/>
            </w:pPr>
            <w:r/>
            <w:r>
              <w:rPr>
                <w:rFonts w:ascii="Aptos" w:hAnsi="Aptos"/>
                <w:b w:val="0"/>
                <w:color w:val="263238"/>
                <w:sz w:val="17"/>
              </w:rPr>
              <w:t>Creates a concise review brief from verified workflow data.</w:t>
            </w:r>
          </w:p>
        </w:tc>
      </w:tr>
    </w:tbl>
    <w:p>
      <w:pPr>
        <w:spacing w:after="20"/>
      </w:pPr>
    </w:p>
    <w:p>
      <w:pPr>
        <w:pStyle w:val="Heading1"/>
      </w:pPr>
      <w:r>
        <w:t>6. Canton / Daml Model</w:t>
      </w:r>
    </w:p>
    <w:p>
      <w:r>
        <w:t>Canton should hold the shared business state and party-authorized transitions. The application database should not be treated as the final source of truth for the commercial workflow.</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24D"/>
          </w:tcPr>
          <w:p>
            <w:pPr>
              <w:spacing w:after="0"/>
            </w:pPr>
            <w:r/>
            <w:r>
              <w:rPr>
                <w:rFonts w:ascii="Aptos" w:hAnsi="Aptos"/>
                <w:b/>
                <w:color w:val="FFFFFF"/>
                <w:sz w:val="18"/>
              </w:rPr>
              <w:t>Daml contract</w:t>
            </w:r>
          </w:p>
        </w:tc>
        <w:tc>
          <w:tcPr>
            <w:tcW w:type="dxa" w:w="6768"/>
            <w:vAlign w:val="center"/>
            <w:shd w:fill="17324D"/>
          </w:tcPr>
          <w:p>
            <w:pPr>
              <w:spacing w:after="0"/>
            </w:pPr>
            <w:r/>
            <w:r>
              <w:rPr>
                <w:rFonts w:ascii="Aptos" w:hAnsi="Aptos"/>
                <w:b/>
                <w:color w:val="FFFFFF"/>
                <w:sz w:val="18"/>
              </w:rPr>
              <w:t>Represents</w:t>
            </w:r>
          </w:p>
        </w:tc>
      </w:tr>
      <w:tr>
        <w:trPr>
          <w:cantSplit/>
        </w:trPr>
        <w:tc>
          <w:tcPr>
            <w:tcW w:type="dxa" w:w="2880"/>
            <w:vAlign w:val="center"/>
            <w:shd w:fill="F7FAFB"/>
          </w:tcPr>
          <w:p>
            <w:pPr>
              <w:spacing w:after="0"/>
            </w:pPr>
            <w:r/>
            <w:r>
              <w:rPr>
                <w:rFonts w:ascii="Aptos" w:hAnsi="Aptos"/>
                <w:b w:val="0"/>
                <w:color w:val="263238"/>
                <w:sz w:val="17"/>
              </w:rPr>
              <w:t>Invoice</w:t>
            </w:r>
          </w:p>
        </w:tc>
        <w:tc>
          <w:tcPr>
            <w:tcW w:type="dxa" w:w="6768"/>
            <w:vAlign w:val="center"/>
            <w:shd w:fill="F7FAFB"/>
          </w:tcPr>
          <w:p>
            <w:pPr>
              <w:spacing w:after="0"/>
            </w:pPr>
            <w:r/>
            <w:r>
              <w:rPr>
                <w:rFonts w:ascii="Aptos" w:hAnsi="Aptos"/>
                <w:b w:val="0"/>
                <w:color w:val="263238"/>
                <w:sz w:val="17"/>
              </w:rPr>
              <w:t>The underlying commercial obligation and core lifecycle state.</w:t>
            </w:r>
          </w:p>
        </w:tc>
      </w:tr>
      <w:tr>
        <w:trPr>
          <w:cantSplit/>
        </w:trPr>
        <w:tc>
          <w:tcPr>
            <w:tcW w:type="dxa" w:w="2880"/>
            <w:vAlign w:val="center"/>
          </w:tcPr>
          <w:p>
            <w:pPr>
              <w:spacing w:after="0"/>
            </w:pPr>
            <w:r/>
            <w:r>
              <w:rPr>
                <w:rFonts w:ascii="Aptos" w:hAnsi="Aptos"/>
                <w:b w:val="0"/>
                <w:color w:val="263238"/>
                <w:sz w:val="17"/>
              </w:rPr>
              <w:t>BuyerConfirmation</w:t>
            </w:r>
          </w:p>
        </w:tc>
        <w:tc>
          <w:tcPr>
            <w:tcW w:type="dxa" w:w="6768"/>
            <w:vAlign w:val="center"/>
          </w:tcPr>
          <w:p>
            <w:pPr>
              <w:spacing w:after="0"/>
            </w:pPr>
            <w:r/>
            <w:r>
              <w:rPr>
                <w:rFonts w:ascii="Aptos" w:hAnsi="Aptos"/>
                <w:b w:val="0"/>
                <w:color w:val="263238"/>
                <w:sz w:val="17"/>
              </w:rPr>
              <w:t>The buyer’s formal acknowledgement of the obligation.</w:t>
            </w:r>
          </w:p>
        </w:tc>
      </w:tr>
      <w:tr>
        <w:trPr>
          <w:cantSplit/>
        </w:trPr>
        <w:tc>
          <w:tcPr>
            <w:tcW w:type="dxa" w:w="2880"/>
            <w:vAlign w:val="center"/>
            <w:shd w:fill="F7FAFB"/>
          </w:tcPr>
          <w:p>
            <w:pPr>
              <w:spacing w:after="0"/>
            </w:pPr>
            <w:r/>
            <w:r>
              <w:rPr>
                <w:rFonts w:ascii="Aptos" w:hAnsi="Aptos"/>
                <w:b w:val="0"/>
                <w:color w:val="263238"/>
                <w:sz w:val="17"/>
              </w:rPr>
              <w:t>DeliveryConfirmation</w:t>
            </w:r>
          </w:p>
        </w:tc>
        <w:tc>
          <w:tcPr>
            <w:tcW w:type="dxa" w:w="6768"/>
            <w:vAlign w:val="center"/>
            <w:shd w:fill="F7FAFB"/>
          </w:tcPr>
          <w:p>
            <w:pPr>
              <w:spacing w:after="0"/>
            </w:pPr>
            <w:r/>
            <w:r>
              <w:rPr>
                <w:rFonts w:ascii="Aptos" w:hAnsi="Aptos"/>
                <w:b w:val="0"/>
                <w:color w:val="263238"/>
                <w:sz w:val="17"/>
              </w:rPr>
              <w:t>Evidence that the transaction was fulfilled.</w:t>
            </w:r>
          </w:p>
        </w:tc>
      </w:tr>
      <w:tr>
        <w:trPr>
          <w:cantSplit/>
        </w:trPr>
        <w:tc>
          <w:tcPr>
            <w:tcW w:type="dxa" w:w="2880"/>
            <w:vAlign w:val="center"/>
          </w:tcPr>
          <w:p>
            <w:pPr>
              <w:spacing w:after="0"/>
            </w:pPr>
            <w:r/>
            <w:r>
              <w:rPr>
                <w:rFonts w:ascii="Aptos" w:hAnsi="Aptos"/>
                <w:b w:val="0"/>
                <w:color w:val="263238"/>
                <w:sz w:val="17"/>
              </w:rPr>
              <w:t>FinancingRequest</w:t>
            </w:r>
          </w:p>
        </w:tc>
        <w:tc>
          <w:tcPr>
            <w:tcW w:type="dxa" w:w="6768"/>
            <w:vAlign w:val="center"/>
          </w:tcPr>
          <w:p>
            <w:pPr>
              <w:spacing w:after="0"/>
            </w:pPr>
            <w:r/>
            <w:r>
              <w:rPr>
                <w:rFonts w:ascii="Aptos" w:hAnsi="Aptos"/>
                <w:b w:val="0"/>
                <w:color w:val="263238"/>
                <w:sz w:val="17"/>
              </w:rPr>
              <w:t>The supplier’s request for financing against an eligible invoice.</w:t>
            </w:r>
          </w:p>
        </w:tc>
      </w:tr>
      <w:tr>
        <w:trPr>
          <w:cantSplit/>
        </w:trPr>
        <w:tc>
          <w:tcPr>
            <w:tcW w:type="dxa" w:w="2880"/>
            <w:vAlign w:val="center"/>
            <w:shd w:fill="F7FAFB"/>
          </w:tcPr>
          <w:p>
            <w:pPr>
              <w:spacing w:after="0"/>
            </w:pPr>
            <w:r/>
            <w:r>
              <w:rPr>
                <w:rFonts w:ascii="Aptos" w:hAnsi="Aptos"/>
                <w:b w:val="0"/>
                <w:color w:val="263238"/>
                <w:sz w:val="17"/>
              </w:rPr>
              <w:t>FinancingOffer</w:t>
            </w:r>
          </w:p>
        </w:tc>
        <w:tc>
          <w:tcPr>
            <w:tcW w:type="dxa" w:w="6768"/>
            <w:vAlign w:val="center"/>
            <w:shd w:fill="F7FAFB"/>
          </w:tcPr>
          <w:p>
            <w:pPr>
              <w:spacing w:after="0"/>
            </w:pPr>
            <w:r/>
            <w:r>
              <w:rPr>
                <w:rFonts w:ascii="Aptos" w:hAnsi="Aptos"/>
                <w:b w:val="0"/>
                <w:color w:val="263238"/>
                <w:sz w:val="17"/>
              </w:rPr>
              <w:t>A financier’s proposed funding and commercial terms.</w:t>
            </w:r>
          </w:p>
        </w:tc>
      </w:tr>
      <w:tr>
        <w:trPr>
          <w:cantSplit/>
        </w:trPr>
        <w:tc>
          <w:tcPr>
            <w:tcW w:type="dxa" w:w="2880"/>
            <w:vAlign w:val="center"/>
          </w:tcPr>
          <w:p>
            <w:pPr>
              <w:spacing w:after="0"/>
            </w:pPr>
            <w:r/>
            <w:r>
              <w:rPr>
                <w:rFonts w:ascii="Aptos" w:hAnsi="Aptos"/>
                <w:b w:val="0"/>
                <w:color w:val="263238"/>
                <w:sz w:val="17"/>
              </w:rPr>
              <w:t>FinancingAgreement</w:t>
            </w:r>
          </w:p>
        </w:tc>
        <w:tc>
          <w:tcPr>
            <w:tcW w:type="dxa" w:w="6768"/>
            <w:vAlign w:val="center"/>
          </w:tcPr>
          <w:p>
            <w:pPr>
              <w:spacing w:after="0"/>
            </w:pPr>
            <w:r/>
            <w:r>
              <w:rPr>
                <w:rFonts w:ascii="Aptos" w:hAnsi="Aptos"/>
                <w:b w:val="0"/>
                <w:color w:val="263238"/>
                <w:sz w:val="17"/>
              </w:rPr>
              <w:t>The accepted financing terms between the relevant parties.</w:t>
            </w:r>
          </w:p>
        </w:tc>
      </w:tr>
      <w:tr>
        <w:trPr>
          <w:cantSplit/>
        </w:trPr>
        <w:tc>
          <w:tcPr>
            <w:tcW w:type="dxa" w:w="2880"/>
            <w:vAlign w:val="center"/>
            <w:shd w:fill="F7FAFB"/>
          </w:tcPr>
          <w:p>
            <w:pPr>
              <w:spacing w:after="0"/>
            </w:pPr>
            <w:r/>
            <w:r>
              <w:rPr>
                <w:rFonts w:ascii="Aptos" w:hAnsi="Aptos"/>
                <w:b w:val="0"/>
                <w:color w:val="263238"/>
                <w:sz w:val="17"/>
              </w:rPr>
              <w:t>Dispute</w:t>
            </w:r>
          </w:p>
        </w:tc>
        <w:tc>
          <w:tcPr>
            <w:tcW w:type="dxa" w:w="6768"/>
            <w:vAlign w:val="center"/>
            <w:shd w:fill="F7FAFB"/>
          </w:tcPr>
          <w:p>
            <w:pPr>
              <w:spacing w:after="0"/>
            </w:pPr>
            <w:r/>
            <w:r>
              <w:rPr>
                <w:rFonts w:ascii="Aptos" w:hAnsi="Aptos"/>
                <w:b w:val="0"/>
                <w:color w:val="263238"/>
                <w:sz w:val="17"/>
              </w:rPr>
              <w:t>An unresolved issue affecting the transaction.</w:t>
            </w:r>
          </w:p>
        </w:tc>
      </w:tr>
      <w:tr>
        <w:trPr>
          <w:cantSplit/>
        </w:trPr>
        <w:tc>
          <w:tcPr>
            <w:tcW w:type="dxa" w:w="2880"/>
            <w:vAlign w:val="center"/>
          </w:tcPr>
          <w:p>
            <w:pPr>
              <w:spacing w:after="0"/>
            </w:pPr>
            <w:r/>
            <w:r>
              <w:rPr>
                <w:rFonts w:ascii="Aptos" w:hAnsi="Aptos"/>
                <w:b w:val="0"/>
                <w:color w:val="263238"/>
                <w:sz w:val="17"/>
              </w:rPr>
              <w:t>Settlement</w:t>
            </w:r>
          </w:p>
        </w:tc>
        <w:tc>
          <w:tcPr>
            <w:tcW w:type="dxa" w:w="6768"/>
            <w:vAlign w:val="center"/>
          </w:tcPr>
          <w:p>
            <w:pPr>
              <w:spacing w:after="0"/>
            </w:pPr>
            <w:r/>
            <w:r>
              <w:rPr>
                <w:rFonts w:ascii="Aptos" w:hAnsi="Aptos"/>
                <w:b w:val="0"/>
                <w:color w:val="263238"/>
                <w:sz w:val="17"/>
              </w:rPr>
              <w:t>The completion of the payment/obligation lifecycle.</w:t>
            </w:r>
          </w:p>
        </w:tc>
      </w:tr>
    </w:tbl>
    <w:p>
      <w:pPr>
        <w:spacing w:after="20"/>
      </w:pPr>
    </w:p>
    <w:p>
      <w:pPr>
        <w:pStyle w:val="Heading2"/>
      </w:pPr>
      <w:r>
        <w:t>Key Daml Choices / State Transitions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448"/>
            <w:vAlign w:val="center"/>
            <w:shd w:fill="17324D"/>
          </w:tcPr>
          <w:p>
            <w:pPr>
              <w:spacing w:after="0"/>
            </w:pPr>
            <w:r/>
            <w:r>
              <w:rPr>
                <w:rFonts w:ascii="Aptos" w:hAnsi="Aptos"/>
                <w:b/>
                <w:color w:val="FFFFFF"/>
                <w:sz w:val="18"/>
              </w:rPr>
              <w:t>Choice</w:t>
            </w:r>
          </w:p>
        </w:tc>
        <w:tc>
          <w:tcPr>
            <w:tcW w:type="dxa" w:w="2736"/>
            <w:vAlign w:val="center"/>
            <w:shd w:fill="17324D"/>
          </w:tcPr>
          <w:p>
            <w:pPr>
              <w:spacing w:after="0"/>
            </w:pPr>
            <w:r/>
            <w:r>
              <w:rPr>
                <w:rFonts w:ascii="Aptos" w:hAnsi="Aptos"/>
                <w:b/>
                <w:color w:val="FFFFFF"/>
                <w:sz w:val="18"/>
              </w:rPr>
              <w:t>Typical controller</w:t>
            </w:r>
          </w:p>
        </w:tc>
        <w:tc>
          <w:tcPr>
            <w:tcW w:type="dxa" w:w="4464"/>
            <w:vAlign w:val="center"/>
            <w:shd w:fill="17324D"/>
          </w:tcPr>
          <w:p>
            <w:pPr>
              <w:spacing w:after="0"/>
            </w:pPr>
            <w:r/>
            <w:r>
              <w:rPr>
                <w:rFonts w:ascii="Aptos" w:hAnsi="Aptos"/>
                <w:b/>
                <w:color w:val="FFFFFF"/>
                <w:sz w:val="18"/>
              </w:rPr>
              <w:t>Purpose</w:t>
            </w:r>
          </w:p>
        </w:tc>
      </w:tr>
      <w:tr>
        <w:trPr>
          <w:cantSplit/>
        </w:trPr>
        <w:tc>
          <w:tcPr>
            <w:tcW w:type="dxa" w:w="2448"/>
            <w:vAlign w:val="center"/>
            <w:shd w:fill="F7FAFB"/>
          </w:tcPr>
          <w:p>
            <w:pPr>
              <w:spacing w:after="0"/>
            </w:pPr>
            <w:r/>
            <w:r>
              <w:rPr>
                <w:rFonts w:ascii="Aptos" w:hAnsi="Aptos"/>
                <w:b w:val="0"/>
                <w:color w:val="263238"/>
                <w:sz w:val="17"/>
              </w:rPr>
              <w:t>SubmitInvoice</w:t>
            </w:r>
          </w:p>
        </w:tc>
        <w:tc>
          <w:tcPr>
            <w:tcW w:type="dxa" w:w="2736"/>
            <w:vAlign w:val="center"/>
            <w:shd w:fill="F7FAFB"/>
          </w:tcPr>
          <w:p>
            <w:pPr>
              <w:spacing w:after="0"/>
            </w:pPr>
            <w:r/>
            <w:r>
              <w:rPr>
                <w:rFonts w:ascii="Aptos" w:hAnsi="Aptos"/>
                <w:b w:val="0"/>
                <w:color w:val="263238"/>
                <w:sz w:val="17"/>
              </w:rPr>
              <w:t>Supplier</w:t>
            </w:r>
          </w:p>
        </w:tc>
        <w:tc>
          <w:tcPr>
            <w:tcW w:type="dxa" w:w="4464"/>
            <w:vAlign w:val="center"/>
            <w:shd w:fill="F7FAFB"/>
          </w:tcPr>
          <w:p>
            <w:pPr>
              <w:spacing w:after="0"/>
            </w:pPr>
            <w:r/>
            <w:r>
              <w:rPr>
                <w:rFonts w:ascii="Aptos" w:hAnsi="Aptos"/>
                <w:b w:val="0"/>
                <w:color w:val="263238"/>
                <w:sz w:val="17"/>
              </w:rPr>
              <w:t>Submit an invoice for buyer review.</w:t>
            </w:r>
          </w:p>
        </w:tc>
      </w:tr>
      <w:tr>
        <w:trPr>
          <w:cantSplit/>
        </w:trPr>
        <w:tc>
          <w:tcPr>
            <w:tcW w:type="dxa" w:w="2448"/>
            <w:vAlign w:val="center"/>
          </w:tcPr>
          <w:p>
            <w:pPr>
              <w:spacing w:after="0"/>
            </w:pPr>
            <w:r/>
            <w:r>
              <w:rPr>
                <w:rFonts w:ascii="Aptos" w:hAnsi="Aptos"/>
                <w:b w:val="0"/>
                <w:color w:val="263238"/>
                <w:sz w:val="17"/>
              </w:rPr>
              <w:t>ConfirmInvoice</w:t>
            </w:r>
          </w:p>
        </w:tc>
        <w:tc>
          <w:tcPr>
            <w:tcW w:type="dxa" w:w="2736"/>
            <w:vAlign w:val="center"/>
          </w:tcPr>
          <w:p>
            <w:pPr>
              <w:spacing w:after="0"/>
            </w:pPr>
            <w:r/>
            <w:r>
              <w:rPr>
                <w:rFonts w:ascii="Aptos" w:hAnsi="Aptos"/>
                <w:b w:val="0"/>
                <w:color w:val="263238"/>
                <w:sz w:val="17"/>
              </w:rPr>
              <w:t>Buyer</w:t>
            </w:r>
          </w:p>
        </w:tc>
        <w:tc>
          <w:tcPr>
            <w:tcW w:type="dxa" w:w="4464"/>
            <w:vAlign w:val="center"/>
          </w:tcPr>
          <w:p>
            <w:pPr>
              <w:spacing w:after="0"/>
            </w:pPr>
            <w:r/>
            <w:r>
              <w:rPr>
                <w:rFonts w:ascii="Aptos" w:hAnsi="Aptos"/>
                <w:b w:val="0"/>
                <w:color w:val="263238"/>
                <w:sz w:val="17"/>
              </w:rPr>
              <w:t>Acknowledge the buyer obligation.</w:t>
            </w:r>
          </w:p>
        </w:tc>
      </w:tr>
      <w:tr>
        <w:trPr>
          <w:cantSplit/>
        </w:trPr>
        <w:tc>
          <w:tcPr>
            <w:tcW w:type="dxa" w:w="2448"/>
            <w:vAlign w:val="center"/>
            <w:shd w:fill="F7FAFB"/>
          </w:tcPr>
          <w:p>
            <w:pPr>
              <w:spacing w:after="0"/>
            </w:pPr>
            <w:r/>
            <w:r>
              <w:rPr>
                <w:rFonts w:ascii="Aptos" w:hAnsi="Aptos"/>
                <w:b w:val="0"/>
                <w:color w:val="263238"/>
                <w:sz w:val="17"/>
              </w:rPr>
              <w:t>RejectInvoice</w:t>
            </w:r>
          </w:p>
        </w:tc>
        <w:tc>
          <w:tcPr>
            <w:tcW w:type="dxa" w:w="2736"/>
            <w:vAlign w:val="center"/>
            <w:shd w:fill="F7FAFB"/>
          </w:tcPr>
          <w:p>
            <w:pPr>
              <w:spacing w:after="0"/>
            </w:pPr>
            <w:r/>
            <w:r>
              <w:rPr>
                <w:rFonts w:ascii="Aptos" w:hAnsi="Aptos"/>
                <w:b w:val="0"/>
                <w:color w:val="263238"/>
                <w:sz w:val="17"/>
              </w:rPr>
              <w:t>Buyer</w:t>
            </w:r>
          </w:p>
        </w:tc>
        <w:tc>
          <w:tcPr>
            <w:tcW w:type="dxa" w:w="4464"/>
            <w:vAlign w:val="center"/>
            <w:shd w:fill="F7FAFB"/>
          </w:tcPr>
          <w:p>
            <w:pPr>
              <w:spacing w:after="0"/>
            </w:pPr>
            <w:r/>
            <w:r>
              <w:rPr>
                <w:rFonts w:ascii="Aptos" w:hAnsi="Aptos"/>
                <w:b w:val="0"/>
                <w:color w:val="263238"/>
                <w:sz w:val="17"/>
              </w:rPr>
              <w:t>Reject an invoice.</w:t>
            </w:r>
          </w:p>
        </w:tc>
      </w:tr>
      <w:tr>
        <w:trPr>
          <w:cantSplit/>
        </w:trPr>
        <w:tc>
          <w:tcPr>
            <w:tcW w:type="dxa" w:w="2448"/>
            <w:vAlign w:val="center"/>
          </w:tcPr>
          <w:p>
            <w:pPr>
              <w:spacing w:after="0"/>
            </w:pPr>
            <w:r/>
            <w:r>
              <w:rPr>
                <w:rFonts w:ascii="Aptos" w:hAnsi="Aptos"/>
                <w:b w:val="0"/>
                <w:color w:val="263238"/>
                <w:sz w:val="17"/>
              </w:rPr>
              <w:t>RequestCorrection</w:t>
            </w:r>
          </w:p>
        </w:tc>
        <w:tc>
          <w:tcPr>
            <w:tcW w:type="dxa" w:w="2736"/>
            <w:vAlign w:val="center"/>
          </w:tcPr>
          <w:p>
            <w:pPr>
              <w:spacing w:after="0"/>
            </w:pPr>
            <w:r/>
            <w:r>
              <w:rPr>
                <w:rFonts w:ascii="Aptos" w:hAnsi="Aptos"/>
                <w:b w:val="0"/>
                <w:color w:val="263238"/>
                <w:sz w:val="17"/>
              </w:rPr>
              <w:t>Buyer</w:t>
            </w:r>
          </w:p>
        </w:tc>
        <w:tc>
          <w:tcPr>
            <w:tcW w:type="dxa" w:w="4464"/>
            <w:vAlign w:val="center"/>
          </w:tcPr>
          <w:p>
            <w:pPr>
              <w:spacing w:after="0"/>
            </w:pPr>
            <w:r/>
            <w:r>
              <w:rPr>
                <w:rFonts w:ascii="Aptos" w:hAnsi="Aptos"/>
                <w:b w:val="0"/>
                <w:color w:val="263238"/>
                <w:sz w:val="17"/>
              </w:rPr>
              <w:t>Ask the supplier to correct the invoice.</w:t>
            </w:r>
          </w:p>
        </w:tc>
      </w:tr>
      <w:tr>
        <w:trPr>
          <w:cantSplit/>
        </w:trPr>
        <w:tc>
          <w:tcPr>
            <w:tcW w:type="dxa" w:w="2448"/>
            <w:vAlign w:val="center"/>
            <w:shd w:fill="F7FAFB"/>
          </w:tcPr>
          <w:p>
            <w:pPr>
              <w:spacing w:after="0"/>
            </w:pPr>
            <w:r/>
            <w:r>
              <w:rPr>
                <w:rFonts w:ascii="Aptos" w:hAnsi="Aptos"/>
                <w:b w:val="0"/>
                <w:color w:val="263238"/>
                <w:sz w:val="17"/>
              </w:rPr>
              <w:t>ConfirmDelivery</w:t>
            </w:r>
          </w:p>
        </w:tc>
        <w:tc>
          <w:tcPr>
            <w:tcW w:type="dxa" w:w="2736"/>
            <w:vAlign w:val="center"/>
            <w:shd w:fill="F7FAFB"/>
          </w:tcPr>
          <w:p>
            <w:pPr>
              <w:spacing w:after="0"/>
            </w:pPr>
            <w:r/>
            <w:r>
              <w:rPr>
                <w:rFonts w:ascii="Aptos" w:hAnsi="Aptos"/>
                <w:b w:val="0"/>
                <w:color w:val="263238"/>
                <w:sz w:val="17"/>
              </w:rPr>
              <w:t>Buyer</w:t>
            </w:r>
          </w:p>
        </w:tc>
        <w:tc>
          <w:tcPr>
            <w:tcW w:type="dxa" w:w="4464"/>
            <w:vAlign w:val="center"/>
            <w:shd w:fill="F7FAFB"/>
          </w:tcPr>
          <w:p>
            <w:pPr>
              <w:spacing w:after="0"/>
            </w:pPr>
            <w:r/>
            <w:r>
              <w:rPr>
                <w:rFonts w:ascii="Aptos" w:hAnsi="Aptos"/>
                <w:b w:val="0"/>
                <w:color w:val="263238"/>
                <w:sz w:val="17"/>
              </w:rPr>
              <w:t>Record fulfillment confirmation.</w:t>
            </w:r>
          </w:p>
        </w:tc>
      </w:tr>
      <w:tr>
        <w:trPr>
          <w:cantSplit/>
        </w:trPr>
        <w:tc>
          <w:tcPr>
            <w:tcW w:type="dxa" w:w="2448"/>
            <w:vAlign w:val="center"/>
          </w:tcPr>
          <w:p>
            <w:pPr>
              <w:spacing w:after="0"/>
            </w:pPr>
            <w:r/>
            <w:r>
              <w:rPr>
                <w:rFonts w:ascii="Aptos" w:hAnsi="Aptos"/>
                <w:b w:val="0"/>
                <w:color w:val="263238"/>
                <w:sz w:val="17"/>
              </w:rPr>
              <w:t>RequestFinancing</w:t>
            </w:r>
          </w:p>
        </w:tc>
        <w:tc>
          <w:tcPr>
            <w:tcW w:type="dxa" w:w="2736"/>
            <w:vAlign w:val="center"/>
          </w:tcPr>
          <w:p>
            <w:pPr>
              <w:spacing w:after="0"/>
            </w:pPr>
            <w:r/>
            <w:r>
              <w:rPr>
                <w:rFonts w:ascii="Aptos" w:hAnsi="Aptos"/>
                <w:b w:val="0"/>
                <w:color w:val="263238"/>
                <w:sz w:val="17"/>
              </w:rPr>
              <w:t>Supplier</w:t>
            </w:r>
          </w:p>
        </w:tc>
        <w:tc>
          <w:tcPr>
            <w:tcW w:type="dxa" w:w="4464"/>
            <w:vAlign w:val="center"/>
          </w:tcPr>
          <w:p>
            <w:pPr>
              <w:spacing w:after="0"/>
            </w:pPr>
            <w:r/>
            <w:r>
              <w:rPr>
                <w:rFonts w:ascii="Aptos" w:hAnsi="Aptos"/>
                <w:b w:val="0"/>
                <w:color w:val="263238"/>
                <w:sz w:val="17"/>
              </w:rPr>
              <w:t>Open a financing request.</w:t>
            </w:r>
          </w:p>
        </w:tc>
      </w:tr>
      <w:tr>
        <w:trPr>
          <w:cantSplit/>
        </w:trPr>
        <w:tc>
          <w:tcPr>
            <w:tcW w:type="dxa" w:w="2448"/>
            <w:vAlign w:val="center"/>
            <w:shd w:fill="F7FAFB"/>
          </w:tcPr>
          <w:p>
            <w:pPr>
              <w:spacing w:after="0"/>
            </w:pPr>
            <w:r/>
            <w:r>
              <w:rPr>
                <w:rFonts w:ascii="Aptos" w:hAnsi="Aptos"/>
                <w:b w:val="0"/>
                <w:color w:val="263238"/>
                <w:sz w:val="17"/>
              </w:rPr>
              <w:t>MakeFinancingOffer</w:t>
            </w:r>
          </w:p>
        </w:tc>
        <w:tc>
          <w:tcPr>
            <w:tcW w:type="dxa" w:w="2736"/>
            <w:vAlign w:val="center"/>
            <w:shd w:fill="F7FAFB"/>
          </w:tcPr>
          <w:p>
            <w:pPr>
              <w:spacing w:after="0"/>
            </w:pPr>
            <w:r/>
            <w:r>
              <w:rPr>
                <w:rFonts w:ascii="Aptos" w:hAnsi="Aptos"/>
                <w:b w:val="0"/>
                <w:color w:val="263238"/>
                <w:sz w:val="17"/>
              </w:rPr>
              <w:t>Financier</w:t>
            </w:r>
          </w:p>
        </w:tc>
        <w:tc>
          <w:tcPr>
            <w:tcW w:type="dxa" w:w="4464"/>
            <w:vAlign w:val="center"/>
            <w:shd w:fill="F7FAFB"/>
          </w:tcPr>
          <w:p>
            <w:pPr>
              <w:spacing w:after="0"/>
            </w:pPr>
            <w:r/>
            <w:r>
              <w:rPr>
                <w:rFonts w:ascii="Aptos" w:hAnsi="Aptos"/>
                <w:b w:val="0"/>
                <w:color w:val="263238"/>
                <w:sz w:val="17"/>
              </w:rPr>
              <w:t>Submit funding terms.</w:t>
            </w:r>
          </w:p>
        </w:tc>
      </w:tr>
      <w:tr>
        <w:trPr>
          <w:cantSplit/>
        </w:trPr>
        <w:tc>
          <w:tcPr>
            <w:tcW w:type="dxa" w:w="2448"/>
            <w:vAlign w:val="center"/>
          </w:tcPr>
          <w:p>
            <w:pPr>
              <w:spacing w:after="0"/>
            </w:pPr>
            <w:r/>
            <w:r>
              <w:rPr>
                <w:rFonts w:ascii="Aptos" w:hAnsi="Aptos"/>
                <w:b w:val="0"/>
                <w:color w:val="263238"/>
                <w:sz w:val="17"/>
              </w:rPr>
              <w:t>AcceptFinancingOffer</w:t>
            </w:r>
          </w:p>
        </w:tc>
        <w:tc>
          <w:tcPr>
            <w:tcW w:type="dxa" w:w="2736"/>
            <w:vAlign w:val="center"/>
          </w:tcPr>
          <w:p>
            <w:pPr>
              <w:spacing w:after="0"/>
            </w:pPr>
            <w:r/>
            <w:r>
              <w:rPr>
                <w:rFonts w:ascii="Aptos" w:hAnsi="Aptos"/>
                <w:b w:val="0"/>
                <w:color w:val="263238"/>
                <w:sz w:val="17"/>
              </w:rPr>
              <w:t>Supplier</w:t>
            </w:r>
          </w:p>
        </w:tc>
        <w:tc>
          <w:tcPr>
            <w:tcW w:type="dxa" w:w="4464"/>
            <w:vAlign w:val="center"/>
          </w:tcPr>
          <w:p>
            <w:pPr>
              <w:spacing w:after="0"/>
            </w:pPr>
            <w:r/>
            <w:r>
              <w:rPr>
                <w:rFonts w:ascii="Aptos" w:hAnsi="Aptos"/>
                <w:b w:val="0"/>
                <w:color w:val="263238"/>
                <w:sz w:val="17"/>
              </w:rPr>
              <w:t>Select one offer.</w:t>
            </w:r>
          </w:p>
        </w:tc>
      </w:tr>
      <w:tr>
        <w:trPr>
          <w:cantSplit/>
        </w:trPr>
        <w:tc>
          <w:tcPr>
            <w:tcW w:type="dxa" w:w="2448"/>
            <w:vAlign w:val="center"/>
            <w:shd w:fill="F7FAFB"/>
          </w:tcPr>
          <w:p>
            <w:pPr>
              <w:spacing w:after="0"/>
            </w:pPr>
            <w:r/>
            <w:r>
              <w:rPr>
                <w:rFonts w:ascii="Aptos" w:hAnsi="Aptos"/>
                <w:b w:val="0"/>
                <w:color w:val="263238"/>
                <w:sz w:val="17"/>
              </w:rPr>
              <w:t>MarkFunded</w:t>
            </w:r>
          </w:p>
        </w:tc>
        <w:tc>
          <w:tcPr>
            <w:tcW w:type="dxa" w:w="2736"/>
            <w:vAlign w:val="center"/>
            <w:shd w:fill="F7FAFB"/>
          </w:tcPr>
          <w:p>
            <w:pPr>
              <w:spacing w:after="0"/>
            </w:pPr>
            <w:r/>
            <w:r>
              <w:rPr>
                <w:rFonts w:ascii="Aptos" w:hAnsi="Aptos"/>
                <w:b w:val="0"/>
                <w:color w:val="263238"/>
                <w:sz w:val="17"/>
              </w:rPr>
              <w:t>Relevant parties / platform workflow</w:t>
            </w:r>
          </w:p>
        </w:tc>
        <w:tc>
          <w:tcPr>
            <w:tcW w:type="dxa" w:w="4464"/>
            <w:vAlign w:val="center"/>
            <w:shd w:fill="F7FAFB"/>
          </w:tcPr>
          <w:p>
            <w:pPr>
              <w:spacing w:after="0"/>
            </w:pPr>
            <w:r/>
            <w:r>
              <w:rPr>
                <w:rFonts w:ascii="Aptos" w:hAnsi="Aptos"/>
                <w:b w:val="0"/>
                <w:color w:val="263238"/>
                <w:sz w:val="17"/>
              </w:rPr>
              <w:t>Record funding completion for the demo.</w:t>
            </w:r>
          </w:p>
        </w:tc>
      </w:tr>
      <w:tr>
        <w:trPr>
          <w:cantSplit/>
        </w:trPr>
        <w:tc>
          <w:tcPr>
            <w:tcW w:type="dxa" w:w="2448"/>
            <w:vAlign w:val="center"/>
          </w:tcPr>
          <w:p>
            <w:pPr>
              <w:spacing w:after="0"/>
            </w:pPr>
            <w:r/>
            <w:r>
              <w:rPr>
                <w:rFonts w:ascii="Aptos" w:hAnsi="Aptos"/>
                <w:b w:val="0"/>
                <w:color w:val="263238"/>
                <w:sz w:val="17"/>
              </w:rPr>
              <w:t>RaiseDispute</w:t>
            </w:r>
          </w:p>
        </w:tc>
        <w:tc>
          <w:tcPr>
            <w:tcW w:type="dxa" w:w="2736"/>
            <w:vAlign w:val="center"/>
          </w:tcPr>
          <w:p>
            <w:pPr>
              <w:spacing w:after="0"/>
            </w:pPr>
            <w:r/>
            <w:r>
              <w:rPr>
                <w:rFonts w:ascii="Aptos" w:hAnsi="Aptos"/>
                <w:b w:val="0"/>
                <w:color w:val="263238"/>
                <w:sz w:val="17"/>
              </w:rPr>
              <w:t>Buyer or Supplier</w:t>
            </w:r>
          </w:p>
        </w:tc>
        <w:tc>
          <w:tcPr>
            <w:tcW w:type="dxa" w:w="4464"/>
            <w:vAlign w:val="center"/>
          </w:tcPr>
          <w:p>
            <w:pPr>
              <w:spacing w:after="0"/>
            </w:pPr>
            <w:r/>
            <w:r>
              <w:rPr>
                <w:rFonts w:ascii="Aptos" w:hAnsi="Aptos"/>
                <w:b w:val="0"/>
                <w:color w:val="263238"/>
                <w:sz w:val="17"/>
              </w:rPr>
              <w:t>Open a material dispute.</w:t>
            </w:r>
          </w:p>
        </w:tc>
      </w:tr>
      <w:tr>
        <w:trPr>
          <w:cantSplit/>
        </w:trPr>
        <w:tc>
          <w:tcPr>
            <w:tcW w:type="dxa" w:w="2448"/>
            <w:vAlign w:val="center"/>
            <w:shd w:fill="F7FAFB"/>
          </w:tcPr>
          <w:p>
            <w:pPr>
              <w:spacing w:after="0"/>
            </w:pPr>
            <w:r/>
            <w:r>
              <w:rPr>
                <w:rFonts w:ascii="Aptos" w:hAnsi="Aptos"/>
                <w:b w:val="0"/>
                <w:color w:val="263238"/>
                <w:sz w:val="17"/>
              </w:rPr>
              <w:t>ResolveDispute</w:t>
            </w:r>
          </w:p>
        </w:tc>
        <w:tc>
          <w:tcPr>
            <w:tcW w:type="dxa" w:w="2736"/>
            <w:vAlign w:val="center"/>
            <w:shd w:fill="F7FAFB"/>
          </w:tcPr>
          <w:p>
            <w:pPr>
              <w:spacing w:after="0"/>
            </w:pPr>
            <w:r/>
            <w:r>
              <w:rPr>
                <w:rFonts w:ascii="Aptos" w:hAnsi="Aptos"/>
                <w:b w:val="0"/>
                <w:color w:val="263238"/>
                <w:sz w:val="17"/>
              </w:rPr>
              <w:t>Authorized party</w:t>
            </w:r>
          </w:p>
        </w:tc>
        <w:tc>
          <w:tcPr>
            <w:tcW w:type="dxa" w:w="4464"/>
            <w:vAlign w:val="center"/>
            <w:shd w:fill="F7FAFB"/>
          </w:tcPr>
          <w:p>
            <w:pPr>
              <w:spacing w:after="0"/>
            </w:pPr>
            <w:r/>
            <w:r>
              <w:rPr>
                <w:rFonts w:ascii="Aptos" w:hAnsi="Aptos"/>
                <w:b w:val="0"/>
                <w:color w:val="263238"/>
                <w:sz w:val="17"/>
              </w:rPr>
              <w:t>Record dispute resolution.</w:t>
            </w:r>
          </w:p>
        </w:tc>
      </w:tr>
      <w:tr>
        <w:trPr>
          <w:cantSplit/>
        </w:trPr>
        <w:tc>
          <w:tcPr>
            <w:tcW w:type="dxa" w:w="2448"/>
            <w:vAlign w:val="center"/>
          </w:tcPr>
          <w:p>
            <w:pPr>
              <w:spacing w:after="0"/>
            </w:pPr>
            <w:r/>
            <w:r>
              <w:rPr>
                <w:rFonts w:ascii="Aptos" w:hAnsi="Aptos"/>
                <w:b w:val="0"/>
                <w:color w:val="263238"/>
                <w:sz w:val="17"/>
              </w:rPr>
              <w:t>RecordSettlement</w:t>
            </w:r>
          </w:p>
        </w:tc>
        <w:tc>
          <w:tcPr>
            <w:tcW w:type="dxa" w:w="2736"/>
            <w:vAlign w:val="center"/>
          </w:tcPr>
          <w:p>
            <w:pPr>
              <w:spacing w:after="0"/>
            </w:pPr>
            <w:r/>
            <w:r>
              <w:rPr>
                <w:rFonts w:ascii="Aptos" w:hAnsi="Aptos"/>
                <w:b w:val="0"/>
                <w:color w:val="263238"/>
                <w:sz w:val="17"/>
              </w:rPr>
              <w:t>Relevant parties</w:t>
            </w:r>
          </w:p>
        </w:tc>
        <w:tc>
          <w:tcPr>
            <w:tcW w:type="dxa" w:w="4464"/>
            <w:vAlign w:val="center"/>
          </w:tcPr>
          <w:p>
            <w:pPr>
              <w:spacing w:after="0"/>
            </w:pPr>
            <w:r/>
            <w:r>
              <w:rPr>
                <w:rFonts w:ascii="Aptos" w:hAnsi="Aptos"/>
                <w:b w:val="0"/>
                <w:color w:val="263238"/>
                <w:sz w:val="17"/>
              </w:rPr>
              <w:t>Record required settlement event.</w:t>
            </w:r>
          </w:p>
        </w:tc>
      </w:tr>
      <w:tr>
        <w:trPr>
          <w:cantSplit/>
        </w:trPr>
        <w:tc>
          <w:tcPr>
            <w:tcW w:type="dxa" w:w="2448"/>
            <w:vAlign w:val="center"/>
            <w:shd w:fill="F7FAFB"/>
          </w:tcPr>
          <w:p>
            <w:pPr>
              <w:spacing w:after="0"/>
            </w:pPr>
            <w:r/>
            <w:r>
              <w:rPr>
                <w:rFonts w:ascii="Aptos" w:hAnsi="Aptos"/>
                <w:b w:val="0"/>
                <w:color w:val="263238"/>
                <w:sz w:val="17"/>
              </w:rPr>
              <w:t>CloseInvoice</w:t>
            </w:r>
          </w:p>
        </w:tc>
        <w:tc>
          <w:tcPr>
            <w:tcW w:type="dxa" w:w="2736"/>
            <w:vAlign w:val="center"/>
            <w:shd w:fill="F7FAFB"/>
          </w:tcPr>
          <w:p>
            <w:pPr>
              <w:spacing w:after="0"/>
            </w:pPr>
            <w:r/>
            <w:r>
              <w:rPr>
                <w:rFonts w:ascii="Aptos" w:hAnsi="Aptos"/>
                <w:b w:val="0"/>
                <w:color w:val="263238"/>
                <w:sz w:val="17"/>
              </w:rPr>
              <w:t>Authorized workflow</w:t>
            </w:r>
          </w:p>
        </w:tc>
        <w:tc>
          <w:tcPr>
            <w:tcW w:type="dxa" w:w="4464"/>
            <w:vAlign w:val="center"/>
            <w:shd w:fill="F7FAFB"/>
          </w:tcPr>
          <w:p>
            <w:pPr>
              <w:spacing w:after="0"/>
            </w:pPr>
            <w:r/>
            <w:r>
              <w:rPr>
                <w:rFonts w:ascii="Aptos" w:hAnsi="Aptos"/>
                <w:b w:val="0"/>
                <w:color w:val="263238"/>
                <w:sz w:val="17"/>
              </w:rPr>
              <w:t>Complete the invoice lifecycle.</w:t>
            </w:r>
          </w:p>
        </w:tc>
      </w:tr>
    </w:tbl>
    <w:p>
      <w:pPr>
        <w:spacing w:after="20"/>
      </w:pPr>
    </w:p>
    <w:tbl>
      <w:tblPr>
        <w:tblW w:type="auto" w:w="0"/>
        <w:jc w:val="center"/>
        <w:tblLook w:firstColumn="1" w:firstRow="1" w:lastColumn="0" w:lastRow="0" w:noHBand="0" w:noVBand="1" w:val="04A0"/>
      </w:tblPr>
      <w:tblGrid>
        <w:gridCol w:w="10080"/>
      </w:tblGrid>
      <w:tr>
        <w:trPr>
          <w:tblHeader w:val="true"/>
        </w:trPr>
        <w:tc>
          <w:tcPr>
            <w:tcW w:type="dxa" w:w="10080"/>
            <w:shd w:fill="EAF2F4"/>
          </w:tcPr>
          <w:p>
            <w:pPr>
              <w:spacing w:after="40"/>
            </w:pPr>
            <w:r/>
            <w:r>
              <w:rPr>
                <w:b/>
                <w:color w:val="17324D"/>
                <w:sz w:val="21"/>
              </w:rPr>
              <w:t>Why Canton matters here</w:t>
            </w:r>
          </w:p>
          <w:p>
            <w:pPr>
              <w:spacing w:after="0"/>
            </w:pPr>
            <w:r>
              <w:rPr>
                <w:color w:val="263238"/>
                <w:sz w:val="19"/>
              </w:rPr>
              <w:t>The value is not “putting invoices on a blockchain.” The value is coordinating a multi-party workflow where Supplier, Buyer, and Financier have different rights and visibility, while important state transitions and agreements are controlled by the ledger model.</w:t>
            </w:r>
          </w:p>
        </w:tc>
      </w:tr>
    </w:tbl>
    <w:p>
      <w:pPr>
        <w:spacing w:after="20"/>
      </w:pPr>
    </w:p>
    <w:p>
      <w:pPr>
        <w:pStyle w:val="Heading1"/>
      </w:pPr>
      <w:r>
        <w:t>7. Technical Architecture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vAlign w:val="center"/>
            <w:shd w:fill="17324D"/>
          </w:tcPr>
          <w:p>
            <w:pPr>
              <w:spacing w:after="0"/>
            </w:pPr>
            <w:r/>
            <w:r>
              <w:rPr>
                <w:rFonts w:ascii="Aptos" w:hAnsi="Aptos"/>
                <w:b/>
                <w:color w:val="FFFFFF"/>
                <w:sz w:val="18"/>
              </w:rPr>
              <w:t>Layer</w:t>
            </w:r>
          </w:p>
        </w:tc>
        <w:tc>
          <w:tcPr>
            <w:tcW w:type="dxa" w:w="7056"/>
            <w:vAlign w:val="center"/>
            <w:shd w:fill="17324D"/>
          </w:tcPr>
          <w:p>
            <w:pPr>
              <w:spacing w:after="0"/>
            </w:pPr>
            <w:r/>
            <w:r>
              <w:rPr>
                <w:rFonts w:ascii="Aptos" w:hAnsi="Aptos"/>
                <w:b/>
                <w:color w:val="FFFFFF"/>
                <w:sz w:val="18"/>
              </w:rPr>
              <w:t>Responsibility</w:t>
            </w:r>
          </w:p>
        </w:tc>
      </w:tr>
      <w:tr>
        <w:trPr>
          <w:cantSplit/>
        </w:trPr>
        <w:tc>
          <w:tcPr>
            <w:tcW w:type="dxa" w:w="2592"/>
            <w:vAlign w:val="center"/>
            <w:shd w:fill="F7FAFB"/>
          </w:tcPr>
          <w:p>
            <w:pPr>
              <w:spacing w:after="0"/>
            </w:pPr>
            <w:r/>
            <w:r>
              <w:rPr>
                <w:rFonts w:ascii="Aptos" w:hAnsi="Aptos"/>
                <w:b w:val="0"/>
                <w:color w:val="263238"/>
                <w:sz w:val="17"/>
              </w:rPr>
              <w:t>Next.js / React / TypeScript</w:t>
            </w:r>
          </w:p>
        </w:tc>
        <w:tc>
          <w:tcPr>
            <w:tcW w:type="dxa" w:w="7056"/>
            <w:vAlign w:val="center"/>
            <w:shd w:fill="F7FAFB"/>
          </w:tcPr>
          <w:p>
            <w:pPr>
              <w:spacing w:after="0"/>
            </w:pPr>
            <w:r/>
            <w:r>
              <w:rPr>
                <w:rFonts w:ascii="Aptos" w:hAnsi="Aptos"/>
                <w:b w:val="0"/>
                <w:color w:val="263238"/>
                <w:sz w:val="17"/>
              </w:rPr>
              <w:t>Supplier, buyer, and financier dashboards and workflow UI.</w:t>
            </w:r>
          </w:p>
        </w:tc>
      </w:tr>
      <w:tr>
        <w:trPr>
          <w:cantSplit/>
        </w:trPr>
        <w:tc>
          <w:tcPr>
            <w:tcW w:type="dxa" w:w="2592"/>
            <w:vAlign w:val="center"/>
          </w:tcPr>
          <w:p>
            <w:pPr>
              <w:spacing w:after="0"/>
            </w:pPr>
            <w:r/>
            <w:r>
              <w:rPr>
                <w:rFonts w:ascii="Aptos" w:hAnsi="Aptos"/>
                <w:b w:val="0"/>
                <w:color w:val="263238"/>
                <w:sz w:val="17"/>
              </w:rPr>
              <w:t>Backend API</w:t>
            </w:r>
          </w:p>
        </w:tc>
        <w:tc>
          <w:tcPr>
            <w:tcW w:type="dxa" w:w="7056"/>
            <w:vAlign w:val="center"/>
          </w:tcPr>
          <w:p>
            <w:pPr>
              <w:spacing w:after="0"/>
            </w:pPr>
            <w:r/>
            <w:r>
              <w:rPr>
                <w:rFonts w:ascii="Aptos" w:hAnsi="Aptos"/>
                <w:b w:val="0"/>
                <w:color w:val="263238"/>
                <w:sz w:val="17"/>
              </w:rPr>
              <w:t>Authentication, orchestration, validation, document handling, notifications, AI calls, and Canton integration.</w:t>
            </w:r>
          </w:p>
        </w:tc>
      </w:tr>
      <w:tr>
        <w:trPr>
          <w:cantSplit/>
        </w:trPr>
        <w:tc>
          <w:tcPr>
            <w:tcW w:type="dxa" w:w="2592"/>
            <w:vAlign w:val="center"/>
            <w:shd w:fill="F7FAFB"/>
          </w:tcPr>
          <w:p>
            <w:pPr>
              <w:spacing w:after="0"/>
            </w:pPr>
            <w:r/>
            <w:r>
              <w:rPr>
                <w:rFonts w:ascii="Aptos" w:hAnsi="Aptos"/>
                <w:b w:val="0"/>
                <w:color w:val="263238"/>
                <w:sz w:val="17"/>
              </w:rPr>
              <w:t>Canton / Daml</w:t>
            </w:r>
          </w:p>
        </w:tc>
        <w:tc>
          <w:tcPr>
            <w:tcW w:type="dxa" w:w="7056"/>
            <w:vAlign w:val="center"/>
            <w:shd w:fill="F7FAFB"/>
          </w:tcPr>
          <w:p>
            <w:pPr>
              <w:spacing w:after="0"/>
            </w:pPr>
            <w:r/>
            <w:r>
              <w:rPr>
                <w:rFonts w:ascii="Aptos" w:hAnsi="Aptos"/>
                <w:b w:val="0"/>
                <w:color w:val="263238"/>
                <w:sz w:val="17"/>
              </w:rPr>
              <w:t>Shared commercial state, party permissions, contract lifecycle, and financing/settlement agreements.</w:t>
            </w:r>
          </w:p>
        </w:tc>
      </w:tr>
      <w:tr>
        <w:trPr>
          <w:cantSplit/>
        </w:trPr>
        <w:tc>
          <w:tcPr>
            <w:tcW w:type="dxa" w:w="2592"/>
            <w:vAlign w:val="center"/>
          </w:tcPr>
          <w:p>
            <w:pPr>
              <w:spacing w:after="0"/>
            </w:pPr>
            <w:r/>
            <w:r>
              <w:rPr>
                <w:rFonts w:ascii="Aptos" w:hAnsi="Aptos"/>
                <w:b w:val="0"/>
                <w:color w:val="263238"/>
                <w:sz w:val="17"/>
              </w:rPr>
              <w:t>PostgreSQL</w:t>
            </w:r>
          </w:p>
        </w:tc>
        <w:tc>
          <w:tcPr>
            <w:tcW w:type="dxa" w:w="7056"/>
            <w:vAlign w:val="center"/>
          </w:tcPr>
          <w:p>
            <w:pPr>
              <w:spacing w:after="0"/>
            </w:pPr>
            <w:r/>
            <w:r>
              <w:rPr>
                <w:rFonts w:ascii="Aptos" w:hAnsi="Aptos"/>
                <w:b w:val="0"/>
                <w:color w:val="263238"/>
                <w:sz w:val="17"/>
              </w:rPr>
              <w:t>User/company profiles, operational app data, notifications, analytics, search/indexes, and document metadata.</w:t>
            </w:r>
          </w:p>
        </w:tc>
      </w:tr>
      <w:tr>
        <w:trPr>
          <w:cantSplit/>
        </w:trPr>
        <w:tc>
          <w:tcPr>
            <w:tcW w:type="dxa" w:w="2592"/>
            <w:vAlign w:val="center"/>
            <w:shd w:fill="F7FAFB"/>
          </w:tcPr>
          <w:p>
            <w:pPr>
              <w:spacing w:after="0"/>
            </w:pPr>
            <w:r/>
            <w:r>
              <w:rPr>
                <w:rFonts w:ascii="Aptos" w:hAnsi="Aptos"/>
                <w:b w:val="0"/>
                <w:color w:val="263238"/>
                <w:sz w:val="17"/>
              </w:rPr>
              <w:t>Object storage</w:t>
            </w:r>
          </w:p>
        </w:tc>
        <w:tc>
          <w:tcPr>
            <w:tcW w:type="dxa" w:w="7056"/>
            <w:vAlign w:val="center"/>
            <w:shd w:fill="F7FAFB"/>
          </w:tcPr>
          <w:p>
            <w:pPr>
              <w:spacing w:after="0"/>
            </w:pPr>
            <w:r/>
            <w:r>
              <w:rPr>
                <w:rFonts w:ascii="Aptos" w:hAnsi="Aptos"/>
                <w:b w:val="0"/>
                <w:color w:val="263238"/>
                <w:sz w:val="17"/>
              </w:rPr>
              <w:t>Invoice PDFs, purchase orders, delivery notes, and other supporting documents.</w:t>
            </w:r>
          </w:p>
        </w:tc>
      </w:tr>
      <w:tr>
        <w:trPr>
          <w:cantSplit/>
        </w:trPr>
        <w:tc>
          <w:tcPr>
            <w:tcW w:type="dxa" w:w="2592"/>
            <w:vAlign w:val="center"/>
          </w:tcPr>
          <w:p>
            <w:pPr>
              <w:spacing w:after="0"/>
            </w:pPr>
            <w:r/>
            <w:r>
              <w:rPr>
                <w:rFonts w:ascii="Aptos" w:hAnsi="Aptos"/>
                <w:b w:val="0"/>
                <w:color w:val="263238"/>
                <w:sz w:val="17"/>
              </w:rPr>
              <w:t>AI service</w:t>
            </w:r>
          </w:p>
        </w:tc>
        <w:tc>
          <w:tcPr>
            <w:tcW w:type="dxa" w:w="7056"/>
            <w:vAlign w:val="center"/>
          </w:tcPr>
          <w:p>
            <w:pPr>
              <w:spacing w:after="0"/>
            </w:pPr>
            <w:r/>
            <w:r>
              <w:rPr>
                <w:rFonts w:ascii="Aptos" w:hAnsi="Aptos"/>
                <w:b w:val="0"/>
                <w:color w:val="263238"/>
                <w:sz w:val="17"/>
              </w:rPr>
              <w:t>Invoice analysis, evidence explanations, missing-evidence detection, and dispute/brief summaries.</w:t>
            </w:r>
          </w:p>
        </w:tc>
      </w:tr>
    </w:tbl>
    <w:p>
      <w:pPr>
        <w:spacing w:after="20"/>
      </w:pPr>
    </w:p>
    <w:p>
      <w:r>
        <w:t>A practical hackathon architecture is an app-provider-operated backend that talks to the Canton participant through the Ledger/JSON API. Users should experience a normal web application; they should not need to understand Canton or operate a ledger node.</w:t>
      </w:r>
    </w:p>
    <w:p>
      <w:pPr>
        <w:pStyle w:val="Heading1"/>
      </w:pPr>
      <w:r>
        <w:t>8. Privacy &amp; Data Boundaries</w:t>
      </w:r>
    </w:p>
    <w:p>
      <w:r>
        <w:t>The platform should avoid putting every application field on the ledger. Store business documents off-ledger and keep only the relevant metadata, hashes, and workflow state in the ledger model. Canton’s role is the controlled sharing and authorization of business state between the parties that need it.</w:t>
      </w:r>
    </w:p>
    <w:p>
      <w:pPr>
        <w:pStyle w:val="Heading1"/>
      </w:pPr>
      <w:r>
        <w:t>9. Important Exception Paths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24D"/>
          </w:tcPr>
          <w:p>
            <w:pPr>
              <w:spacing w:after="0"/>
            </w:pPr>
            <w:r/>
            <w:r>
              <w:rPr>
                <w:rFonts w:ascii="Aptos" w:hAnsi="Aptos"/>
                <w:b/>
                <w:color w:val="FFFFFF"/>
                <w:sz w:val="18"/>
              </w:rPr>
              <w:t>Scenario</w:t>
            </w:r>
          </w:p>
        </w:tc>
        <w:tc>
          <w:tcPr>
            <w:tcW w:type="dxa" w:w="6768"/>
            <w:vAlign w:val="center"/>
            <w:shd w:fill="17324D"/>
          </w:tcPr>
          <w:p>
            <w:pPr>
              <w:spacing w:after="0"/>
            </w:pPr>
            <w:r/>
            <w:r>
              <w:rPr>
                <w:rFonts w:ascii="Aptos" w:hAnsi="Aptos"/>
                <w:b/>
                <w:color w:val="FFFFFF"/>
                <w:sz w:val="18"/>
              </w:rPr>
              <w:t>Expected behavior</w:t>
            </w:r>
          </w:p>
        </w:tc>
      </w:tr>
      <w:tr>
        <w:trPr>
          <w:cantSplit/>
        </w:trPr>
        <w:tc>
          <w:tcPr>
            <w:tcW w:type="dxa" w:w="2880"/>
            <w:vAlign w:val="center"/>
            <w:shd w:fill="F7FAFB"/>
          </w:tcPr>
          <w:p>
            <w:pPr>
              <w:spacing w:after="0"/>
            </w:pPr>
            <w:r/>
            <w:r>
              <w:rPr>
                <w:rFonts w:ascii="Aptos" w:hAnsi="Aptos"/>
                <w:b w:val="0"/>
                <w:color w:val="263238"/>
                <w:sz w:val="17"/>
              </w:rPr>
              <w:t>Invoice rejected</w:t>
            </w:r>
          </w:p>
        </w:tc>
        <w:tc>
          <w:tcPr>
            <w:tcW w:type="dxa" w:w="6768"/>
            <w:vAlign w:val="center"/>
            <w:shd w:fill="F7FAFB"/>
          </w:tcPr>
          <w:p>
            <w:pPr>
              <w:spacing w:after="0"/>
            </w:pPr>
            <w:r/>
            <w:r>
              <w:rPr>
                <w:rFonts w:ascii="Aptos" w:hAnsi="Aptos"/>
                <w:b w:val="0"/>
                <w:color w:val="263238"/>
                <w:sz w:val="17"/>
              </w:rPr>
              <w:t>Invoice returns to correction/resubmission flow or is closed as rejected.</w:t>
            </w:r>
          </w:p>
        </w:tc>
      </w:tr>
      <w:tr>
        <w:trPr>
          <w:cantSplit/>
        </w:trPr>
        <w:tc>
          <w:tcPr>
            <w:tcW w:type="dxa" w:w="2880"/>
            <w:vAlign w:val="center"/>
          </w:tcPr>
          <w:p>
            <w:pPr>
              <w:spacing w:after="0"/>
            </w:pPr>
            <w:r/>
            <w:r>
              <w:rPr>
                <w:rFonts w:ascii="Aptos" w:hAnsi="Aptos"/>
                <w:b w:val="0"/>
                <w:color w:val="263238"/>
                <w:sz w:val="17"/>
              </w:rPr>
              <w:t>Correction requested</w:t>
            </w:r>
          </w:p>
        </w:tc>
        <w:tc>
          <w:tcPr>
            <w:tcW w:type="dxa" w:w="6768"/>
            <w:vAlign w:val="center"/>
          </w:tcPr>
          <w:p>
            <w:pPr>
              <w:spacing w:after="0"/>
            </w:pPr>
            <w:r/>
            <w:r>
              <w:rPr>
                <w:rFonts w:ascii="Aptos" w:hAnsi="Aptos"/>
                <w:b w:val="0"/>
                <w:color w:val="263238"/>
                <w:sz w:val="17"/>
              </w:rPr>
              <w:t>Supplier updates the invoice and resubmits.</w:t>
            </w:r>
          </w:p>
        </w:tc>
      </w:tr>
      <w:tr>
        <w:trPr>
          <w:cantSplit/>
        </w:trPr>
        <w:tc>
          <w:tcPr>
            <w:tcW w:type="dxa" w:w="2880"/>
            <w:vAlign w:val="center"/>
            <w:shd w:fill="F7FAFB"/>
          </w:tcPr>
          <w:p>
            <w:pPr>
              <w:spacing w:after="0"/>
            </w:pPr>
            <w:r/>
            <w:r>
              <w:rPr>
                <w:rFonts w:ascii="Aptos" w:hAnsi="Aptos"/>
                <w:b w:val="0"/>
                <w:color w:val="263238"/>
                <w:sz w:val="17"/>
              </w:rPr>
              <w:t>Partial delivery</w:t>
            </w:r>
          </w:p>
        </w:tc>
        <w:tc>
          <w:tcPr>
            <w:tcW w:type="dxa" w:w="6768"/>
            <w:vAlign w:val="center"/>
            <w:shd w:fill="F7FAFB"/>
          </w:tcPr>
          <w:p>
            <w:pPr>
              <w:spacing w:after="0"/>
            </w:pPr>
            <w:r/>
            <w:r>
              <w:rPr>
                <w:rFonts w:ascii="Aptos" w:hAnsi="Aptos"/>
                <w:b w:val="0"/>
                <w:color w:val="263238"/>
                <w:sz w:val="17"/>
              </w:rPr>
              <w:t>Buyer can record partial fulfillment or raise a dispute.</w:t>
            </w:r>
          </w:p>
        </w:tc>
      </w:tr>
      <w:tr>
        <w:trPr>
          <w:cantSplit/>
        </w:trPr>
        <w:tc>
          <w:tcPr>
            <w:tcW w:type="dxa" w:w="2880"/>
            <w:vAlign w:val="center"/>
          </w:tcPr>
          <w:p>
            <w:pPr>
              <w:spacing w:after="0"/>
            </w:pPr>
            <w:r/>
            <w:r>
              <w:rPr>
                <w:rFonts w:ascii="Aptos" w:hAnsi="Aptos"/>
                <w:b w:val="0"/>
                <w:color w:val="263238"/>
                <w:sz w:val="17"/>
              </w:rPr>
              <w:t>Financier rejects request</w:t>
            </w:r>
          </w:p>
        </w:tc>
        <w:tc>
          <w:tcPr>
            <w:tcW w:type="dxa" w:w="6768"/>
            <w:vAlign w:val="center"/>
          </w:tcPr>
          <w:p>
            <w:pPr>
              <w:spacing w:after="0"/>
            </w:pPr>
            <w:r/>
            <w:r>
              <w:rPr>
                <w:rFonts w:ascii="Aptos" w:hAnsi="Aptos"/>
                <w:b w:val="0"/>
                <w:color w:val="263238"/>
                <w:sz w:val="17"/>
              </w:rPr>
              <w:t>Supplier may submit to another financier.</w:t>
            </w:r>
          </w:p>
        </w:tc>
      </w:tr>
      <w:tr>
        <w:trPr>
          <w:cantSplit/>
        </w:trPr>
        <w:tc>
          <w:tcPr>
            <w:tcW w:type="dxa" w:w="2880"/>
            <w:vAlign w:val="center"/>
            <w:shd w:fill="F7FAFB"/>
          </w:tcPr>
          <w:p>
            <w:pPr>
              <w:spacing w:after="0"/>
            </w:pPr>
            <w:r/>
            <w:r>
              <w:rPr>
                <w:rFonts w:ascii="Aptos" w:hAnsi="Aptos"/>
                <w:b w:val="0"/>
                <w:color w:val="263238"/>
                <w:sz w:val="17"/>
              </w:rPr>
              <w:t>Offer expires</w:t>
            </w:r>
          </w:p>
        </w:tc>
        <w:tc>
          <w:tcPr>
            <w:tcW w:type="dxa" w:w="6768"/>
            <w:vAlign w:val="center"/>
            <w:shd w:fill="F7FAFB"/>
          </w:tcPr>
          <w:p>
            <w:pPr>
              <w:spacing w:after="0"/>
            </w:pPr>
            <w:r/>
            <w:r>
              <w:rPr>
                <w:rFonts w:ascii="Aptos" w:hAnsi="Aptos"/>
                <w:b w:val="0"/>
                <w:color w:val="263238"/>
                <w:sz w:val="17"/>
              </w:rPr>
              <w:t>Offer becomes inactive; supplier can request another offer.</w:t>
            </w:r>
          </w:p>
        </w:tc>
      </w:tr>
      <w:tr>
        <w:trPr>
          <w:cantSplit/>
        </w:trPr>
        <w:tc>
          <w:tcPr>
            <w:tcW w:type="dxa" w:w="2880"/>
            <w:vAlign w:val="center"/>
          </w:tcPr>
          <w:p>
            <w:pPr>
              <w:spacing w:after="0"/>
            </w:pPr>
            <w:r/>
            <w:r>
              <w:rPr>
                <w:rFonts w:ascii="Aptos" w:hAnsi="Aptos"/>
                <w:b w:val="0"/>
                <w:color w:val="263238"/>
                <w:sz w:val="17"/>
              </w:rPr>
              <w:t>Duplicate financing attempt</w:t>
            </w:r>
          </w:p>
        </w:tc>
        <w:tc>
          <w:tcPr>
            <w:tcW w:type="dxa" w:w="6768"/>
            <w:vAlign w:val="center"/>
          </w:tcPr>
          <w:p>
            <w:pPr>
              <w:spacing w:after="0"/>
            </w:pPr>
            <w:r/>
            <w:r>
              <w:rPr>
                <w:rFonts w:ascii="Aptos" w:hAnsi="Aptos"/>
                <w:b w:val="0"/>
                <w:color w:val="263238"/>
                <w:sz w:val="17"/>
              </w:rPr>
              <w:t>Workflow rejects a conflicting financing action while the invoice is already financed.</w:t>
            </w:r>
          </w:p>
        </w:tc>
      </w:tr>
      <w:tr>
        <w:trPr>
          <w:cantSplit/>
        </w:trPr>
        <w:tc>
          <w:tcPr>
            <w:tcW w:type="dxa" w:w="2880"/>
            <w:vAlign w:val="center"/>
            <w:shd w:fill="F7FAFB"/>
          </w:tcPr>
          <w:p>
            <w:pPr>
              <w:spacing w:after="0"/>
            </w:pPr>
            <w:r/>
            <w:r>
              <w:rPr>
                <w:rFonts w:ascii="Aptos" w:hAnsi="Aptos"/>
                <w:b w:val="0"/>
                <w:color w:val="263238"/>
                <w:sz w:val="17"/>
              </w:rPr>
              <w:t>Buyer disputes after confirmation</w:t>
            </w:r>
          </w:p>
        </w:tc>
        <w:tc>
          <w:tcPr>
            <w:tcW w:type="dxa" w:w="6768"/>
            <w:vAlign w:val="center"/>
            <w:shd w:fill="F7FAFB"/>
          </w:tcPr>
          <w:p>
            <w:pPr>
              <w:spacing w:after="0"/>
            </w:pPr>
            <w:r/>
            <w:r>
              <w:rPr>
                <w:rFonts w:ascii="Aptos" w:hAnsi="Aptos"/>
                <w:b w:val="0"/>
                <w:color w:val="263238"/>
                <w:sz w:val="17"/>
              </w:rPr>
              <w:t>Relevant workflow can be paused pending resolution.</w:t>
            </w:r>
          </w:p>
        </w:tc>
      </w:tr>
      <w:tr>
        <w:trPr>
          <w:cantSplit/>
        </w:trPr>
        <w:tc>
          <w:tcPr>
            <w:tcW w:type="dxa" w:w="2880"/>
            <w:vAlign w:val="center"/>
          </w:tcPr>
          <w:p>
            <w:pPr>
              <w:spacing w:after="0"/>
            </w:pPr>
            <w:r/>
            <w:r>
              <w:rPr>
                <w:rFonts w:ascii="Aptos" w:hAnsi="Aptos"/>
                <w:b w:val="0"/>
                <w:color w:val="263238"/>
                <w:sz w:val="17"/>
              </w:rPr>
              <w:t>Late payment</w:t>
            </w:r>
          </w:p>
        </w:tc>
        <w:tc>
          <w:tcPr>
            <w:tcW w:type="dxa" w:w="6768"/>
            <w:vAlign w:val="center"/>
          </w:tcPr>
          <w:p>
            <w:pPr>
              <w:spacing w:after="0"/>
            </w:pPr>
            <w:r/>
            <w:r>
              <w:rPr>
                <w:rFonts w:ascii="Aptos" w:hAnsi="Aptos"/>
                <w:b w:val="0"/>
                <w:color w:val="263238"/>
                <w:sz w:val="17"/>
              </w:rPr>
              <w:t>Invoice/financing state becomes overdue and is surfaced for follow-up.</w:t>
            </w:r>
          </w:p>
        </w:tc>
      </w:tr>
    </w:tbl>
    <w:p>
      <w:pPr>
        <w:spacing w:after="20"/>
      </w:pPr>
    </w:p>
    <w:p>
      <w:pPr>
        <w:pStyle w:val="Heading1"/>
      </w:pPr>
      <w:r>
        <w:t>10. AI Role</w:t>
      </w:r>
    </w:p>
    <w:p>
      <w:r>
        <w:t>AI should explain and organize verified workflow evidence, not replace underwriting or create false certainty.</w:t>
      </w:r>
    </w:p>
    <w:p>
      <w:pPr>
        <w:pStyle w:val="ListBullet"/>
        <w:spacing w:after="40"/>
      </w:pPr>
      <w:r>
        <w:t>Good use: “The buyer acknowledged the ₦10m obligation, delivery is confirmed, and no active financing agreement is recorded.”</w:t>
      </w:r>
    </w:p>
    <w:p>
      <w:pPr>
        <w:pStyle w:val="ListBullet"/>
        <w:spacing w:after="40"/>
      </w:pPr>
      <w:r>
        <w:t>Good use: “A purchase order is missing from the supporting evidence.”</w:t>
      </w:r>
    </w:p>
    <w:p>
      <w:pPr>
        <w:pStyle w:val="ListBullet"/>
        <w:spacing w:after="40"/>
      </w:pPr>
      <w:r>
        <w:t>Avoid: “AI approved this invoice, therefore it is safe to finance.”</w:t>
      </w:r>
    </w:p>
    <w:p>
      <w:pPr>
        <w:pStyle w:val="ListBullet"/>
        <w:spacing w:after="40"/>
      </w:pPr>
      <w:r>
        <w:t>Avoid: autonomous loan approval based only on invoice text.</w:t>
      </w:r>
    </w:p>
    <w:p>
      <w:pPr>
        <w:pStyle w:val="Heading1"/>
      </w:pPr>
      <w:r>
        <w:t>11. Hackathon MVP Scope</w:t>
      </w:r>
    </w:p>
    <w:p>
      <w:r>
        <w:t>The MVP should be deep enough to demonstrate the multi-party financial workflow, but narrow enough to finish cleanly. The following is the recommended build boundary.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4752"/>
            <w:vAlign w:val="center"/>
            <w:shd w:fill="17324D"/>
          </w:tcPr>
          <w:p>
            <w:pPr>
              <w:spacing w:after="0"/>
            </w:pPr>
            <w:r/>
            <w:r>
              <w:rPr>
                <w:rFonts w:ascii="Aptos" w:hAnsi="Aptos"/>
                <w:b/>
                <w:color w:val="FFFFFF"/>
                <w:sz w:val="18"/>
              </w:rPr>
              <w:t>Build now</w:t>
            </w:r>
          </w:p>
        </w:tc>
        <w:tc>
          <w:tcPr>
            <w:tcW w:type="dxa" w:w="4752"/>
            <w:vAlign w:val="center"/>
            <w:shd w:fill="17324D"/>
          </w:tcPr>
          <w:p>
            <w:pPr>
              <w:spacing w:after="0"/>
            </w:pPr>
            <w:r/>
            <w:r>
              <w:rPr>
                <w:rFonts w:ascii="Aptos" w:hAnsi="Aptos"/>
                <w:b/>
                <w:color w:val="FFFFFF"/>
                <w:sz w:val="18"/>
              </w:rPr>
              <w:t>Leave for later</w:t>
            </w:r>
          </w:p>
        </w:tc>
      </w:tr>
      <w:tr>
        <w:trPr>
          <w:cantSplit/>
        </w:trPr>
        <w:tc>
          <w:tcPr>
            <w:tcW w:type="dxa" w:w="4752"/>
            <w:vAlign w:val="center"/>
            <w:shd w:fill="F7FAFB"/>
          </w:tcPr>
          <w:p>
            <w:pPr>
              <w:spacing w:after="0"/>
            </w:pPr>
            <w:r/>
            <w:r>
              <w:rPr>
                <w:rFonts w:ascii="Aptos" w:hAnsi="Aptos"/>
                <w:b w:val="0"/>
                <w:color w:val="263238"/>
                <w:sz w:val="17"/>
              </w:rPr>
              <w:t>Supplier, Buyer, Financier roles</w:t>
            </w:r>
          </w:p>
        </w:tc>
        <w:tc>
          <w:tcPr>
            <w:tcW w:type="dxa" w:w="4752"/>
            <w:vAlign w:val="center"/>
            <w:shd w:fill="F7FAFB"/>
          </w:tcPr>
          <w:p>
            <w:pPr>
              <w:spacing w:after="0"/>
            </w:pPr>
            <w:r/>
            <w:r>
              <w:rPr>
                <w:rFonts w:ascii="Aptos" w:hAnsi="Aptos"/>
                <w:b w:val="0"/>
                <w:color w:val="263238"/>
                <w:sz w:val="17"/>
              </w:rPr>
              <w:t>Real bank integrations</w:t>
            </w:r>
          </w:p>
        </w:tc>
      </w:tr>
      <w:tr>
        <w:trPr>
          <w:cantSplit/>
        </w:trPr>
        <w:tc>
          <w:tcPr>
            <w:tcW w:type="dxa" w:w="4752"/>
            <w:vAlign w:val="center"/>
          </w:tcPr>
          <w:p>
            <w:pPr>
              <w:spacing w:after="0"/>
            </w:pPr>
            <w:r/>
            <w:r>
              <w:rPr>
                <w:rFonts w:ascii="Aptos" w:hAnsi="Aptos"/>
                <w:b w:val="0"/>
                <w:color w:val="263238"/>
                <w:sz w:val="17"/>
              </w:rPr>
              <w:t>Invoice creation + supporting documents</w:t>
            </w:r>
          </w:p>
        </w:tc>
        <w:tc>
          <w:tcPr>
            <w:tcW w:type="dxa" w:w="4752"/>
            <w:vAlign w:val="center"/>
          </w:tcPr>
          <w:p>
            <w:pPr>
              <w:spacing w:after="0"/>
            </w:pPr>
            <w:r/>
            <w:r>
              <w:rPr>
                <w:rFonts w:ascii="Aptos" w:hAnsi="Aptos"/>
                <w:b w:val="0"/>
                <w:color w:val="263238"/>
                <w:sz w:val="17"/>
              </w:rPr>
              <w:t>Full accounting suite</w:t>
            </w:r>
          </w:p>
        </w:tc>
      </w:tr>
      <w:tr>
        <w:trPr>
          <w:cantSplit/>
        </w:trPr>
        <w:tc>
          <w:tcPr>
            <w:tcW w:type="dxa" w:w="4752"/>
            <w:vAlign w:val="center"/>
            <w:shd w:fill="F7FAFB"/>
          </w:tcPr>
          <w:p>
            <w:pPr>
              <w:spacing w:after="0"/>
            </w:pPr>
            <w:r/>
            <w:r>
              <w:rPr>
                <w:rFonts w:ascii="Aptos" w:hAnsi="Aptos"/>
                <w:b w:val="0"/>
                <w:color w:val="263238"/>
                <w:sz w:val="17"/>
              </w:rPr>
              <w:t>Buyer confirmation/rejection/correction</w:t>
            </w:r>
          </w:p>
        </w:tc>
        <w:tc>
          <w:tcPr>
            <w:tcW w:type="dxa" w:w="4752"/>
            <w:vAlign w:val="center"/>
            <w:shd w:fill="F7FAFB"/>
          </w:tcPr>
          <w:p>
            <w:pPr>
              <w:spacing w:after="0"/>
            </w:pPr>
            <w:r/>
            <w:r>
              <w:rPr>
                <w:rFonts w:ascii="Aptos" w:hAnsi="Aptos"/>
                <w:b w:val="0"/>
                <w:color w:val="263238"/>
                <w:sz w:val="17"/>
              </w:rPr>
              <w:t>Production KYC/AML stack</w:t>
            </w:r>
          </w:p>
        </w:tc>
      </w:tr>
      <w:tr>
        <w:trPr>
          <w:cantSplit/>
        </w:trPr>
        <w:tc>
          <w:tcPr>
            <w:tcW w:type="dxa" w:w="4752"/>
            <w:vAlign w:val="center"/>
          </w:tcPr>
          <w:p>
            <w:pPr>
              <w:spacing w:after="0"/>
            </w:pPr>
            <w:r/>
            <w:r>
              <w:rPr>
                <w:rFonts w:ascii="Aptos" w:hAnsi="Aptos"/>
                <w:b w:val="0"/>
                <w:color w:val="263238"/>
                <w:sz w:val="17"/>
              </w:rPr>
              <w:t>Delivery confirmation</w:t>
            </w:r>
          </w:p>
        </w:tc>
        <w:tc>
          <w:tcPr>
            <w:tcW w:type="dxa" w:w="4752"/>
            <w:vAlign w:val="center"/>
          </w:tcPr>
          <w:p>
            <w:pPr>
              <w:spacing w:after="0"/>
            </w:pPr>
            <w:r/>
            <w:r>
              <w:rPr>
                <w:rFonts w:ascii="Aptos" w:hAnsi="Aptos"/>
                <w:b w:val="0"/>
                <w:color w:val="263238"/>
                <w:sz w:val="17"/>
              </w:rPr>
              <w:t>Automated logistics verification</w:t>
            </w:r>
          </w:p>
        </w:tc>
      </w:tr>
      <w:tr>
        <w:trPr>
          <w:cantSplit/>
        </w:trPr>
        <w:tc>
          <w:tcPr>
            <w:tcW w:type="dxa" w:w="4752"/>
            <w:vAlign w:val="center"/>
            <w:shd w:fill="F7FAFB"/>
          </w:tcPr>
          <w:p>
            <w:pPr>
              <w:spacing w:after="0"/>
            </w:pPr>
            <w:r/>
            <w:r>
              <w:rPr>
                <w:rFonts w:ascii="Aptos" w:hAnsi="Aptos"/>
                <w:b w:val="0"/>
                <w:color w:val="263238"/>
                <w:sz w:val="17"/>
              </w:rPr>
              <w:t>Trust Passport</w:t>
            </w:r>
          </w:p>
        </w:tc>
        <w:tc>
          <w:tcPr>
            <w:tcW w:type="dxa" w:w="4752"/>
            <w:vAlign w:val="center"/>
            <w:shd w:fill="F7FAFB"/>
          </w:tcPr>
          <w:p>
            <w:pPr>
              <w:spacing w:after="0"/>
            </w:pPr>
            <w:r/>
            <w:r>
              <w:rPr>
                <w:rFonts w:ascii="Aptos" w:hAnsi="Aptos"/>
                <w:b w:val="0"/>
                <w:color w:val="263238"/>
                <w:sz w:val="17"/>
              </w:rPr>
              <w:t>Complex credit scoring</w:t>
            </w:r>
          </w:p>
        </w:tc>
      </w:tr>
      <w:tr>
        <w:trPr>
          <w:cantSplit/>
        </w:trPr>
        <w:tc>
          <w:tcPr>
            <w:tcW w:type="dxa" w:w="4752"/>
            <w:vAlign w:val="center"/>
          </w:tcPr>
          <w:p>
            <w:pPr>
              <w:spacing w:after="0"/>
            </w:pPr>
            <w:r/>
            <w:r>
              <w:rPr>
                <w:rFonts w:ascii="Aptos" w:hAnsi="Aptos"/>
                <w:b w:val="0"/>
                <w:color w:val="263238"/>
                <w:sz w:val="17"/>
              </w:rPr>
              <w:t>Multiple financing offers</w:t>
            </w:r>
          </w:p>
        </w:tc>
        <w:tc>
          <w:tcPr>
            <w:tcW w:type="dxa" w:w="4752"/>
            <w:vAlign w:val="center"/>
          </w:tcPr>
          <w:p>
            <w:pPr>
              <w:spacing w:after="0"/>
            </w:pPr>
            <w:r/>
            <w:r>
              <w:rPr>
                <w:rFonts w:ascii="Aptos" w:hAnsi="Aptos"/>
                <w:b w:val="0"/>
                <w:color w:val="263238"/>
                <w:sz w:val="17"/>
              </w:rPr>
              <w:t>Full lender marketplace at scale</w:t>
            </w:r>
          </w:p>
        </w:tc>
      </w:tr>
      <w:tr>
        <w:trPr>
          <w:cantSplit/>
        </w:trPr>
        <w:tc>
          <w:tcPr>
            <w:tcW w:type="dxa" w:w="4752"/>
            <w:vAlign w:val="center"/>
            <w:shd w:fill="F7FAFB"/>
          </w:tcPr>
          <w:p>
            <w:pPr>
              <w:spacing w:after="0"/>
            </w:pPr>
            <w:r/>
            <w:r>
              <w:rPr>
                <w:rFonts w:ascii="Aptos" w:hAnsi="Aptos"/>
                <w:b w:val="0"/>
                <w:color w:val="263238"/>
                <w:sz w:val="17"/>
              </w:rPr>
              <w:t>Offer acceptance + financing agreement</w:t>
            </w:r>
          </w:p>
        </w:tc>
        <w:tc>
          <w:tcPr>
            <w:tcW w:type="dxa" w:w="4752"/>
            <w:vAlign w:val="center"/>
            <w:shd w:fill="F7FAFB"/>
          </w:tcPr>
          <w:p>
            <w:pPr>
              <w:spacing w:after="0"/>
            </w:pPr>
            <w:r/>
            <w:r>
              <w:rPr>
                <w:rFonts w:ascii="Aptos" w:hAnsi="Aptos"/>
                <w:b w:val="0"/>
                <w:color w:val="263238"/>
                <w:sz w:val="17"/>
              </w:rPr>
              <w:t>Real-money financing during hackathon</w:t>
            </w:r>
          </w:p>
        </w:tc>
      </w:tr>
      <w:tr>
        <w:trPr>
          <w:cantSplit/>
        </w:trPr>
        <w:tc>
          <w:tcPr>
            <w:tcW w:type="dxa" w:w="4752"/>
            <w:vAlign w:val="center"/>
          </w:tcPr>
          <w:p>
            <w:pPr>
              <w:spacing w:after="0"/>
            </w:pPr>
            <w:r/>
            <w:r>
              <w:rPr>
                <w:rFonts w:ascii="Aptos" w:hAnsi="Aptos"/>
                <w:b w:val="0"/>
                <w:color w:val="263238"/>
                <w:sz w:val="17"/>
              </w:rPr>
              <w:t>Duplicate-financing guard</w:t>
            </w:r>
          </w:p>
        </w:tc>
        <w:tc>
          <w:tcPr>
            <w:tcW w:type="dxa" w:w="4752"/>
            <w:vAlign w:val="center"/>
          </w:tcPr>
          <w:p>
            <w:pPr>
              <w:spacing w:after="0"/>
            </w:pPr>
            <w:r/>
            <w:r>
              <w:rPr>
                <w:rFonts w:ascii="Aptos" w:hAnsi="Aptos"/>
                <w:b w:val="0"/>
                <w:color w:val="263238"/>
                <w:sz w:val="17"/>
              </w:rPr>
              <w:t>Full legal receivable assignment workflow</w:t>
            </w:r>
          </w:p>
        </w:tc>
      </w:tr>
      <w:tr>
        <w:trPr>
          <w:cantSplit/>
        </w:trPr>
        <w:tc>
          <w:tcPr>
            <w:tcW w:type="dxa" w:w="4752"/>
            <w:vAlign w:val="center"/>
            <w:shd w:fill="F7FAFB"/>
          </w:tcPr>
          <w:p>
            <w:pPr>
              <w:spacing w:after="0"/>
            </w:pPr>
            <w:r/>
            <w:r>
              <w:rPr>
                <w:rFonts w:ascii="Aptos" w:hAnsi="Aptos"/>
                <w:b w:val="0"/>
                <w:color w:val="263238"/>
                <w:sz w:val="17"/>
              </w:rPr>
              <w:t>Dispute + settlement simulation</w:t>
            </w:r>
          </w:p>
        </w:tc>
        <w:tc>
          <w:tcPr>
            <w:tcW w:type="dxa" w:w="4752"/>
            <w:vAlign w:val="center"/>
            <w:shd w:fill="F7FAFB"/>
          </w:tcPr>
          <w:p>
            <w:pPr>
              <w:spacing w:after="0"/>
            </w:pPr>
            <w:r/>
            <w:r>
              <w:rPr>
                <w:rFonts w:ascii="Aptos" w:hAnsi="Aptos"/>
                <w:b w:val="0"/>
                <w:color w:val="263238"/>
                <w:sz w:val="17"/>
              </w:rPr>
              <w:t>Cross-border payments</w:t>
            </w:r>
          </w:p>
        </w:tc>
      </w:tr>
      <w:tr>
        <w:trPr>
          <w:cantSplit/>
        </w:trPr>
        <w:tc>
          <w:tcPr>
            <w:tcW w:type="dxa" w:w="4752"/>
            <w:vAlign w:val="center"/>
          </w:tcPr>
          <w:p>
            <w:pPr>
              <w:spacing w:after="0"/>
            </w:pPr>
            <w:r/>
            <w:r>
              <w:rPr>
                <w:rFonts w:ascii="Aptos" w:hAnsi="Aptos"/>
                <w:b w:val="0"/>
                <w:color w:val="263238"/>
                <w:sz w:val="17"/>
              </w:rPr>
              <w:t>AI evidence analyst</w:t>
            </w:r>
          </w:p>
        </w:tc>
        <w:tc>
          <w:tcPr>
            <w:tcW w:type="dxa" w:w="4752"/>
            <w:vAlign w:val="center"/>
          </w:tcPr>
          <w:p>
            <w:pPr>
              <w:spacing w:after="0"/>
            </w:pPr>
            <w:r/>
            <w:r>
              <w:rPr>
                <w:rFonts w:ascii="Aptos" w:hAnsi="Aptos"/>
                <w:b w:val="0"/>
                <w:color w:val="263238"/>
                <w:sz w:val="17"/>
              </w:rPr>
              <w:t>Token/DAO/NFT mechanics</w:t>
            </w:r>
          </w:p>
        </w:tc>
      </w:tr>
    </w:tbl>
    <w:p>
      <w:pPr>
        <w:spacing w:after="20"/>
      </w:pPr>
    </w:p>
    <w:p>
      <w:pPr>
        <w:pStyle w:val="Heading1"/>
      </w:pPr>
      <w:r>
        <w:t>12. Recommended Demo Story</w:t>
      </w:r>
    </w:p>
    <w:p>
      <w:pPr>
        <w:spacing w:after="40"/>
        <w:ind w:left="259" w:hanging="259"/>
      </w:pPr>
      <w:r>
        <w:rPr>
          <w:b w:val="0"/>
        </w:rPr>
        <w:t xml:space="preserve">1.  </w:t>
      </w:r>
      <w:r>
        <w:t>Log in as Bello Electronics and create a ₦10m invoice for ABC Retail.</w:t>
      </w:r>
    </w:p>
    <w:p>
      <w:pPr>
        <w:spacing w:after="40"/>
        <w:ind w:left="259" w:hanging="259"/>
      </w:pPr>
      <w:r>
        <w:rPr>
          <w:b w:val="0"/>
        </w:rPr>
        <w:t xml:space="preserve">2.  </w:t>
      </w:r>
      <w:r>
        <w:t>Switch to ABC Retail and confirm the invoice and delivery.</w:t>
      </w:r>
    </w:p>
    <w:p>
      <w:pPr>
        <w:spacing w:after="40"/>
        <w:ind w:left="259" w:hanging="259"/>
      </w:pPr>
      <w:r>
        <w:rPr>
          <w:b w:val="0"/>
        </w:rPr>
        <w:t xml:space="preserve">3.  </w:t>
      </w:r>
      <w:r>
        <w:t>Open the Trust Passport and show the completed evidence trail.</w:t>
      </w:r>
    </w:p>
    <w:p>
      <w:pPr>
        <w:spacing w:after="40"/>
        <w:ind w:left="259" w:hanging="259"/>
      </w:pPr>
      <w:r>
        <w:rPr>
          <w:b w:val="0"/>
        </w:rPr>
        <w:t xml:space="preserve">4.  </w:t>
      </w:r>
      <w:r>
        <w:t>Switch back to Bello and request ₦8.5m financing.</w:t>
      </w:r>
    </w:p>
    <w:p>
      <w:pPr>
        <w:spacing w:after="40"/>
        <w:ind w:left="259" w:hanging="259"/>
      </w:pPr>
      <w:r>
        <w:rPr>
          <w:b w:val="0"/>
        </w:rPr>
        <w:t xml:space="preserve">5.  </w:t>
      </w:r>
      <w:r>
        <w:t>Show three financier offers with different funding amounts and returns.</w:t>
      </w:r>
    </w:p>
    <w:p>
      <w:pPr>
        <w:spacing w:after="40"/>
        <w:ind w:left="259" w:hanging="259"/>
      </w:pPr>
      <w:r>
        <w:rPr>
          <w:b w:val="0"/>
        </w:rPr>
        <w:t xml:space="preserve">6.  </w:t>
      </w:r>
      <w:r>
        <w:t>Accept one offer and show the financing agreement created.</w:t>
      </w:r>
    </w:p>
    <w:p>
      <w:pPr>
        <w:spacing w:after="40"/>
        <w:ind w:left="259" w:hanging="259"/>
      </w:pPr>
      <w:r>
        <w:rPr>
          <w:b w:val="0"/>
        </w:rPr>
        <w:t xml:space="preserve">7.  </w:t>
      </w:r>
      <w:r>
        <w:t>Attempt a duplicate financing action and show it being blocked by the workflow state.</w:t>
      </w:r>
    </w:p>
    <w:p>
      <w:pPr>
        <w:spacing w:after="40"/>
        <w:ind w:left="259" w:hanging="259"/>
      </w:pPr>
      <w:r>
        <w:rPr>
          <w:b w:val="0"/>
        </w:rPr>
        <w:t xml:space="preserve">8.  </w:t>
      </w:r>
      <w:r>
        <w:t>Switch to the financier dashboard and show the active position and expected settlement.</w:t>
      </w:r>
    </w:p>
    <w:p>
      <w:pPr>
        <w:spacing w:after="40"/>
        <w:ind w:left="259" w:hanging="259"/>
      </w:pPr>
      <w:r>
        <w:rPr>
          <w:b w:val="0"/>
        </w:rPr>
        <w:t xml:space="preserve">9.  </w:t>
      </w:r>
      <w:r>
        <w:t>Simulate buyer payment, run the settlement breakdown, and close the invoice.</w:t>
      </w:r>
    </w:p>
    <w:p>
      <w:pPr>
        <w:spacing w:after="40"/>
        <w:ind w:left="259" w:hanging="259"/>
      </w:pPr>
      <w:r>
        <w:rPr>
          <w:b w:val="0"/>
        </w:rPr>
        <w:t xml:space="preserve">10.  </w:t>
      </w:r>
      <w:r>
        <w:t>Use the AI Analyst to explain why the invoice was financeable and what evidence existed.</w:t>
      </w:r>
    </w:p>
    <w:p>
      <w:pPr>
        <w:pStyle w:val="Heading1"/>
      </w:pPr>
      <w:r>
        <w:t>13. Product Assumptions &amp; Guardrails</w:t>
      </w:r>
    </w:p>
    <w:p>
      <w:pPr>
        <w:pStyle w:val="ListBullet"/>
        <w:spacing w:after="40"/>
      </w:pPr>
      <w:r>
        <w:t>Buyer confirmation does not automatically prove that an invoice is genuine. Production onboarding, KYC, document checks, and integrations would still be needed.</w:t>
      </w:r>
    </w:p>
    <w:p>
      <w:pPr>
        <w:pStyle w:val="ListBullet"/>
        <w:spacing w:after="40"/>
      </w:pPr>
      <w:r>
        <w:t>Canton does not independently verify physical goods or services. A trusted buyer, warehouse, inspection provider, or external system must supply fulfillment evidence.</w:t>
      </w:r>
    </w:p>
    <w:p>
      <w:pPr>
        <w:pStyle w:val="ListBullet"/>
        <w:spacing w:after="40"/>
      </w:pPr>
      <w:r>
        <w:t>9jaTrade is coordination/infrastructure for the hackathon, not a bank or underwriting replacement.</w:t>
      </w:r>
    </w:p>
    <w:p>
      <w:pPr>
        <w:pStyle w:val="ListBullet"/>
        <w:spacing w:after="40"/>
      </w:pPr>
      <w:r>
        <w:t>Real-world financing structures may involve assignment of receivables, factoring, loans, or other legal arrangements. The MVP should use a clearly labeled simulated settlement model.</w:t>
      </w:r>
    </w:p>
    <w:p>
      <w:pPr>
        <w:pStyle w:val="ListBullet"/>
        <w:spacing w:after="40"/>
      </w:pPr>
      <w:r>
        <w:t>The long-term moat is the network, transaction history, integrations, and workflow infrastructure—not Canton alone.</w:t>
      </w:r>
    </w:p>
    <w:p>
      <w:pPr>
        <w:pStyle w:val="Heading1"/>
      </w:pPr>
      <w:r>
        <w:t>14. Final Product Definition</w:t>
      </w:r>
    </w:p>
    <w:tbl>
      <w:tblPr>
        <w:tblW w:type="auto" w:w="0"/>
        <w:jc w:val="center"/>
        <w:tblLook w:firstColumn="1" w:firstRow="1" w:lastColumn="0" w:lastRow="0" w:noHBand="0" w:noVBand="1" w:val="04A0"/>
      </w:tblPr>
      <w:tblGrid>
        <w:gridCol w:w="10080"/>
      </w:tblGrid>
      <w:tr>
        <w:trPr>
          <w:tblHeader w:val="true"/>
        </w:trPr>
        <w:tc>
          <w:tcPr>
            <w:tcW w:type="dxa" w:w="10080"/>
            <w:shd w:fill="F5F1E7"/>
          </w:tcPr>
          <w:p>
            <w:pPr>
              <w:spacing w:after="40"/>
            </w:pPr>
            <w:r/>
            <w:r>
              <w:rPr>
                <w:b/>
                <w:color w:val="17324D"/>
                <w:sz w:val="21"/>
              </w:rPr>
              <w:t>9jaTrade</w:t>
            </w:r>
          </w:p>
          <w:p>
            <w:pPr>
              <w:spacing w:after="0"/>
            </w:pPr>
            <w:r>
              <w:rPr>
                <w:color w:val="263238"/>
                <w:sz w:val="19"/>
              </w:rPr>
              <w:t>A trusted coordination layer for B2B commercial obligations: verify the transaction lifecycle, give suppliers access to competing financing offers, let financiers fund with clear terms, and coordinate settlement with a privacy-preserving multi-party ledger underneath.</w:t>
            </w:r>
          </w:p>
        </w:tc>
      </w:tr>
    </w:tbl>
    <w:p>
      <w:pPr>
        <w:spacing w:after="20"/>
      </w:pPr>
    </w:p>
    <w:p>
      <w:r>
        <w:t>The product should feel like a financial workflow application to users and like a strong multi-party Canton use case to judges. The key proof point is that different organizations can participate in the same commercial process without turning the platform into one large public database.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7F"/>
        <w:sz w:val="16"/>
      </w:rPr>
      <w:t>HackCanton League Season #3 — Concept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57F"/>
        <w:sz w:val="16"/>
      </w:rPr>
      <w:t>9jaTrade | Product Concept &amp; Core Functions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6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B886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675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