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unpaid supplier uploads now show on Reports as money owed</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Four boxes sit at the top: how many houses, what we bought, what we paid, and what we still owe. Click a box to see the houses that make that number. The list shows one summary row per house. Click IRIS, or any house, and the bills drop down with their values.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 Two spellings of the same supplier split the bills and hide what you still owe.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We still owe. Only IRIS stays. They click IRIS and the unpaid bill drops down with the naira.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four boxes at the top. Click We still owe. The list shows only houses with money still owed.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a house name such as IRIS. The bills drop down. Each bill has bought, paid, still owed, and status.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of the four boxes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how it looks, and the supplier. Then press Add phone to shop.</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2026-09-16T13:59:57.234Z</dcterms:created>
  <dcterms:modified xsi:type="dcterms:W3CDTF">2026-09-16T13:59:57.273Z</dcterms:modified>
</cp:coreProperties>
</file>

<file path=docProps/custom.xml><?xml version="1.0" encoding="utf-8"?>
<Properties xmlns="http://schemas.openxmlformats.org/officeDocument/2006/custom-properties" xmlns:vt="http://schemas.openxmlformats.org/officeDocument/2006/docPropsVTypes"/>
</file>